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8879" cy="72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79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7" w:lineRule="auto" w:before="24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MINUTES OF THE INTERNATIONAL COMPARISON PROGRAM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INTER-AGENCY COORDINATION GROUP MEETING </w:t>
      </w:r>
    </w:p>
    <w:p>
      <w:pPr>
        <w:autoSpaceDN w:val="0"/>
        <w:autoSpaceDE w:val="0"/>
        <w:widowControl/>
        <w:spacing w:line="274" w:lineRule="auto" w:before="2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MAY 15 - 18, 2023 </w:t>
      </w:r>
    </w:p>
    <w:p>
      <w:pPr>
        <w:autoSpaceDN w:val="0"/>
        <w:autoSpaceDE w:val="0"/>
        <w:widowControl/>
        <w:spacing w:line="274" w:lineRule="auto" w:before="2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Hybrid meeting </w:t>
      </w:r>
    </w:p>
    <w:p>
      <w:pPr>
        <w:autoSpaceDN w:val="0"/>
        <w:autoSpaceDE w:val="0"/>
        <w:widowControl/>
        <w:spacing w:line="274" w:lineRule="auto" w:before="50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Welcome and meeting objectives </w:t>
      </w:r>
    </w:p>
    <w:p>
      <w:pPr>
        <w:autoSpaceDN w:val="0"/>
        <w:autoSpaceDE w:val="0"/>
        <w:widowControl/>
        <w:spacing w:line="247" w:lineRule="auto" w:before="23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meeting of the International Comparison Program (ICP) Inter-Agency Coordination Group (IACG)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held from May 15 to 18, 2023, both virtually and in person in Washington, DC, at the World Bank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headquarter. </w:t>
      </w:r>
    </w:p>
    <w:p>
      <w:pPr>
        <w:autoSpaceDN w:val="0"/>
        <w:autoSpaceDE w:val="0"/>
        <w:widowControl/>
        <w:spacing w:line="247" w:lineRule="auto" w:before="2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objectives of the meeting were to discuss regional and global updates, review the ICP 2021 cycle </w:t>
      </w:r>
      <w:r>
        <w:rPr>
          <w:rFonts w:ascii="Calibri" w:hAnsi="Calibri" w:eastAsia="Calibri"/>
          <w:b w:val="0"/>
          <w:i w:val="0"/>
          <w:color w:val="000000"/>
          <w:sz w:val="22"/>
        </w:rPr>
        <w:t>data, and plan for future activities. The meetin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 part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icipants are listed in Annex 2. In addition, the meeting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agenda and public presentations are available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0" w:history="1">
          <w:r>
            <w:rPr>
              <w:rStyle w:val="Hyperlink"/>
            </w:rPr>
            <w:t>here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Nada Hamadeh, World Bank, opened the meeting by welcoming the attendees and remarking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progress made by the National and Regional Implementing Agencies across the globe despite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challenges faced during the cycle. Marko Rissanen, World Bank, presented the agenda for the meeting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invited the ICP Regional Implementing Agencies representatives to share regional updates. </w:t>
      </w:r>
    </w:p>
    <w:p>
      <w:pPr>
        <w:autoSpaceDN w:val="0"/>
        <w:autoSpaceDE w:val="0"/>
        <w:widowControl/>
        <w:spacing w:line="274" w:lineRule="auto" w:before="506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Regional updates on the ICP 2021 cycle implementation </w:t>
      </w:r>
    </w:p>
    <w:p>
      <w:pPr>
        <w:autoSpaceDN w:val="0"/>
        <w:autoSpaceDE w:val="0"/>
        <w:widowControl/>
        <w:spacing w:line="245" w:lineRule="auto" w:before="23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Gregoire Mboya de Loubassou, African Development Bank (AfDB), paid tribute to the late Michel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Mouyelo-Katoula. He then presented the status of the ICP 2021 cycle in the Africa region and reported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progress of joint ICP-CPI activities, and the Classification of Individual Consumption According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Purpose (COICOP) 2018 adoption. All 50 African countries in the ICP 2017 cycle will participate in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 cycle. Somalia’s and South Sudan’s participation is being assessed against the available data,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Eritrea and Libya continue to receive technical assistance to prepare for full participation in the future.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 is ongoing at the regional level, with a full set of preliminary price data slated for submission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by July 2023. Data validation workshops are scheduled for the remainder of 2023. </w:t>
      </w:r>
    </w:p>
    <w:p>
      <w:pPr>
        <w:autoSpaceDN w:val="0"/>
        <w:autoSpaceDE w:val="0"/>
        <w:widowControl/>
        <w:spacing w:line="245" w:lineRule="auto" w:before="242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 and the Pacific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Kaushal Joshi, Asian Development Bank (ADB),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ICP 2021 cycle in the Asia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Pacific region. More than half of the 21 pa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rticipating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completed price survey activities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Q4 2021, while Lao PDR, India, and Pakistan initiated and conducted all survey activities in 2022. The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the three economies have not yet been integrated into the regional validations due to the delay.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Price data validations are being conducted on an ongoing basis, with four regional inter-economy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validation workshops conducted since July 2021. In the recent months, the focus has been on the </w:t>
      </w:r>
    </w:p>
    <w:p>
      <w:pPr>
        <w:autoSpaceDN w:val="0"/>
        <w:autoSpaceDE w:val="0"/>
        <w:widowControl/>
        <w:spacing w:line="264" w:lineRule="auto" w:before="15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720" w:right="137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three lagging economies and bi-lateral meetings/communications with others to resolve data validation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issues. It is also noted that the back casting of prices to the reference year 2021 is also under progress.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ADB has developed a price backcasting tool which allows mapping of ICP items with the appropriate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detailed indexes from the CPI and automates extrapolations of prices. Submission and validation of gross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domestic product (GDP) expenditures data are ongoing, and many countries are finalizing the detailed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breakdown of GDP expenditures. There will be two regional data review and validation workshops in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May/June and June/July 2023, while other activities expected during the year are the ICP Experts Group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meeting, meeting of the Regional Advisory Board, and preparatory meetings for ICP 2024 in Q3 and Q4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2023. It was noted that while the pandemic restricted data collection and validation activities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region, participating economies showed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 xml:space="preserve"> tremendo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 resilience in implementing ICP surveys despite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unusual limitations. The region’s ICP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2" w:history="1">
          <w:r>
            <w:rPr>
              <w:rStyle w:val="Hyperlink"/>
            </w:rPr>
            <w:t>microsite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updated in October 2022 to include events, </w:t>
      </w:r>
      <w:r>
        <w:rPr>
          <w:rFonts w:ascii="Calibri" w:hAnsi="Calibri" w:eastAsia="Calibri"/>
          <w:b w:val="0"/>
          <w:i w:val="0"/>
          <w:color w:val="000000"/>
          <w:sz w:val="22"/>
        </w:rPr>
        <w:t>publications, 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nd a new page for implem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enting ag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encies’ 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nformation. Additionally, the upcoming ADB’s </w:t>
      </w:r>
      <w:r>
        <w:rPr>
          <w:rFonts w:ascii="Calibri" w:hAnsi="Calibri" w:eastAsia="Calibri"/>
          <w:b w:val="0"/>
          <w:i w:val="0"/>
          <w:color w:val="000000"/>
          <w:sz w:val="22"/>
        </w:rPr>
        <w:t>flagship report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3" w:history="1">
          <w:r>
            <w:rPr>
              <w:rStyle w:val="Hyperlink"/>
            </w:rPr>
            <w:t>Key Indicators for Asia and the Pacific 2023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feature one section on the ICP, describing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program, it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s uses, and the contribution of participating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economies.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Eurostat–OECD PPP Program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Mihai-Iulian Gheorghe, Eurostat, and Sophie Bournot, OECD,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4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Eurostat-OECD </w:t>
      </w:r>
      <w:r>
        <w:rPr>
          <w:rFonts w:ascii="Calibri" w:hAnsi="Calibri" w:eastAsia="Calibri"/>
          <w:b w:val="0"/>
          <w:i w:val="0"/>
          <w:color w:val="000000"/>
          <w:sz w:val="22"/>
        </w:rPr>
        <w:t>PPP Program. Data for household consumption, machinery an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>d equipmen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t, and construction surveys have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been shared with the ICP Global Office, as well as data on expenditure and PPP estimates for the period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2017-2021. Regarding the latter, data for the years 2020 and 2021 will be revised in the last quarter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2023, as per the Eurostat-OECD publication schedule. The next data submissions will include housing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volume data and regional purchasing power parities (PPPs), as well as expenditure data for Georgia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Ukraine for the year 2021. Given the changes in the Global PPPs publication schedule discussed later 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IACG, Eurostat and OECD proposed to provide updated prices from the selected 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surveys, as they will be made available in the last quarter of 2023. Overall, all surveys,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collection, and coordinating activities are being carried out as per the annual work plans. The first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estimates of PPPs for GDP, Household Final Consumption Expenditure (HCFE), and Actual Individual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(AIC) will be made available for all EU36 and all OECD countries in June 2023. Finally, 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updated list of Basic Headings is now available following the changes introduced by the 2018 COICOP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Commonwealth of Independent States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Andre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y Kosarev, 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he Interstate Statistical Committee of the Commonwealth of Independent States (CIS-</w:t>
      </w:r>
      <w:r>
        <w:rPr>
          <w:rFonts w:ascii="Calibri" w:hAnsi="Calibri" w:eastAsia="Calibri"/>
          <w:b w:val="0"/>
          <w:i w:val="0"/>
          <w:color w:val="000000"/>
          <w:sz w:val="22"/>
        </w:rPr>
        <w:t>STAT),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5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ICP 2021 cycle in the CIS region. Nine economies are participating in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ICP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 xml:space="preserve"> 2021 cycle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Government compensation and housing rental data have been submitted to CIS-STAT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are expected to be incorporated in the next submission to the ICP Global Office. Detailed GDP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data had also been received from most of the participating countries, with the remaining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countries’ data pending. Preliminary regional PPP estimates will be discussed at the regional ICP meeting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June 2023, while the final computation is expected after the final GDP expenditure data are submitted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Q3 2023. Due to the further revisions in GDP expenditures, additional revision of 2017 regional PPPs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expected along with 2021 PPP computation. Regional workshops are planned for late May 2023 to discuss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GDP expenditures and for June to review preliminary regional PPPs. A meeting of the Council of Heads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participating national statistical offices is also planned for May 2023 to review the status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program. </w:t>
      </w:r>
    </w:p>
    <w:p>
      <w:pPr>
        <w:autoSpaceDN w:val="0"/>
        <w:autoSpaceDE w:val="0"/>
        <w:widowControl/>
        <w:spacing w:line="247" w:lineRule="auto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Latin America and the Caribbean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Claudia de 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>amino Ferr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ario, United Nations Economic Commission for Latin America and the Caribbean </w:t>
      </w:r>
      <w:r>
        <w:rPr>
          <w:rFonts w:ascii="Calibri" w:hAnsi="Calibri" w:eastAsia="Calibri"/>
          <w:b w:val="0"/>
          <w:i w:val="0"/>
          <w:color w:val="000000"/>
          <w:sz w:val="22"/>
        </w:rPr>
        <w:t>(UN-ECLAC),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6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status of the ICP 2021 cycle in Latin America and the Caribbean region. A total 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33 economies in the region are participating in the ICP 2021 cycle. Regarding the survey status,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economies have submitted the household consumption price survey data, although complete price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still missing from some economies. As for the non-household consumption price surveys,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government compensation survey is the most complete, followed by the construction survey.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regards to other non-household consumption price surveys, the machinery and equipment price survey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has been the most challenging, due to the technical nature of the survey. The submissions of expenditure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are also ongoing, as 22 economies have already submitted revised 2017 data and 15 economies have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submitted 2021 data. The next regional workshops will focus on data validation and are scheduled until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end of the year as necessary. Responding to the challenges in implementing the 2021 ICP cycle in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region, UN-ECLAC will continue its capacity-building activities and communication with national focal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points, assessing alternative sources of data, as needed, and sharing best practices.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Western Asia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Majed Skaini, United Nations Economic and Social Commission for Western Asia (UN-ESCWA),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7" w:history="1">
          <w:r>
            <w:rPr>
              <w:rStyle w:val="Hyperlink"/>
            </w:rPr>
            <w:t xml:space="preserve">presented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the status of the ICP 2021 cycle in the Western Asia region. Sixteen economies are participa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7" w:history="1">
          <w:r>
            <w:rPr>
              <w:rStyle w:val="Hyperlink"/>
            </w:rPr>
            <w:t xml:space="preserve">ting in the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program. Libya has been joining capacity building activities; however, it will not be a part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comparisons in the 2021 cycle. Detailed GDP expenditures for seven countries have been submitted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Regional Implementing Agency, while efforts are ongoing with others. The latest price data, reviewed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updated in the workshop held a week before the IACG meeting, will be incorporated in the next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submission to the ICP Global Office. Regional PPPs will be computed for 2017 to 2022, along with forecasts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2023 in Q3 2023. Regional workshops are planned for June to July 2023 to review the national accounts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time series data, and a country capacity-building workshop for the United Arab Emirates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planned to further support the personnel change in the national ICP team. </w:t>
      </w:r>
    </w:p>
    <w:p>
      <w:pPr>
        <w:autoSpaceDN w:val="0"/>
        <w:autoSpaceDE w:val="0"/>
        <w:widowControl/>
        <w:spacing w:line="274" w:lineRule="auto" w:before="5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Global updates on the ICP 2021 cycle implementation </w:t>
      </w:r>
    </w:p>
    <w:p>
      <w:pPr>
        <w:autoSpaceDN w:val="0"/>
        <w:autoSpaceDE w:val="0"/>
        <w:widowControl/>
        <w:spacing w:line="247" w:lineRule="auto" w:before="2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ICP Global Office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18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updates on the ICP 2021 cycle implementation, covering country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participation; overall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8" w:history="1">
          <w:r>
            <w:rPr>
              <w:rStyle w:val="Hyperlink"/>
            </w:rPr>
            <w:t>timeline; g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overnance activities; operational activities and data submission status;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risks; and outreach and uses.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number of participating economies for the ICP 2021 cycle is similar to the ICP 2017 cycle, during which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176 economies participated. However, work continues at global and regional levels to ensure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 of a number of economies in Africa, Asia and the Pacific, and Latin America and Caribbean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regions.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the ICP 2021 cycle's timeline, the results were initially scheduled to be released by the end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2023. However, due to the disruptions caused by the COVID-19 pandemic on survey schedules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statistical activities in general and the need for additional data quality assurance, coupled with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 changes caused by the war in Ukraine that necessitate linking the CIS results linked through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global core list approach, the IACG recommended postponing the release to the first quarter of 2024. </w:t>
      </w:r>
    </w:p>
    <w:p>
      <w:pPr>
        <w:autoSpaceDN w:val="0"/>
        <w:autoSpaceDE w:val="0"/>
        <w:widowControl/>
        <w:spacing w:line="247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Additionally, it recommended postponing the next ICP Technical Advisory Group (TAG) meeting, originally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planned for Spring/Summer 2023, to the Fall of 2023, as the draft ICP 2021 results for household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consumption would not be ready for TAG review until that time. </w:t>
      </w:r>
    </w:p>
    <w:p>
      <w:pPr>
        <w:autoSpaceDN w:val="0"/>
        <w:autoSpaceDE w:val="0"/>
        <w:widowControl/>
        <w:spacing w:line="252" w:lineRule="auto" w:before="2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In terms of governance activities, the report on the ICP was submitted for information to the 54</w:t>
      </w:r>
      <w:r>
        <w:rPr>
          <w:rFonts w:ascii="Calibri" w:hAnsi="Calibri" w:eastAsia="Calibri"/>
          <w:b w:val="0"/>
          <w:i w:val="0"/>
          <w:color w:val="000000"/>
          <w:sz w:val="14"/>
        </w:rPr>
        <w:t>th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Session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United Nations Statistical Commission (UNSC). The Commission was requested to acknowledge the 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progress made in carrying out the current cycle, along with the associated risks, challenges, and mitigation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measures. Additionally, ICP stakeholders were urged to ensure the timely completion of the ICP 2021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cycle activities, to prepare for the upcoming ICP 2024 cycle, and to incorporate the ICP into their regular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statistical work programs. In February 2023, the ICP Board Meeting convened to review the status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2021 cycle at both the global and regional levels. Furthermore, the ICP TAG held a meeting in December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2022 to discuss the ongoing ICP 2021 cycle, considering the impact of the COVID-19 pandemic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war in Ukraine on the cycle, exploring new uses of ICP PPPs and data, and examining the progress of items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ICP Research Agenda.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regards to operational activities, the importance of collecting sufficient metadata, particularly during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current pandemic-impacted cycle, was stressed. The related ICP metadata questionnaires have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prepared for the survey framework and COVID-19, the National Accounts Country Practice Questionnaire,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Housing, and they are to be completed by all participating economies.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the current status of data submissions, the household consumption survey status is the most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advanced. However, the status of non-household consumption data, expenditures, and PPPs is less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advanced, as regions are in the process of compiling and validating the remaining sets of data. Efforts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underway to ensure availability of all required ICP 2021 cycle datasets. However, it was stressed that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availability of full sets of data for all regions and countries is crucial for the timing and success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remaining 2023 IACG and TAG meetings, as well as for the release of the cycle’s results.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Overall, the ICP 2021 cycle faces risks related to participation, comparability, quality, and timeliness.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Participation risks persist in certain regions, and ongoing monitoring and advocacy efforts are being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carried out by implementing agencies, the Governing Board, and the UNSC. In terms of comparability,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 PPP estimation methodology has been maintained as much as possible. However, due to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unavoidable need to directly link the CIS region into the global set of results, the TAG will provide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necessary guidance and an assessment of the impact on the ICP 2021 results will be conducted. Regarding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quality, additional challenges arising from COVID-19 and variations in price survey schedules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expenditure weights are being mitigated through continued validation efforts at the national, regional,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global levels. The TAG will provide technical guidance and assess the results to ensure quality. Lastly,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terms of timeliness, the publication of the ICP 2021 results was originally scheduled for the end of 2023.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However, due to delays in survey implementation and the need for additional quality assurance measures,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IACG recommended postponing the release to the first quarter of 2024. </w:t>
      </w:r>
    </w:p>
    <w:p>
      <w:pPr>
        <w:autoSpaceDN w:val="0"/>
        <w:autoSpaceDE w:val="0"/>
        <w:widowControl/>
        <w:spacing w:line="247" w:lineRule="auto" w:before="2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Lastly, with regards to outreach, recent ICP blogs on global PPP estimation and ICP education data were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highlighted. The former is part of the ongoing efforts to ensure transparency and share knowledge on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methodology. On uses, recent reports by the IMF, World Bank, OECD, and WHO were featured. </w:t>
      </w:r>
    </w:p>
    <w:p>
      <w:pPr>
        <w:autoSpaceDN w:val="0"/>
        <w:autoSpaceDE w:val="0"/>
        <w:widowControl/>
        <w:spacing w:line="274" w:lineRule="auto" w:before="50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Household consumption price and importance data </w:t>
      </w:r>
    </w:p>
    <w:p>
      <w:pPr>
        <w:autoSpaceDN w:val="0"/>
        <w:autoSpaceDE w:val="0"/>
        <w:widowControl/>
        <w:spacing w:line="247" w:lineRule="auto" w:before="2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a general assessment of the household consumption survey price data,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noting the number of priced Global Core List (GCL) items by each region, and the basic headings (BH)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items that had high coefficients of variation (CVs). </w:t>
      </w:r>
    </w:p>
    <w:p>
      <w:pPr>
        <w:autoSpaceDN w:val="0"/>
        <w:autoSpaceDE w:val="0"/>
        <w:widowControl/>
        <w:spacing w:line="247" w:lineRule="auto" w:before="2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price validation session was based on the analysis of box-plot graphs, derived from the Quaranta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Tables (QTs) computed based on the latest available data provided by the RIAs. The box-plot graphs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visualize the following information from the QTs: </w:t>
      </w:r>
    </w:p>
    <w:p>
      <w:pPr>
        <w:autoSpaceDN w:val="0"/>
        <w:autoSpaceDE w:val="0"/>
        <w:widowControl/>
        <w:spacing w:line="264" w:lineRule="auto" w:before="2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710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5"/>
        <w:gridCol w:w="4715"/>
      </w:tblGrid>
      <w:tr>
        <w:trPr>
          <w:trHeight w:hRule="exact" w:val="117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4" w:after="0"/>
              <w:ind w:left="144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−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−</w:t>
            </w:r>
          </w:p>
        </w:tc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BH graphs: BH CVs; Country price level indexes (PLIs) and related regional averages and regional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spreads; and Country CVs.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graphs: Item CVs, country average prices in US dollars, and regional averages and regional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spreads; world average prices in US dollars; and country PPP-ratios.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5" w:lineRule="auto" w:before="18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main issues were identified for each item, identifying the countries where prices might need to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verified and possibly corrected. Wherever possible, potential causes for these price discrepancies were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noted and suggestions for improvement were discussed. Data validation continues at all levels as part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the iterative process, and the next price submissions are expected to be submitted to the ICP Global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Office when available, in order to maintain a rolling validation approach until the next IACG meeting.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Regarding the assignment of important indicators at the item level, the ICP Global Office presented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preliminary assessment of the situation. The overall share of important items in each region is in line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previous ICP cycles, although there is still a large discrepancy within countries of the same region.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 shared a set of recommendations to assist RIAs and national coordinators in determining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whether an item should be deemed as important. </w:t>
      </w:r>
    </w:p>
    <w:p>
      <w:pPr>
        <w:autoSpaceDN w:val="0"/>
        <w:autoSpaceDE w:val="0"/>
        <w:widowControl/>
        <w:spacing w:line="252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Lastly, during an “Operational Clinic” session, available tools for generating Quaranta Tables (QTs)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Dikhanov Tables (DTs), as well as for producing validation visualizations, were presented and discussed. </w:t>
      </w:r>
    </w:p>
    <w:p>
      <w:pPr>
        <w:autoSpaceDN w:val="0"/>
        <w:autoSpaceDE w:val="0"/>
        <w:widowControl/>
        <w:spacing w:line="274" w:lineRule="auto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Housing prices and volumes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submission status and quality of the housing rents and volume data,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well as available validation summary notes and Excel-based tools. The submission of housing rents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volume data was limited, and many submitted data were still under review at the regional and national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levels. Despite the scarcity of data, the submitted data showed that the unit of measurement of submitted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housing rents should be harmonized. The IACG agreed that, moving forward, housing rents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>reported in per square meters (m</w:t>
      </w:r>
      <w:r>
        <w:rPr>
          <w:rFonts w:ascii="Calibri" w:hAnsi="Calibri" w:eastAsia="Calibri"/>
          <w:b w:val="0"/>
          <w:i w:val="0"/>
          <w:color w:val="000000"/>
          <w:sz w:val="14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for annual national rents, rather than per dwelling type. However,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>validation purposes at both the regional and global level, both annual rents per m</w:t>
      </w:r>
      <w:r>
        <w:rPr>
          <w:rFonts w:ascii="Calibri" w:hAnsi="Calibri" w:eastAsia="Calibri"/>
          <w:b w:val="0"/>
          <w:i w:val="0"/>
          <w:color w:val="000000"/>
          <w:sz w:val="14"/>
        </w:rPr>
        <w:t xml:space="preserve">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per dwelling can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utilized, as they both provide usable means to validate the data. It was also agreed that all regions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submit housing volume data for the next submission cycle, and that the housing volume data will 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reported in “annual national total”, in units, rather than percentages or in thousands/millions. </w:t>
      </w:r>
    </w:p>
    <w:p>
      <w:pPr>
        <w:autoSpaceDN w:val="0"/>
        <w:autoSpaceDE w:val="0"/>
        <w:widowControl/>
        <w:spacing w:line="274" w:lineRule="auto" w:before="50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Private Education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current findings of observed issues with private education survey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 four regions. The submissions were preliminary, and under review by the regions. The validation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work will continue upon receiving additional of data sets. However, initial global validation findings can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utilized in regional validation. </w:t>
      </w:r>
    </w:p>
    <w:p>
      <w:pPr>
        <w:autoSpaceDN w:val="0"/>
        <w:autoSpaceDE w:val="0"/>
        <w:widowControl/>
        <w:spacing w:line="247" w:lineRule="auto" w:before="144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The ICP Operational Guide chapter 14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“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0"/>
        </w:rPr>
        <w:hyperlink r:id="rId19" w:history="1">
          <w:r>
            <w:rPr>
              <w:rStyle w:val="Hyperlink"/>
            </w:rPr>
            <w:t>Validation Tables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”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provides a comprehensive account of the QTs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>Dikhanov Tables (DTs), and interpretatio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n of PPP-Ratios an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 CPD-residuals, which both measure the patterns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relative prices for the different items within the heading being analyzed. </w:t>
      </w:r>
    </w:p>
    <w:p>
      <w:pPr>
        <w:autoSpaceDN w:val="0"/>
        <w:autoSpaceDE w:val="0"/>
        <w:widowControl/>
        <w:spacing w:line="264" w:lineRule="auto" w:before="1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716" w:right="137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Government compensation and productivity adjustment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submission status of the government compensation data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provided a detailed review of the data quality. Data quality and consistency across regions were reviewed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by the meeting for all the items, assessing dispersions of compensation within and across regions,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consistency of data for related occupations, and the level of compensation vis-à-vis the average income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 each country. Furthermore, the global and regional procedures for the application of productivity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adjustment was reviewed and confirmed. </w:t>
      </w:r>
    </w:p>
    <w:p>
      <w:pPr>
        <w:autoSpaceDN w:val="0"/>
        <w:autoSpaceDE w:val="0"/>
        <w:widowControl/>
        <w:spacing w:line="245" w:lineRule="auto" w:before="2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quality assessment of the data indicated good initial data coverage, quality, and consistency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countries that submitted data, while a few items with high variations were identified and discussed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further review. All validation materials were circulated after the meeting and the RIAs will conduct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detailed data review based on the findings from the global data quality review. </w:t>
      </w:r>
    </w:p>
    <w:p>
      <w:pPr>
        <w:autoSpaceDN w:val="0"/>
        <w:autoSpaceDE w:val="0"/>
        <w:widowControl/>
        <w:spacing w:line="274" w:lineRule="auto" w:before="5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Machinery and equipment and construction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provided a review of prices collected for the machinery and equipment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construction surveys. This constituted the first round of global validation for these surveys, and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 emphasized how data submitted by regional agencies need not be final or complete at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stage. Global validation has commenced for five regions, with validation of data from Africa expected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 initiated shortly. The ICP Global Office identified the key issues to be addressed by each RIA, and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validation materials were circulated after the meeting. Global quality assessment to date indicates good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initial data coverage, quality, and consistency with the previous cycle. In agreement with the RIAs,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Global Office will set out a review of some of the items included in these surveys, based on the existing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list utilized by Eurostat and OECD and inputs from other RIAs.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terms of extrapolating/backcasting machinery and equipment survey price data, the IACG noted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absence of an ideal deflator, such as CPIs for household consumption survey data. However, the Eurostat-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OECD PPP Program utilizes Gross Fixed Capital Formation GDP deflators for this purpose at the basic </w:t>
      </w:r>
      <w:r>
        <w:rPr>
          <w:rFonts w:ascii="Calibri" w:hAnsi="Calibri" w:eastAsia="Calibri"/>
          <w:b w:val="0"/>
          <w:i w:val="0"/>
          <w:color w:val="000000"/>
          <w:sz w:val="22"/>
        </w:rPr>
        <w:t>heading level.</w:t>
      </w:r>
      <w:r>
        <w:rPr>
          <w:rFonts w:ascii="Calibri" w:hAnsi="Calibri" w:eastAsia="Calibri"/>
          <w:b w:val="0"/>
          <w:i w:val="0"/>
          <w:color w:val="000000"/>
          <w:sz w:val="14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Another potential deflator noted is the Producer Price Index (PPI); however, PPI measures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price movements on domestically produced goods, while many of the items covered by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machinery and equipment survey are in fact imported. Furthermore, the use of Import / Export Price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Indexes was noted. </w:t>
      </w:r>
    </w:p>
    <w:p>
      <w:pPr>
        <w:autoSpaceDN w:val="0"/>
        <w:autoSpaceDE w:val="0"/>
        <w:widowControl/>
        <w:spacing w:line="274" w:lineRule="auto" w:before="5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2017-2021 National Accounts expenditures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current status of national accounts data submissions and provided </w:t>
      </w:r>
      <w:r>
        <w:rPr>
          <w:rFonts w:ascii="Calibri" w:hAnsi="Calibri" w:eastAsia="Calibri"/>
          <w:b w:val="0"/>
          <w:i w:val="0"/>
          <w:color w:val="000000"/>
          <w:sz w:val="22"/>
        </w:rPr>
        <w:t>findings from a detailed review of expenditure data, including intra- and inter-country validation, time-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series validation, inter-regional consistency, the effects of the pandemic on expenditure patterns,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status of the revision of 2017 expenditures. The importance of recording country-specific metadata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pandemic period was also emphasized to retain information on any special data treatments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transparency purposes. </w:t>
      </w:r>
    </w:p>
    <w:p>
      <w:pPr>
        <w:autoSpaceDN w:val="0"/>
        <w:autoSpaceDE w:val="0"/>
        <w:widowControl/>
        <w:spacing w:line="264" w:lineRule="auto" w:before="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Refer to Eurostat-OECD Methodological Manual on PPPs, chapter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20" w:history="1">
          <w:r>
            <w:rPr>
              <w:rStyle w:val="Hyperlink"/>
            </w:rPr>
            <w:t>“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0"/>
        </w:rPr>
        <w:hyperlink r:id="rId20" w:history="1">
          <w:r>
            <w:rPr>
              <w:rStyle w:val="Hyperlink"/>
            </w:rPr>
            <w:t>Equipment Goods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20" w:history="1">
          <w:r>
            <w:rPr>
              <w:rStyle w:val="Hyperlink"/>
            </w:rPr>
            <w:t>”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for details. </w:t>
      </w:r>
    </w:p>
    <w:p>
      <w:pPr>
        <w:autoSpaceDN w:val="0"/>
        <w:autoSpaceDE w:val="0"/>
        <w:widowControl/>
        <w:spacing w:line="264" w:lineRule="auto" w:before="1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710" w:right="136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Overall, coverage of national accounts expenditure data has improved significantly, with most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 providing initial estimates of detailed time series expenditures for 2017-2020, although regions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noted that the compilation of detailed expenditure data are still at the preliminary stage in many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countries. A global quality review of time series data indicates that the expenditure structure over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pandemic period exhibits plausible changes reflecting the impact of the pandemic. However, some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countries that submitted initial estimates still require further in-depth review and improvement of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accurately reflect the economic status over the pandemic period. </w:t>
      </w:r>
    </w:p>
    <w:p>
      <w:pPr>
        <w:autoSpaceDN w:val="0"/>
        <w:autoSpaceDE w:val="0"/>
        <w:widowControl/>
        <w:spacing w:line="245" w:lineRule="auto" w:before="24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 validation materials, including typical regional and global patterns of changes due to the pandemic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outbreak observed in the submitted expenditure data, were circulated after the meeting. RIAs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conduct a detailed data review based on the findings from the global data quality review and countries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expected to share best practices in making estimates for the pandemic period, where methods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estimation and data sources need a detailed review. </w:t>
      </w:r>
    </w:p>
    <w:p>
      <w:pPr>
        <w:autoSpaceDN w:val="0"/>
        <w:autoSpaceDE w:val="0"/>
        <w:widowControl/>
        <w:spacing w:line="274" w:lineRule="auto" w:before="506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Data review: 2017-2021 Population and market exchange rates </w:t>
      </w:r>
    </w:p>
    <w:p>
      <w:pPr>
        <w:autoSpaceDN w:val="0"/>
        <w:autoSpaceDE w:val="0"/>
        <w:widowControl/>
        <w:spacing w:line="245" w:lineRule="auto" w:before="2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provided a review of the auxiliary data required for the ICP, including population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market exchange rates. Data are to be reported in units instead of multiples. In addition,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consistency with reported prices, market exchange rates, and expenditure data needs to be ensured.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Regional submissions should also include sufficient metadata on population and market exchange rates,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which allow for assessing any potential observed differences between different data sources.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potential challenges with the data ranging from currency redenomination to parallel exchange rate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activities were also noted. Implementing agencies will monitor situations with potential issues for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potential impact. </w:t>
      </w:r>
    </w:p>
    <w:p>
      <w:pPr>
        <w:autoSpaceDN w:val="0"/>
        <w:autoSpaceDE w:val="0"/>
        <w:widowControl/>
        <w:spacing w:line="274" w:lineRule="auto" w:before="508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Results review: draft revised 2017 and 2021 results </w:t>
      </w:r>
    </w:p>
    <w:p>
      <w:pPr>
        <w:autoSpaceDN w:val="0"/>
        <w:autoSpaceDE w:val="0"/>
        <w:widowControl/>
        <w:spacing w:line="245" w:lineRule="auto" w:before="2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ICP Global Office presented the preliminary findings of the estimation of the 2021 global PPPs for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 “Individual Consumption Expenditure by Households without Housing”. The results of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simulation exercise, which was based on preliminary submissions and ICP Global Office estimates with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regards to prices, regional PPPs and expenditure data, were discussed with the RIAs who concurred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need for further data submissions, data validation and subsequent assessment of the results. </w:t>
      </w:r>
    </w:p>
    <w:p>
      <w:pPr>
        <w:autoSpaceDN w:val="0"/>
        <w:autoSpaceDE w:val="0"/>
        <w:widowControl/>
        <w:spacing w:line="274" w:lineRule="auto" w:before="506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Planning for the ICP 2024 cycle </w:t>
      </w:r>
    </w:p>
    <w:p>
      <w:pPr>
        <w:autoSpaceDN w:val="0"/>
        <w:autoSpaceDE w:val="0"/>
        <w:widowControl/>
        <w:spacing w:line="247" w:lineRule="auto" w:before="234" w:after="0"/>
        <w:ind w:left="0" w:right="0" w:firstLine="2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In preparation for the ICP 2024 cycle, the ICP Global Office presented the suggested schedule for the pre-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survey and finalization of ICP 2024 item lists, and a summary of changes introduced by the COICOP 2018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 the basic heading level.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regards to the ICP 2024 item lists, it was noted that the regions and countries expect the final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2024 item list to be available during Q4, 2023, in order to be able to conduct the necessary survey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preparation activities. However, at the same time the update of certain categories related to fast-evolving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technology items would need to be finalized close to the actual survey period. To this end, it was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suggested the pre-survey work by the regions would take place during June to September 2023, allowing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discussion of the semi-final list at the next IACG meeting in Fall 2023, and subsequent finalization of the </w:t>
      </w:r>
    </w:p>
    <w:p>
      <w:pPr>
        <w:autoSpaceDN w:val="0"/>
        <w:autoSpaceDE w:val="0"/>
        <w:widowControl/>
        <w:spacing w:line="264" w:lineRule="auto" w:before="2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710" w:right="137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 list by November 2023. However, fast-evolving technology items will be finalized in December 2023,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order to ensure availability of the items in 2024. All pre-survey work will be conducted through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Item List Management Tool (ILMT). </w:t>
      </w:r>
    </w:p>
    <w:p>
      <w:pPr>
        <w:autoSpaceDN w:val="0"/>
        <w:autoSpaceDE w:val="0"/>
        <w:widowControl/>
        <w:spacing w:line="245" w:lineRule="auto" w:before="238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noted that for all surveys the key objective is to introduce only necessary updates, based on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market realities especially for fast-evolving technology items, or findings from the previous cycle. For non-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household consumption surveys, it was noted that limited changes are expected for the private education,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housing, and government compensation surveys. For the machinery and equipment survey, however,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 substantial update is needed, while for construction, feedback on the current item definitions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welcomed.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Separately, the IACG discussed the item types in relation to brands. Currently, the item types cover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specified brand, well-known brand, brandless, and brand not relevant item types, while for clothing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small and large household appliances the well-known brand category is further divided into high, medium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low. The IACG agreed to suggest a list of high, medium, and low brands, in order to gain a better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understanding of the brand levels across the regions and countries. To this end, the ICP Global Office will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prepare related materials based on earlier listings developed for the ICP 2017 cycle. </w:t>
      </w:r>
    </w:p>
    <w:p>
      <w:pPr>
        <w:autoSpaceDN w:val="0"/>
        <w:autoSpaceDE w:val="0"/>
        <w:widowControl/>
        <w:spacing w:line="245" w:lineRule="auto" w:before="242" w:after="0"/>
        <w:ind w:left="2" w:right="20" w:hanging="2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>Subsequently, the Global Office presented a detailed analysis of the curre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nt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2" w:history="1">
          <w:r>
            <w:rPr>
              <w:rStyle w:val="Hyperlink"/>
            </w:rPr>
            <w:t>ICP classification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1" w:history="1">
          <w:r>
            <w:rPr>
              <w:rStyle w:val="Hyperlink"/>
            </w:rPr>
            <w:t>Classification of Individual Consumption According to Purpose (COICOP) 2018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an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2" w:history="1">
          <w:r>
            <w:rPr>
              <w:rStyle w:val="Hyperlink"/>
            </w:rPr>
            <w:t>d the potential im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pact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1" w:history="1">
          <w:r>
            <w:rPr>
              <w:rStyle w:val="Hyperlink"/>
            </w:rPr>
            <w:t>of the new COICOP. It was noted that while the main structure of the COIC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 stays the same, some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changes in various classifications can affect the current ICP classification as countries start adopting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new COICOP. RIAs reported that many countries have already adopted COICOP 2018 for CPI purposes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 in process of adopting it soon. The ICP Global Office and Regional Implementing Agencies agree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monitor countries’ progress in adopting the COICOP 2018, look for any changes needed for the ICP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classification, and continue the conversation in future IACG meetings. </w:t>
      </w:r>
    </w:p>
    <w:p>
      <w:pPr>
        <w:autoSpaceDN w:val="0"/>
        <w:autoSpaceDE w:val="0"/>
        <w:widowControl/>
        <w:spacing w:line="274" w:lineRule="auto" w:before="508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Planning for the 2023 governance activities and ICP 2021 cycle release </w:t>
      </w:r>
    </w:p>
    <w:p>
      <w:pPr>
        <w:autoSpaceDN w:val="0"/>
        <w:autoSpaceDE w:val="0"/>
        <w:widowControl/>
        <w:spacing w:line="264" w:lineRule="auto" w:before="234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The ICP Global Office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3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planned timetable for the upcoming governance activities in 2023. </w:t>
      </w:r>
    </w:p>
    <w:p>
      <w:pPr>
        <w:autoSpaceDN w:val="0"/>
        <w:autoSpaceDE w:val="0"/>
        <w:widowControl/>
        <w:spacing w:line="245" w:lineRule="auto" w:before="24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next ICP TAG meeting was scheduled for Summer 2023, based on the assumption that preliminary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results for household consumption would be available. However, given that the results are not available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comprehensive form, it was agreed to suggest postponing the TAG meeting to the Fall of 2023, and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hold the IACG and TAG meetings back-to-back. Furthermore, the Governing Board meeting is scheduled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take place by the end of 2023 and the ICP report for the United Nations Statistical Commission (UNSC)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due to by November 2023. The report is anticipated to be presented “for discussion” at the UNSC. </w:t>
      </w:r>
    </w:p>
    <w:p>
      <w:pPr>
        <w:autoSpaceDN w:val="0"/>
        <w:autoSpaceDE w:val="0"/>
        <w:widowControl/>
        <w:spacing w:line="245" w:lineRule="auto" w:before="242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regards to the operational activities for the ICP 2021 cycle, it was decided to keep a schedule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rolling data submissions as data becomes available, with ongoing global and regional validation and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assessment. The next formal data submission for a complete set of data is due in September 2023.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Additionally, "Operational Clinics” to address any technical issues are to be arranged virtually as needed. </w:t>
      </w:r>
    </w:p>
    <w:p>
      <w:pPr>
        <w:autoSpaceDN w:val="0"/>
        <w:autoSpaceDE w:val="0"/>
        <w:widowControl/>
        <w:spacing w:line="264" w:lineRule="auto" w:before="15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710" w:right="137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Planning for an approach to produce annual ICP results and forecasts </w:t>
      </w:r>
    </w:p>
    <w:p>
      <w:pPr>
        <w:autoSpaceDN w:val="0"/>
        <w:autoSpaceDE w:val="0"/>
        <w:widowControl/>
        <w:spacing w:line="245" w:lineRule="auto" w:before="2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ICP Global Office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4" w:history="1">
          <w:r>
            <w:rPr>
              <w:rStyle w:val="Hyperlink"/>
            </w:rPr>
            <w:t>presented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 assessment of the ICP’s advances over the years and noted the user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expectation of more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4" w:history="1">
          <w:r>
            <w:rPr>
              <w:rStyle w:val="Hyperlink"/>
            </w:rPr>
            <w:t>frequent 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nd recent results. As of now, the ICP cycles are, in principle, conducted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every three years; however, the cycle frequency together with the time required to produce the results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 that most recent ICP results can be deemed outdated by modern standards. In addition, the current </w:t>
      </w:r>
      <w:r>
        <w:rPr>
          <w:rFonts w:ascii="Calibri" w:hAnsi="Calibri" w:eastAsia="Calibri"/>
          <w:b w:val="0"/>
          <w:i w:val="0"/>
          <w:color w:val="000000"/>
          <w:sz w:val="22"/>
        </w:rPr>
        <w:t>approach does not allow incorporating regional results</w:t>
      </w:r>
      <w:r>
        <w:rPr>
          <w:rFonts w:ascii="Calibri" w:hAnsi="Calibri" w:eastAsia="Calibri"/>
          <w:b w:val="0"/>
          <w:i w:val="0"/>
          <w:color w:val="000000"/>
          <w:sz w:val="14"/>
        </w:rPr>
        <w:t>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before the next global results are released. </w:t>
      </w:r>
    </w:p>
    <w:p>
      <w:pPr>
        <w:autoSpaceDN w:val="0"/>
        <w:autoSpaceDE w:val="0"/>
        <w:widowControl/>
        <w:spacing w:line="245" w:lineRule="auto" w:before="2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address users’ needs for more recent data, a path to produce annual PPPs was discussed. It was noted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two annual PPP programs are already in place, namely, the Eurostat-OECD PPP Programme and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Western Asia PPP program. Furthermore, it was stressed that many of the elements for an annual PPP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production of global PPPs are already developed; however, a systematic production approach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schedule needs to be agreed by the IACG. </w:t>
      </w:r>
    </w:p>
    <w:p>
      <w:pPr>
        <w:autoSpaceDN w:val="0"/>
        <w:autoSpaceDE w:val="0"/>
        <w:widowControl/>
        <w:spacing w:line="252" w:lineRule="auto" w:before="2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was agreed that the ICP Global Office will draft a note describing the suggested approach to produce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annual PPPs at the global level, for discussion at the forthcoming ICP TAG and Governing Board meetings. </w:t>
      </w:r>
    </w:p>
    <w:p>
      <w:pPr>
        <w:autoSpaceDN w:val="0"/>
        <w:autoSpaceDE w:val="0"/>
        <w:widowControl/>
        <w:spacing w:line="264" w:lineRule="auto" w:before="0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RIAs will be invited to provide inputs, as needed, as well as review and comment on the note. </w:t>
      </w:r>
    </w:p>
    <w:p>
      <w:pPr>
        <w:autoSpaceDN w:val="0"/>
        <w:autoSpaceDE w:val="0"/>
        <w:widowControl/>
        <w:spacing w:line="274" w:lineRule="auto" w:before="506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Any other business </w:t>
      </w:r>
    </w:p>
    <w:p>
      <w:pPr>
        <w:autoSpaceDN w:val="0"/>
        <w:autoSpaceDE w:val="0"/>
        <w:widowControl/>
        <w:spacing w:line="245" w:lineRule="auto" w:before="234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World Bank hosted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5" w:history="1">
          <w:r>
            <w:rPr>
              <w:rStyle w:val="Hyperlink"/>
            </w:rPr>
            <w:t>9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14"/>
        </w:rPr>
        <w:hyperlink r:id="rId25" w:history="1">
          <w:r>
            <w:rPr>
              <w:rStyle w:val="Hyperlink"/>
            </w:rPr>
            <w:t>th</w:t>
          </w:r>
        </w:hyperlink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5" w:history="1">
          <w:r>
            <w:rPr>
              <w:rStyle w:val="Hyperlink"/>
            </w:rPr>
            <w:t xml:space="preserve"> International Conference on Agricultural Statistics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5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organized by the World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Bank, Food and Agriculture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5" w:history="1">
          <w:r>
            <w:rPr>
              <w:rStyle w:val="Hyperlink"/>
            </w:rPr>
            <w:t>Organization (FAO), and the United States Departmen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 of Agriculture (USDA).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 event included a session entitled "Tracking Access to Healthy Diets" which discussed t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6" w:history="1">
          <w:r>
            <w:rPr>
              <w:rStyle w:val="Hyperlink"/>
            </w:rPr>
            <w:t xml:space="preserve">he methods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6" w:history="1">
          <w:r>
            <w:rPr>
              <w:rStyle w:val="Hyperlink"/>
            </w:rPr>
            <w:t>used to calcu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late the Cost and Affordability of Healthy Diets (CoAHD) indicators developed by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6" w:history="1">
          <w:r>
            <w:rPr>
              <w:rStyle w:val="Hyperlink"/>
            </w:rPr>
            <w:t>Food Prices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2"/>
        </w:rPr>
        <w:t xml:space="preserve"> 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2"/>
        </w:rPr>
        <w:hyperlink r:id="rId26" w:history="1">
          <w:r>
            <w:rPr>
              <w:rStyle w:val="Hyperlink"/>
            </w:rPr>
            <w:t>for Nutrition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based on ICP data among other sources. The attendees of the IACG meeting we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6" w:history="1">
          <w:r>
            <w:rPr>
              <w:rStyle w:val="Hyperlink"/>
            </w:rPr>
            <w:t xml:space="preserve">re invited to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26" w:history="1">
          <w:r>
            <w:rPr>
              <w:rStyle w:val="Hyperlink"/>
            </w:rPr>
            <w:t>attend the se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ssion. </w:t>
      </w:r>
    </w:p>
    <w:p>
      <w:pPr>
        <w:autoSpaceDN w:val="0"/>
        <w:autoSpaceDE w:val="0"/>
        <w:widowControl/>
        <w:spacing w:line="264" w:lineRule="auto" w:before="5442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3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Aside of the Eurostat-OECD, which serves as the base region for the global comparison. </w:t>
      </w:r>
    </w:p>
    <w:p>
      <w:pPr>
        <w:autoSpaceDN w:val="0"/>
        <w:autoSpaceDE w:val="0"/>
        <w:widowControl/>
        <w:spacing w:line="264" w:lineRule="auto" w:before="1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710" w:right="137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auto" w:before="0" w:after="17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1: Meeting Agenda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45"/>
        <w:gridCol w:w="3145"/>
        <w:gridCol w:w="3145"/>
      </w:tblGrid>
      <w:tr>
        <w:trPr>
          <w:trHeight w:hRule="exact" w:val="744"/>
        </w:trPr>
        <w:tc>
          <w:tcPr>
            <w:tcW w:type="dxa" w:w="8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0" w:val="left"/>
              </w:tabs>
              <w:autoSpaceDE w:val="0"/>
              <w:widowControl/>
              <w:spacing w:line="257" w:lineRule="auto" w:before="60" w:after="0"/>
              <w:ind w:left="20" w:right="48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1: MONDAY, MAY 15, 2023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09:10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Opening remarks </w:t>
            </w:r>
          </w:p>
        </w:tc>
      </w:tr>
      <w:tr>
        <w:trPr>
          <w:trHeight w:hRule="exact" w:val="67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09:10– 12:00 </w:t>
            </w:r>
          </w:p>
        </w:tc>
        <w:tc>
          <w:tcPr>
            <w:tcW w:type="dxa" w:w="7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1180" w:val="left"/>
              </w:tabs>
              <w:autoSpaceDE w:val="0"/>
              <w:widowControl/>
              <w:spacing w:line="252" w:lineRule="auto" w:before="108" w:after="0"/>
              <w:ind w:left="460" w:right="144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Regional updates on the ICP 2021 cycle implementation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Country participation status </w:t>
            </w:r>
          </w:p>
        </w:tc>
      </w:tr>
      <w:tr>
        <w:trPr>
          <w:trHeight w:hRule="exact" w:val="264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Implementation status </w:t>
            </w:r>
          </w:p>
        </w:tc>
      </w:tr>
      <w:tr>
        <w:trPr>
          <w:trHeight w:hRule="exact" w:val="1340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45" w:lineRule="auto" w:before="0" w:after="0"/>
              <w:ind w:left="260" w:right="864" w:firstLine="0"/>
              <w:jc w:val="left"/>
            </w:pP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Survey status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Expenditure compilation status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submission and validation status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PPP estimation status (2021, 2017, timeseries)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Recent and forthcoming workshops and meetings </w:t>
            </w:r>
          </w:p>
        </w:tc>
      </w:tr>
      <w:tr>
        <w:trPr>
          <w:trHeight w:hRule="exact" w:val="400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Outreach activities and announcements </w:t>
            </w:r>
          </w:p>
        </w:tc>
      </w:tr>
      <w:tr>
        <w:trPr>
          <w:trHeight w:hRule="exact" w:val="68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6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13:00 – 14:00 </w:t>
            </w:r>
          </w:p>
        </w:tc>
        <w:tc>
          <w:tcPr>
            <w:tcW w:type="dxa" w:w="7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1180" w:val="left"/>
              </w:tabs>
              <w:autoSpaceDE w:val="0"/>
              <w:widowControl/>
              <w:spacing w:line="252" w:lineRule="auto" w:before="114" w:after="0"/>
              <w:ind w:left="460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Global updates on the ICP 2021 cycle implementation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Overall ICP 2021 cycle timetable and production roadmap </w:t>
            </w:r>
          </w:p>
        </w:tc>
      </w:tr>
      <w:tr>
        <w:trPr>
          <w:trHeight w:hRule="exact" w:val="268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Operational material and guidance </w:t>
            </w:r>
          </w:p>
        </w:tc>
      </w:tr>
      <w:tr>
        <w:trPr>
          <w:trHeight w:hRule="exact" w:val="270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submission and validation status </w:t>
            </w:r>
          </w:p>
        </w:tc>
      </w:tr>
      <w:tr>
        <w:trPr>
          <w:trHeight w:hRule="exact" w:val="262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Risk assessment </w:t>
            </w:r>
          </w:p>
        </w:tc>
      </w:tr>
      <w:tr>
        <w:trPr>
          <w:trHeight w:hRule="exact" w:val="400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Outreach activities and announcement </w:t>
            </w:r>
          </w:p>
        </w:tc>
      </w:tr>
      <w:tr>
        <w:trPr>
          <w:trHeight w:hRule="exact" w:val="49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6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17:00 </w:t>
            </w:r>
          </w:p>
        </w:tc>
        <w:tc>
          <w:tcPr>
            <w:tcW w:type="dxa" w:w="7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6" w:after="0"/>
              <w:ind w:left="4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Household consumption price and importance data </w:t>
            </w:r>
          </w:p>
        </w:tc>
      </w:tr>
    </w:tbl>
    <w:p>
      <w:pPr>
        <w:autoSpaceDN w:val="0"/>
        <w:autoSpaceDE w:val="0"/>
        <w:widowControl/>
        <w:spacing w:line="274" w:lineRule="auto" w:before="170" w:after="17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DAY 2: TUESDAY, MAY 16, 2023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8"/>
        <w:gridCol w:w="4718"/>
      </w:tblGrid>
      <w:tr>
        <w:trPr>
          <w:trHeight w:hRule="exact" w:val="48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10:30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Housing prices and volumes </w:t>
            </w:r>
          </w:p>
        </w:tc>
      </w:tr>
      <w:tr>
        <w:trPr>
          <w:trHeight w:hRule="exact" w:val="54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10:45 – 11:30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Private education </w:t>
            </w:r>
          </w:p>
        </w:tc>
      </w:tr>
      <w:tr>
        <w:trPr>
          <w:trHeight w:hRule="exact" w:val="52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11:30 – 14:00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Government compensation and productivity adjustment </w:t>
            </w:r>
          </w:p>
        </w:tc>
      </w:tr>
      <w:tr>
        <w:trPr>
          <w:trHeight w:hRule="exact" w:val="54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14:00 – 15:30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Machinery and equipment </w:t>
            </w:r>
          </w:p>
        </w:tc>
      </w:tr>
      <w:tr>
        <w:trPr>
          <w:trHeight w:hRule="exact" w:val="688"/>
        </w:trPr>
        <w:tc>
          <w:tcPr>
            <w:tcW w:type="dxa" w:w="9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8" w:val="left"/>
              </w:tabs>
              <w:autoSpaceDE w:val="0"/>
              <w:widowControl/>
              <w:spacing w:line="274" w:lineRule="auto" w:before="12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15:45 – 17:00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Construction and civil engineering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DAY 3: WEDNESDAY, MAY 17, 2023 </w:t>
            </w:r>
          </w:p>
        </w:tc>
      </w:tr>
      <w:tr>
        <w:trPr>
          <w:trHeight w:hRule="exact" w:val="652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11:15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2017-2021 National accounts expenditures </w:t>
            </w:r>
          </w:p>
        </w:tc>
      </w:tr>
      <w:tr>
        <w:trPr>
          <w:trHeight w:hRule="exact" w:val="540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11:15 – 12:00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2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Data review: 2017-2021 Population and market exchange rates </w:t>
            </w:r>
          </w:p>
        </w:tc>
      </w:tr>
      <w:tr>
        <w:trPr>
          <w:trHeight w:hRule="exact" w:val="496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13:00 – 17:00 </w:t>
            </w:r>
          </w:p>
        </w:tc>
        <w:tc>
          <w:tcPr>
            <w:tcW w:type="dxa" w:w="8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0" w:after="0"/>
              <w:ind w:left="9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Result review: draft revised 2017 and 2021 results </w:t>
            </w:r>
          </w:p>
        </w:tc>
      </w:tr>
    </w:tbl>
    <w:p>
      <w:pPr>
        <w:autoSpaceDN w:val="0"/>
        <w:autoSpaceDE w:val="0"/>
        <w:widowControl/>
        <w:spacing w:line="274" w:lineRule="auto" w:before="172" w:after="17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DAY 4: THURSDAY, MAY 18, 2023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45"/>
        <w:gridCol w:w="3145"/>
        <w:gridCol w:w="3145"/>
      </w:tblGrid>
      <w:tr>
        <w:trPr>
          <w:trHeight w:hRule="exact" w:val="614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09:00 – 10:30 </w:t>
            </w:r>
          </w:p>
        </w:tc>
        <w:tc>
          <w:tcPr>
            <w:tcW w:type="dxa" w:w="5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  <w:tab w:pos="1180" w:val="left"/>
              </w:tabs>
              <w:autoSpaceDE w:val="0"/>
              <w:widowControl/>
              <w:spacing w:line="252" w:lineRule="auto" w:before="48" w:after="0"/>
              <w:ind w:left="460" w:right="216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Planning for the ICP 2024 cycle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Timetable </w:t>
            </w:r>
          </w:p>
        </w:tc>
      </w:tr>
      <w:tr>
        <w:trPr>
          <w:trHeight w:hRule="exact" w:val="342"/>
        </w:trPr>
        <w:tc>
          <w:tcPr>
            <w:tcW w:type="dxa" w:w="3145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Operational materials </w:t>
            </w:r>
          </w:p>
        </w:tc>
      </w:tr>
    </w:tbl>
    <w:p>
      <w:pPr>
        <w:autoSpaceDN w:val="0"/>
        <w:autoSpaceDE w:val="0"/>
        <w:widowControl/>
        <w:spacing w:line="264" w:lineRule="auto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710" w:right="1392" w:bottom="4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4"/>
        <w:ind w:left="0" w:right="0"/>
      </w:pPr>
    </w:p>
    <w:p>
      <w:pPr>
        <w:autoSpaceDN w:val="0"/>
        <w:tabs>
          <w:tab w:pos="2160" w:val="left"/>
        </w:tabs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10:45 – 12:00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ICP PPP calculation tools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2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13:00 – 14:00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Planning for the 2023 governance activities and ICP 2021 cycle release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2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14:15 – 16:30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Planning for an approach to produce annual ICP results and forecasts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2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16:30 – 17:00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Any other business and closing </w:t>
      </w:r>
    </w:p>
    <w:p>
      <w:pPr>
        <w:autoSpaceDN w:val="0"/>
        <w:autoSpaceDE w:val="0"/>
        <w:widowControl/>
        <w:spacing w:line="264" w:lineRule="auto" w:before="109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844" w:right="144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0" w:lineRule="auto" w:before="0" w:after="0"/>
        <w:ind w:left="2" w:right="432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Annex 2: List of participants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African Development Bank (AfDB)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Ben Paul Mungyereza (by videoconference)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Gregoire Mboya de Loubassou (in-person)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Charles Sessede (by videoconference)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Symphorien Ndang Tabo (by videoconference)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2" w:lineRule="auto" w:before="242" w:after="0"/>
        <w:ind w:left="0" w:right="57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Asian Development Bank (ADB)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Kaushal Joshi (in-person)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Criselda H. De Dios (in-person)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4" w:lineRule="auto" w:before="242" w:after="0"/>
        <w:ind w:left="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Interstate Statistical Committee of the Commonwealth of Independent States (CIS-STAT)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Andrey Kosarev (by videoconference)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Valerica Accibas (by videoconference)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4" w:lineRule="auto" w:before="240" w:after="0"/>
        <w:ind w:left="2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Organisation for Economic Co-operation and Development (OECD)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Daniel Sanchez Serra (by videoconference)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Sophie Bournot (in-person)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2" w:lineRule="auto" w:before="242" w:after="0"/>
        <w:ind w:left="2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Statistical Office of the European Communities (Eurostat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Mihai-Iulian Gheorghe (in-person)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Eleonora-Maria Dumitrascu (by videoconference)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2" w:lineRule="auto" w:before="242" w:after="0"/>
        <w:ind w:left="2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United Nations Economic Commission for Latin America and the Caribbean (UN-ECLAC)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Claudia de Camino Ferrario (in-person)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Lady Infante (by videoconference)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Ernestina Perez (by videoconference)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4" w:lineRule="auto" w:before="242" w:after="0"/>
        <w:ind w:left="0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United Nations Economic and Social Commission for Western Asia (UN-ESCWA)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Majed Skaini (in-person)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Sadim Sbeiti (by videoconference) </w:t>
      </w:r>
    </w:p>
    <w:p>
      <w:pPr>
        <w:autoSpaceDN w:val="0"/>
        <w:tabs>
          <w:tab w:pos="362" w:val="left"/>
          <w:tab w:pos="722" w:val="left"/>
        </w:tabs>
        <w:autoSpaceDE w:val="0"/>
        <w:widowControl/>
        <w:spacing w:line="254" w:lineRule="auto" w:before="242" w:after="0"/>
        <w:ind w:left="2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International Monetary Fund (IMF)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Brian Graf (in-person) </w:t>
      </w:r>
    </w:p>
    <w:p>
      <w:pPr>
        <w:autoSpaceDN w:val="0"/>
        <w:tabs>
          <w:tab w:pos="360" w:val="left"/>
          <w:tab w:pos="362" w:val="left"/>
          <w:tab w:pos="720" w:val="left"/>
          <w:tab w:pos="722" w:val="left"/>
        </w:tabs>
        <w:autoSpaceDE w:val="0"/>
        <w:widowControl/>
        <w:spacing w:line="250" w:lineRule="auto" w:before="242" w:after="0"/>
        <w:ind w:left="2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World Bank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Nada Hamadeh (in-person)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Marko Rissanen (in-person)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Giovanni Tonutti (in-person)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Inyoung Song (in-person) </w:t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Maurice Nsabimana (in-person) </w:t>
      </w:r>
      <w:r>
        <w:br/>
      </w:r>
      <w:r>
        <w:tab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Mizuki Yamanaka (in-person)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Nancy Kebe (in-person)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Rui Costa (in-person)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William Vigil-Oliver (by videoconference)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Yan Bai (in-person) </w:t>
      </w:r>
    </w:p>
    <w:p>
      <w:pPr>
        <w:autoSpaceDN w:val="0"/>
        <w:autoSpaceDE w:val="0"/>
        <w:widowControl/>
        <w:spacing w:line="264" w:lineRule="auto" w:before="43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710" w:right="1440" w:bottom="490" w:left="14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62" w:lineRule="auto" w:before="0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−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Yuri Dikhanov (in-person) </w:t>
      </w:r>
    </w:p>
    <w:p>
      <w:pPr>
        <w:autoSpaceDN w:val="0"/>
        <w:autoSpaceDE w:val="0"/>
        <w:widowControl/>
        <w:spacing w:line="264" w:lineRule="auto" w:before="1283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sectPr w:rsidR="00FC693F" w:rsidRPr="0006063C" w:rsidSect="00034616">
      <w:pgSz w:w="12240" w:h="15840"/>
      <w:pgMar w:top="718" w:right="1440" w:bottom="4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orldbank.org/en/programs/icp/brief/iacg-may-2023" TargetMode="External"/><Relationship Id="rId11" Type="http://schemas.openxmlformats.org/officeDocument/2006/relationships/hyperlink" Target="https://thedocs.worldbank.org/en/doc/626ce204fb13f1916e76fe1bdb01a75e-0050022023/original/ICP-IACG07-Regional-Update-ASI-v.pdf" TargetMode="External"/><Relationship Id="rId12" Type="http://schemas.openxmlformats.org/officeDocument/2006/relationships/hyperlink" Target="https://icp.adb.org/overview" TargetMode="External"/><Relationship Id="rId13" Type="http://schemas.openxmlformats.org/officeDocument/2006/relationships/hyperlink" Target="https://www.adb.org/publications/series/key-indicators-for-asia-and-the-pacific" TargetMode="External"/><Relationship Id="rId14" Type="http://schemas.openxmlformats.org/officeDocument/2006/relationships/hyperlink" Target="https://thedocs.worldbank.org/en/doc/7733b5bfa3ce085fe191f0e463973113-0050022022/original/ICP-IACG07-Regional-Update-EUO.pdf" TargetMode="External"/><Relationship Id="rId15" Type="http://schemas.openxmlformats.org/officeDocument/2006/relationships/hyperlink" Target="https://thedocs.worldbank.org/en/doc/6b40c4b7a4e7e1863244c52bee2ee91a-0050022022/original/ICP-IACG07-Regional-Update-CIS.pdf" TargetMode="External"/><Relationship Id="rId16" Type="http://schemas.openxmlformats.org/officeDocument/2006/relationships/hyperlink" Target="https://thedocs.worldbank.org/en/doc/0c6d193836337bf5a2bd4932bfaf56c4-0050022022/original/ICP-IACG07-Regional-Update-LAC.pdf" TargetMode="External"/><Relationship Id="rId17" Type="http://schemas.openxmlformats.org/officeDocument/2006/relationships/hyperlink" Target="https://thedocs.worldbank.org/en/doc/3b690988e15b9f17404702680114f535-0050022022/original/ICP-IACG07-Regional-Update-WAS.pdf" TargetMode="External"/><Relationship Id="rId18" Type="http://schemas.openxmlformats.org/officeDocument/2006/relationships/hyperlink" Target="https://thedocs.worldbank.org/en/doc/8aa8d0ea88d8766a572e7495950e2eb7-0050022022/original/ICP-IACG07-Global-Update.pdf" TargetMode="External"/><Relationship Id="rId19" Type="http://schemas.openxmlformats.org/officeDocument/2006/relationships/hyperlink" Target="https://pubdocs.worldbank.org/en/843651487094174411/OG-ch14.pdf" TargetMode="External"/><Relationship Id="rId20" Type="http://schemas.openxmlformats.org/officeDocument/2006/relationships/hyperlink" Target="https://www.oecd.org/sdd/prices-ppp/11-3012041ec013.pdf" TargetMode="External"/><Relationship Id="rId21" Type="http://schemas.openxmlformats.org/officeDocument/2006/relationships/hyperlink" Target="https://unstats.un.org/unsd/classifications/business-trade/desc/COICOP_english/COICOP_2018_-_pre-edited_white_cover_version_-_2018-12-26.pdf" TargetMode="External"/><Relationship Id="rId22" Type="http://schemas.openxmlformats.org/officeDocument/2006/relationships/hyperlink" Target="https://thedocs.worldbank.org/en/doc/708531575560035925-0050022019/original/ICPClassificationdescription20191205.pdf" TargetMode="External"/><Relationship Id="rId23" Type="http://schemas.openxmlformats.org/officeDocument/2006/relationships/hyperlink" Target="https://thedocs.worldbank.org/en/doc/61d1dbcd4bf29b93954c6c95b0c27b14-0050022022/original/ICP-IACG07-Planning-for-the-2023-governance-activities-and-ICP-2021-cycle-release.pdf" TargetMode="External"/><Relationship Id="rId24" Type="http://schemas.openxmlformats.org/officeDocument/2006/relationships/hyperlink" Target="https://thedocs.worldbank.org/en/doc/9bd8c2f63c417c17e646b8853c2707dd-0050022022/original/ICP-IACG07-Path-Towards-Annual-PPP-Estimates.pdf" TargetMode="External"/><Relationship Id="rId25" Type="http://schemas.openxmlformats.org/officeDocument/2006/relationships/hyperlink" Target="https://www.icas2023.org/event/81d4aa3a-b001-4bbe-b474-b351cd20d6d1/websitePage:f576cf49-189c-4f98-9dc2-7ee9d415dc4f" TargetMode="External"/><Relationship Id="rId26" Type="http://schemas.openxmlformats.org/officeDocument/2006/relationships/hyperlink" Target="https://www.worldbank.org/en/programs/icp/brief/foodpricesfornutr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