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198879" cy="723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98879" cy="72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312" w:after="0"/>
        <w:ind w:left="0" w:right="0" w:firstLine="0"/>
        <w:jc w:val="center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MINUTES OF THE INTERNATIONAL COMPARISON PROGRAM </w:t>
      </w:r>
    </w:p>
    <w:p>
      <w:pPr>
        <w:autoSpaceDN w:val="0"/>
        <w:autoSpaceDE w:val="0"/>
        <w:widowControl/>
        <w:spacing w:line="197" w:lineRule="auto" w:before="316" w:after="0"/>
        <w:ind w:left="0" w:right="0" w:firstLine="0"/>
        <w:jc w:val="center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TECHNICAL ADVISORY GROUP </w:t>
      </w:r>
    </w:p>
    <w:p>
      <w:pPr>
        <w:autoSpaceDN w:val="0"/>
        <w:autoSpaceDE w:val="0"/>
        <w:widowControl/>
        <w:spacing w:line="197" w:lineRule="auto" w:before="316" w:after="0"/>
        <w:ind w:left="0" w:right="0" w:firstLine="0"/>
        <w:jc w:val="center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APRIL 30, 2024 </w:t>
      </w:r>
    </w:p>
    <w:p>
      <w:pPr>
        <w:autoSpaceDN w:val="0"/>
        <w:autoSpaceDE w:val="0"/>
        <w:widowControl/>
        <w:spacing w:line="197" w:lineRule="auto" w:before="318" w:after="0"/>
        <w:ind w:left="0" w:right="0" w:firstLine="0"/>
        <w:jc w:val="center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Online meeting </w:t>
      </w:r>
    </w:p>
    <w:p>
      <w:pPr>
        <w:autoSpaceDN w:val="0"/>
        <w:autoSpaceDE w:val="0"/>
        <w:widowControl/>
        <w:spacing w:line="197" w:lineRule="auto" w:before="322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Welcome and meeting objectives </w:t>
      </w:r>
    </w:p>
    <w:p>
      <w:pPr>
        <w:autoSpaceDN w:val="0"/>
        <w:autoSpaceDE w:val="0"/>
        <w:widowControl/>
        <w:spacing w:line="245" w:lineRule="auto" w:before="47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Technical Advisory Group (TAG) of the International Comparison Program (ICP) held an online meeting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on April 30, 2024. </w:t>
      </w:r>
    </w:p>
    <w:p>
      <w:pPr>
        <w:autoSpaceDN w:val="0"/>
        <w:autoSpaceDE w:val="0"/>
        <w:widowControl/>
        <w:spacing w:line="245" w:lineRule="auto" w:before="314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main objectives of the meeting were to update the Group on the progress of the current ICP 2021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cycle, discuss the final results of the 2021 cycle, and the plans for the release of the results, as per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meeting agenda provided in Annex 1. In attendance were the TAG Chair, members and observers,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representatives from the Regional Implementing Agencies (RIAs), and staff from the World Bank ICP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Global Office, which serves as TAG secretariat, and other World Bank staff, as listed in Annex 2. The public </w:t>
      </w:r>
      <w:r>
        <w:rPr>
          <w:rFonts w:ascii="Calibri" w:hAnsi="Calibri" w:eastAsia="Calibri"/>
          <w:b w:val="0"/>
          <w:i w:val="0"/>
          <w:color w:val="000000"/>
          <w:sz w:val="22"/>
        </w:rPr>
        <w:t>meeting documents and presentations are available on the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  <w:r>
        <w:rPr>
          <w:u w:val="single" w:color="0462c1"/>
          <w:rFonts w:ascii="Calibri" w:hAnsi="Calibri" w:eastAsia="Calibri"/>
          <w:b w:val="0"/>
          <w:i w:val="0"/>
          <w:color w:val="0563C1"/>
          <w:sz w:val="22"/>
        </w:rPr>
        <w:hyperlink r:id="rId10" w:history="1">
          <w:r>
            <w:rPr>
              <w:rStyle w:val="Hyperlink"/>
            </w:rPr>
            <w:t>ICP website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2"/>
        </w:rPr>
        <w:hyperlink r:id="rId10" w:history="1">
          <w:r>
            <w:rPr>
              <w:rStyle w:val="Hyperlink"/>
            </w:rPr>
            <w:t>.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31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Paul Schreyer, TAG Chair, welcomed all participants and provided an overview of the agenda, including </w:t>
      </w:r>
      <w:r>
        <w:rPr>
          <w:rFonts w:ascii="Calibri" w:hAnsi="Calibri" w:eastAsia="Calibri"/>
          <w:b w:val="0"/>
          <w:i w:val="0"/>
          <w:color w:val="000000"/>
          <w:sz w:val="22"/>
        </w:rPr>
        <w:t>the main ICP 2021 benchmark results and estimates for more recent years, revised ICP 2017 results, 2017-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2021 time series, and non-benchmark country estimates. The Chair also highlighted the confidentiality of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all shared and presented results. </w:t>
      </w:r>
    </w:p>
    <w:p>
      <w:pPr>
        <w:autoSpaceDN w:val="0"/>
        <w:autoSpaceDE w:val="0"/>
        <w:widowControl/>
        <w:spacing w:line="197" w:lineRule="auto" w:before="322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Session I: ICP 2021 cycle results </w:t>
      </w:r>
    </w:p>
    <w:p>
      <w:pPr>
        <w:autoSpaceDN w:val="0"/>
        <w:autoSpaceDE w:val="0"/>
        <w:widowControl/>
        <w:spacing w:line="197" w:lineRule="auto" w:before="478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ICP 2021 results and forecasts </w:t>
      </w:r>
    </w:p>
    <w:p>
      <w:pPr>
        <w:autoSpaceDN w:val="0"/>
        <w:autoSpaceDE w:val="0"/>
        <w:widowControl/>
        <w:spacing w:line="245" w:lineRule="auto" w:before="318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Marko Rissanen, World Bank, presented the ICP 2021 cycle results and PPP estimates for more recent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years. The presentation was divided into four parts: (i) general updates; (ii) data quality assurance and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results of simulations discussed in previous TAG meetings, (iii) benchmark ICP 2021 global results; and (iv)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PPP estimates for 2022-2026 period. </w:t>
      </w:r>
    </w:p>
    <w:p>
      <w:pPr>
        <w:autoSpaceDN w:val="0"/>
        <w:autoSpaceDE w:val="0"/>
        <w:widowControl/>
        <w:spacing w:line="245" w:lineRule="auto" w:before="318" w:after="0"/>
        <w:ind w:left="0" w:right="22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On general updates, it was announced that Kosovo will be included as a benchmark country, based on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available Eurostat-OECD PPPs for household consumption: this increases the total number of participating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economies in the ICP 2021 cycle to 176. The outcomes of both the latest United Nations Statistical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Commission (UNSC) Session and the Governing Board meeting that took place after the previous TAG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meeting were also presented. </w:t>
      </w:r>
    </w:p>
    <w:p>
      <w:pPr>
        <w:autoSpaceDN w:val="0"/>
        <w:autoSpaceDE w:val="0"/>
        <w:widowControl/>
        <w:spacing w:line="197" w:lineRule="auto" w:before="938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 </w:t>
      </w:r>
    </w:p>
    <w:p>
      <w:pPr>
        <w:sectPr>
          <w:pgSz w:w="12240" w:h="15840"/>
          <w:pgMar w:top="720" w:right="136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Regarding data submissions and quality assurance, it was noted that most regions had submitted updated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data in April, which had a positive impact on the overall input data quality. The presented input data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quality metrics included the number of priced items across regions; basic heading and item coefficients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of variation number; and the regional and global shares of “potentially problematic items”. It was noted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that the input data quality metrics had improved since the last TAG meeting in February and that they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were at the level of, or partially exceeding, the final ICP 2017 results. </w:t>
      </w:r>
    </w:p>
    <w:p>
      <w:pPr>
        <w:autoSpaceDN w:val="0"/>
        <w:autoSpaceDE w:val="0"/>
        <w:widowControl/>
        <w:spacing w:line="245" w:lineRule="auto" w:before="316" w:after="0"/>
        <w:ind w:left="0" w:right="22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standard ICP methodology has been largely maintained between the most recent ICP 2011, 2017, and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2021 cycles. However, in ICP 2021, the Commonwealth of Independent States (CIS) region was linked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through the standard global core list approach, unlike in ICP 2017, when the CIS region was linked through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Russian Federation, which participated at that time in both the OECD and CIS comparisons. For ICP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2017, the Russian Federation results are based on the OECD comparison, while for the ICP 2021, they are </w:t>
      </w:r>
      <w:r>
        <w:rPr>
          <w:rFonts w:ascii="Calibri" w:hAnsi="Calibri" w:eastAsia="Calibri"/>
          <w:b w:val="0"/>
          <w:i w:val="0"/>
          <w:color w:val="000000"/>
          <w:sz w:val="22"/>
        </w:rPr>
        <w:t>based on the CIS comparison.</w:t>
      </w:r>
      <w:r>
        <w:rPr>
          <w:rFonts w:ascii="Calibri" w:hAnsi="Calibri" w:eastAsia="Calibri"/>
          <w:b w:val="0"/>
          <w:i w:val="0"/>
          <w:color w:val="000000"/>
          <w:sz w:val="14"/>
        </w:rPr>
        <w:t>1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Furthermore, the Asia and Pacific region moved to the standard ICP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approach for estimating housing PPPs based on rental and volume data during the ICP 2021 cycle.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Following the TAG’s endorsement, the hybrid approach was utilized for the revised ICP 2017 results and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ICP 2021 results, both at the regional and global levels, instead of the previously utilized reference volume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approach. As previously discussed by the TAG, a series of simulations were conducted by the ICP Global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Office in order to evaluate the impact of methodological changes on the results to the extent possible. </w:t>
      </w:r>
    </w:p>
    <w:p>
      <w:pPr>
        <w:autoSpaceDN w:val="0"/>
        <w:autoSpaceDE w:val="0"/>
        <w:widowControl/>
        <w:spacing w:line="245" w:lineRule="auto" w:before="31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results of both simulations were in line with the previous simulation results. That is, the impact of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introducing CIS as the sixth region for global linking had negligible impact on the other regions’ results.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For the countries within the CIS region, the impact of moving from the OECD-Russia linking to global core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list linking, or the impact of the Russian Federation from moving from the OECD to CIS comparison, cannot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be simulated due to the lack of data; however, the differences between extrapolated and benchmark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were considered to fall under typical results, although the average difference was not close to or equal to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one. As for the impact of the new hybrid housing approach in the Asia and Pacific region, the introduction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of the approach had a negligible impact on other regions’ results. For countries within the Asia and Pacific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region, the impact reflects the regional results due to the fixity. </w:t>
      </w:r>
    </w:p>
    <w:p>
      <w:pPr>
        <w:autoSpaceDN w:val="0"/>
        <w:autoSpaceDE w:val="0"/>
        <w:widowControl/>
        <w:spacing w:line="245" w:lineRule="auto" w:before="31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presentation of the ICP 2021 results began by recasting the differences between extrapolated 2011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PPPs, using national deflators and consumer price indices (CPIs) to benchmark 2017 PPP results.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previously observed spectrum of differences and lack of any systematic patterns was highlighted. Given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this context, the ICP 2021 results were presented and compared to extrapolated 2017 PPPs, showing that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differences for this cycle fall within the expected margins. Furthermore, additional charts were presented: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(i) the relation between Price Level Indices to GDP per capita in PPP terms; (ii) the difference in Price Level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Indices by region between 2017 and 2021; (iii) the share of the world GDP in PPP terms by region; (iv)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ranking of countries by share of global GDP in PPP terms; (v) the ranking of countries by GDP per capita in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PPP terms; and (vi) the Gini Coefficient for the world between each ICP benchmark cycle since 2011. </w:t>
      </w:r>
    </w:p>
    <w:p>
      <w:pPr>
        <w:autoSpaceDN w:val="0"/>
        <w:autoSpaceDE w:val="0"/>
        <w:widowControl/>
        <w:spacing w:line="245" w:lineRule="auto" w:before="31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On the topic of PPP estimates for years beyond 2021, following the earlier discussions with the TAG,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ICP Global Office estimated a series of GDP PPPs from 2022 to 2026. These estimates were based on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2021 benchmark PPPs, GDP deflators, GDP estimates, population, and exchange rates, with data sourced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from the World Bank Macro Poverty Outlook (MPO) and the International Monetary Fund (IMF) World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Economic Outlook Database (WEO). The GDP PPP forecasts were then estimated by applying the </w:t>
      </w:r>
    </w:p>
    <w:p>
      <w:pPr>
        <w:autoSpaceDN w:val="0"/>
        <w:autoSpaceDE w:val="0"/>
        <w:widowControl/>
        <w:spacing w:line="245" w:lineRule="auto" w:before="684" w:after="0"/>
        <w:ind w:left="0" w:right="432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13"/>
        </w:rPr>
        <w:t>1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 This results in selected methodological differences, as the Eurostat-OECD PPP Programme employs different 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approaches from the other ICP regions on selected GDP components. </w:t>
      </w:r>
    </w:p>
    <w:p>
      <w:pPr>
        <w:autoSpaceDN w:val="0"/>
        <w:autoSpaceDE w:val="0"/>
        <w:widowControl/>
        <w:spacing w:line="197" w:lineRule="auto" w:before="228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 </w:t>
      </w:r>
    </w:p>
    <w:p>
      <w:pPr>
        <w:sectPr>
          <w:pgSz w:w="12240" w:h="15840"/>
          <w:pgMar w:top="742" w:right="136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difference between each country's inflation rate relative to the US, following the standard World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Development Indicators (WDI) method. </w:t>
      </w:r>
    </w:p>
    <w:p>
      <w:pPr>
        <w:autoSpaceDN w:val="0"/>
        <w:autoSpaceDE w:val="0"/>
        <w:widowControl/>
        <w:spacing w:line="197" w:lineRule="auto" w:before="31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TAG discussed each point presented and concluded the following: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284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Regarding the topic of methodological changes introduced in the ICP 2021, aside from discussion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on the impacts, these changes constitute a standardization and, thus, an improvement to the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consistency of the applied ICP methodology. Thus, the impact can be considered to be a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correction.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28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Regarding the ICP 2021 benchmark results, the TAG considered them reasonable and consistent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with differences observed during previous ICP cycles between the extrapolated and benchmark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results. The TAG also discussed various aspects of these results, namely the country rankings and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factors affecting the differences relative to extrapolated results. The TAG also discussed the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coming uses of the ICP 2021 cycle PPPs, including poverty.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28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As for PPPs beyond the most recent ICP benchmark year (2021), the TAG noted that the estimates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should not go beyond 2023 and should be based on extrapolations of available statistical data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rather than forecasted or otherwise estimated data, following the established extrapolation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>approach for the WDI.</w:t>
      </w:r>
      <w:r>
        <w:rPr>
          <w:rFonts w:ascii="Calibri" w:hAnsi="Calibri" w:eastAsia="Calibri"/>
          <w:b w:val="0"/>
          <w:i w:val="0"/>
          <w:color w:val="000000"/>
          <w:sz w:val="14"/>
        </w:rPr>
        <w:t>2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Furthermore, published Eurostat and OECD results for 2022 and 2023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>should be incorporated.</w:t>
      </w:r>
      <w:r>
        <w:rPr>
          <w:rFonts w:ascii="Calibri" w:hAnsi="Calibri" w:eastAsia="Calibri"/>
          <w:b w:val="0"/>
          <w:i w:val="0"/>
          <w:color w:val="000000"/>
          <w:sz w:val="14"/>
        </w:rPr>
        <w:t>3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The Global Office agreed to construct the 2022 and 2023 series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accordingly. </w:t>
      </w:r>
    </w:p>
    <w:p>
      <w:pPr>
        <w:autoSpaceDN w:val="0"/>
        <w:autoSpaceDE w:val="0"/>
        <w:widowControl/>
        <w:spacing w:line="245" w:lineRule="auto" w:before="318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Lastly, Yuri Dikhanov, World Bank, presented the feedback from the Computation Task Team, suggesting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potential future research agenda topics for the next ICP cycles: (i) revisiting the approach on dual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participation countries; (ii) revisiting the approach on productivity adjustments; (iii) revisiting the linking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approach for education and healthcare; and (iv) broader research on applied index numbers. The TAG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acknowledged the relevance of these topics. It was recommended that a written proposal on each point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would be drafted for TAG’s further consideration. As recommended by the TAG at previous meetings, a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methodological Task Force will be established for the ICP 2024 cycle. </w:t>
      </w:r>
    </w:p>
    <w:p>
      <w:pPr>
        <w:autoSpaceDN w:val="0"/>
        <w:autoSpaceDE w:val="0"/>
        <w:widowControl/>
        <w:spacing w:line="197" w:lineRule="auto" w:before="316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Revised ICP 2017 results </w:t>
      </w:r>
    </w:p>
    <w:p>
      <w:pPr>
        <w:autoSpaceDN w:val="0"/>
        <w:autoSpaceDE w:val="0"/>
        <w:widowControl/>
        <w:spacing w:line="245" w:lineRule="auto" w:before="31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Mr. Rissanen presented a recap of the approach to produce revised benchmark results. Previously, revised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2011 regional results were produced based on revised national accounts expenditures, while global 2011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results were revised based on revised regional PPPs, national accounts expenditures, and finetuning of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linking approach. For the 2021 cycle, the TAG supported recalculating linking factors when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previous ICP benchmark year results are revised as best practice, also allowing for updating the housing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linking factors. Additionally, it was noted that the Asia and the Pacific 2017 regional PPPs include the new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“hybrid” approach to housing, as was agreed by the TAG in the previous meeting. </w:t>
      </w:r>
    </w:p>
    <w:p>
      <w:pPr>
        <w:autoSpaceDN w:val="0"/>
        <w:autoSpaceDE w:val="0"/>
        <w:widowControl/>
        <w:spacing w:line="245" w:lineRule="auto" w:before="31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presentation demonstrated the percentage changes between the original and revised 2017 data for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expenditures, global PPPs, and population estimates. The range of global PPP revisions typically stood at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around plus or minus five percent, and no systematic patterns were observed. The TAG noted several </w:t>
      </w:r>
    </w:p>
    <w:p>
      <w:pPr>
        <w:autoSpaceDN w:val="0"/>
        <w:autoSpaceDE w:val="0"/>
        <w:widowControl/>
        <w:spacing w:line="245" w:lineRule="auto" w:before="442" w:after="0"/>
        <w:ind w:left="0" w:right="144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13"/>
        </w:rPr>
        <w:t>2</w:t>
      </w:r>
      <w:r>
        <w:rPr>
          <w:u w:val="single" w:color="0462c1"/>
          <w:rFonts w:ascii="Calibri" w:hAnsi="Calibri" w:eastAsia="Calibri"/>
          <w:b w:val="0"/>
          <w:i w:val="0"/>
          <w:color w:val="0563C1"/>
          <w:sz w:val="20"/>
        </w:rPr>
        <w:hyperlink r:id="rId11" w:history="1">
          <w:r>
            <w:rPr>
              <w:rStyle w:val="Hyperlink"/>
            </w:rPr>
            <w:t>https://datahelpdesk.worldbank.org/knowledgebase/articles/665452-how-do-you-extrapolate-the-ppp-</w:t>
          </w:r>
        </w:hyperlink>
      </w:r>
      <w:r>
        <w:rPr>
          <w:u w:val="single" w:color="0462c1"/>
          <w:rFonts w:ascii="Calibri" w:hAnsi="Calibri" w:eastAsia="Calibri"/>
          <w:b w:val="0"/>
          <w:i w:val="0"/>
          <w:color w:val="0563C1"/>
          <w:sz w:val="20"/>
        </w:rPr>
        <w:hyperlink r:id="rId11" w:history="1">
          <w:r>
            <w:rPr>
              <w:rStyle w:val="Hyperlink"/>
            </w:rPr>
            <w:t>conversion-factors#:~:text=The%20method%20we%20use%20is,to%20the%20benchmark%20PPP%20estimates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0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 </w:t>
      </w:r>
      <w:r>
        <w:rPr>
          <w:rFonts w:ascii="Calibri" w:hAnsi="Calibri" w:eastAsia="Calibri"/>
          <w:b w:val="0"/>
          <w:i w:val="0"/>
          <w:color w:val="000000"/>
          <w:sz w:val="13"/>
        </w:rPr>
        <w:t>3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 This is possible as the Eurostat-OECD is the base region for the ICP. </w:t>
      </w:r>
    </w:p>
    <w:p>
      <w:pPr>
        <w:autoSpaceDN w:val="0"/>
        <w:autoSpaceDE w:val="0"/>
        <w:widowControl/>
        <w:spacing w:line="197" w:lineRule="auto" w:before="228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 </w:t>
      </w:r>
    </w:p>
    <w:p>
      <w:pPr>
        <w:sectPr>
          <w:pgSz w:w="12240" w:h="15840"/>
          <w:pgMar w:top="742" w:right="136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factors that impact the PPP revisions, namely, the national accounts expenditure revisions and their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impact on regional PPPs, population estimates revisions, the revision of Productivity Adjustment Factors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(PAFs), and the Asia and the Pacific hybrid approach to housing services. </w:t>
      </w:r>
    </w:p>
    <w:p>
      <w:pPr>
        <w:autoSpaceDN w:val="0"/>
        <w:autoSpaceDE w:val="0"/>
        <w:widowControl/>
        <w:spacing w:line="197" w:lineRule="auto" w:before="314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Revised ICP 2017 – ICP 2021 PPP time series </w:t>
      </w:r>
    </w:p>
    <w:p>
      <w:pPr>
        <w:autoSpaceDN w:val="0"/>
        <w:autoSpaceDE w:val="0"/>
        <w:widowControl/>
        <w:spacing w:line="245" w:lineRule="auto" w:before="31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Giovanni Tonutti, World Bank, presented the results of the time series calculations of global PPPs for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years 2017 to 2021. The approach follows the methodology developed by Inklaar and Rao (2019), which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was adopted to estimate the global PPP time series for 2011 to 2017 during the ICP 2017 cycle. Two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methodological developments have been introduced and previously approved by the TAG in relation to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new approach for linking the CIS region in the global comparison and the implications of the impact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of COVID-19 on expenditures for interpolating missing information. </w:t>
      </w:r>
    </w:p>
    <w:p>
      <w:pPr>
        <w:autoSpaceDN w:val="0"/>
        <w:autoSpaceDE w:val="0"/>
        <w:widowControl/>
        <w:spacing w:line="245" w:lineRule="auto" w:before="31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Following these methodological considerations, results were presented with two approaches: (i)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comparing the extrapolated PPPs, currently available in the WDI database, with the estimation of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interpolated PPPs; and (ii) comparing the estimation of interpolated PPP from the basic heading level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(standard approach) to the interpolated PPPs at the GDP level only. At the aggregate level, the results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display similarities to the differences observed for the ICP 2011-2017 time series. At the country level,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while the PPP time series remains stable for most countries, there were selected cases where volatile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inflation, exchange rates, or both caused significant variations over the PPP time series as well. The impact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of changing the CIS linking approach was demonstrated to be small. </w:t>
      </w:r>
    </w:p>
    <w:p>
      <w:pPr>
        <w:autoSpaceDN w:val="0"/>
        <w:autoSpaceDE w:val="0"/>
        <w:widowControl/>
        <w:spacing w:line="245" w:lineRule="auto" w:before="31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TAG acknowledged the 2017 – 2021 time series results as plausible, yielding expected patterns and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results. </w:t>
      </w:r>
    </w:p>
    <w:p>
      <w:pPr>
        <w:autoSpaceDN w:val="0"/>
        <w:autoSpaceDE w:val="0"/>
        <w:widowControl/>
        <w:spacing w:line="245" w:lineRule="auto" w:before="314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Furthermore, the revision of the 2012 – 2016 PPP series was raised in the discussion. Initially, these series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were not planned to be updated; however, since the 2017 benchmark PPPs were revised, a suggestion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was made to link the 2012 – 2016 series to the revised 2017 benchmark PPPs to ensure consistency of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time series. The Global Office agreed to review the feasibility of revising the said historical series and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consult the TAG members as needed. </w:t>
      </w:r>
    </w:p>
    <w:p>
      <w:pPr>
        <w:autoSpaceDN w:val="0"/>
        <w:autoSpaceDE w:val="0"/>
        <w:widowControl/>
        <w:spacing w:line="197" w:lineRule="auto" w:before="316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Revised ICP 2017 and ICP 2021 non-benchmark country estimates </w:t>
      </w:r>
    </w:p>
    <w:p>
      <w:pPr>
        <w:autoSpaceDN w:val="0"/>
        <w:autoSpaceDE w:val="0"/>
        <w:widowControl/>
        <w:spacing w:line="245" w:lineRule="auto" w:before="31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Mizuki Yamanaka, World Bank, presented the results of non-benchmark PPP estimates based on revised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2017 and 2021 benchmark results. Firstly, the estimation methods were summarized, as follows: (i)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detailed time series estimate for countries that participated in either ICP 2017 or ICP 2021 cycle but not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for both; (ii) standard non-benchmark imputation for counties with no participation in any recent cycles;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(iii) estimation for countries that have limited participation for household consumption (HHC) only; and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(iv) extrapolation from ICP 2011 results for countries that participated in ICP 2011 only. </w:t>
      </w:r>
    </w:p>
    <w:p>
      <w:pPr>
        <w:autoSpaceDN w:val="0"/>
        <w:autoSpaceDE w:val="0"/>
        <w:widowControl/>
        <w:spacing w:line="245" w:lineRule="auto" w:before="318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Following the summary of the estimation methods, a series of charts plotting the relation of GDP per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capita and price level for the non-benchmark countries, along with those of benchmark countries, were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presented for the GDP, HHC, and Actual Individual Consumption (AIC) levels to review if the estimated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results were plausible. It was summarized that, in general, imputation for GDP, AIC, and HHC are in line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with benchmark results as expected; however, it was also noted that the model returns unreliable results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for a few countries with a GDP per capita much higher or lower than any benchmark countries as they are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beyond the boundary of the model. Lastly, the non-benchmark time series estimates were deemed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plausible; however, a few cases require further review of input data for some components. </w:t>
      </w:r>
    </w:p>
    <w:p>
      <w:pPr>
        <w:autoSpaceDN w:val="0"/>
        <w:autoSpaceDE w:val="0"/>
        <w:widowControl/>
        <w:spacing w:line="197" w:lineRule="auto" w:before="300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 </w:t>
      </w:r>
    </w:p>
    <w:p>
      <w:pPr>
        <w:sectPr>
          <w:pgSz w:w="12240" w:h="15840"/>
          <w:pgMar w:top="742" w:right="136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TAG acknowledged the difficulty of estimation for some cases presented and agreed to omit estimates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for the cases where available input data returns extreme results, as the imputation would not be able to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fit them in the model in a reliable manner, or when the reliability of input data was questionable. The TAG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also recommended conducting a further review of input data for the few limited cases for detailed time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series estimates to ensure the plausibility of results. Regarding the countries with limited participation,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Eurostat suggested including Kosovo’s HHC-level data without any estimation beyond 2021. The TAG also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stressed the importance of having metadata to clarify the limitation of non-benchmark estimation, as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these results were approximations with less reliability than benchmark results. </w:t>
      </w:r>
    </w:p>
    <w:p>
      <w:pPr>
        <w:autoSpaceDN w:val="0"/>
        <w:autoSpaceDE w:val="0"/>
        <w:widowControl/>
        <w:spacing w:line="197" w:lineRule="auto" w:before="322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Session II: Closing </w:t>
      </w:r>
    </w:p>
    <w:p>
      <w:pPr>
        <w:autoSpaceDN w:val="0"/>
        <w:autoSpaceDE w:val="0"/>
        <w:widowControl/>
        <w:spacing w:line="197" w:lineRule="auto" w:before="478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Next steps, any other business, and closing remarks </w:t>
      </w:r>
    </w:p>
    <w:p>
      <w:pPr>
        <w:autoSpaceDN w:val="0"/>
        <w:autoSpaceDE w:val="0"/>
        <w:widowControl/>
        <w:spacing w:line="245" w:lineRule="auto" w:before="314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 closing, it was noted that any remaining minor regional updates would be incorporated prior to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release of results. The ICP Global Office will work closely with the regional implementing agencies to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release the ICP 2021 cycle results by the end of May 2024. The TAG also discussed regional release plans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and other organizational matters surrounding the release. </w:t>
      </w:r>
    </w:p>
    <w:p>
      <w:pPr>
        <w:autoSpaceDN w:val="0"/>
        <w:tabs>
          <w:tab w:pos="360" w:val="left"/>
          <w:tab w:pos="720" w:val="left"/>
          <w:tab w:pos="1080" w:val="left"/>
        </w:tabs>
        <w:autoSpaceDE w:val="0"/>
        <w:widowControl/>
        <w:spacing w:line="245" w:lineRule="auto" w:before="31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planned global release assets are: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World Bank press release, blog, and social media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FAQ, factsheets, and results highlights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Interactive portal for main charts and figures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br/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World Bank ICP Databank: </w:t>
      </w:r>
      <w:r>
        <w:tab/>
      </w:r>
      <w:r>
        <w:tab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2"/>
        </w:rPr>
        <w:t>o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45 publication headings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2"/>
        </w:rPr>
        <w:t>o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16 indicator series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2"/>
        </w:rPr>
        <w:t>o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publication headings for PPP timeseries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World Development Indicators (WDI) DataBank update for GDP and household consumption </w:t>
      </w:r>
      <w:r>
        <w:tab/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PPPs. </w:t>
      </w:r>
    </w:p>
    <w:p>
      <w:pPr>
        <w:autoSpaceDN w:val="0"/>
        <w:autoSpaceDE w:val="0"/>
        <w:widowControl/>
        <w:spacing w:line="197" w:lineRule="auto" w:before="31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complete ICP 2021 cycle report is scheduled for Q3 2024. </w:t>
      </w:r>
    </w:p>
    <w:p>
      <w:pPr>
        <w:autoSpaceDN w:val="0"/>
        <w:autoSpaceDE w:val="0"/>
        <w:widowControl/>
        <w:spacing w:line="245" w:lineRule="auto" w:before="318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The Chair concluded the meeting by noting the need to develop a specific research agenda for the future,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after the publication of ICP 2021 results, and reiterated the acknowledgment of the work conducted by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all ICP implementing agencies at the national, regional, and global levels in successfully concluding the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cycle. </w:t>
      </w:r>
    </w:p>
    <w:p>
      <w:pPr>
        <w:autoSpaceDN w:val="0"/>
        <w:autoSpaceDE w:val="0"/>
        <w:widowControl/>
        <w:spacing w:line="197" w:lineRule="auto" w:before="3608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 </w:t>
      </w:r>
    </w:p>
    <w:p>
      <w:pPr>
        <w:sectPr>
          <w:pgSz w:w="12240" w:h="15840"/>
          <w:pgMar w:top="742" w:right="136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198879" cy="723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98879" cy="72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2298" w:val="left"/>
          <w:tab w:pos="3934" w:val="left"/>
          <w:tab w:pos="4020" w:val="left"/>
          <w:tab w:pos="4330" w:val="left"/>
        </w:tabs>
        <w:autoSpaceDE w:val="0"/>
        <w:widowControl/>
        <w:spacing w:line="358" w:lineRule="auto" w:before="334" w:after="274"/>
        <w:ind w:left="2004" w:right="2016" w:firstLine="0"/>
        <w:jc w:val="left"/>
      </w:pPr>
      <w:r>
        <w:rPr>
          <w:rFonts w:ascii="Calibri" w:hAnsi="Calibri" w:eastAsia="Calibri"/>
          <w:b/>
          <w:i w:val="0"/>
          <w:color w:val="000000"/>
          <w:sz w:val="32"/>
        </w:rPr>
        <w:t xml:space="preserve">International Comparison Program (ICP) </w:t>
      </w:r>
      <w:r>
        <w:rPr>
          <w:rFonts w:ascii="Calibri" w:hAnsi="Calibri" w:eastAsia="Calibri"/>
          <w:b/>
          <w:i w:val="0"/>
          <w:color w:val="000000"/>
          <w:sz w:val="32"/>
        </w:rPr>
        <w:t xml:space="preserve">TECHNICAL ADVISORY GROUP (TAG) </w:t>
      </w:r>
      <w:r>
        <w:tab/>
      </w:r>
      <w:r>
        <w:tab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Online Meeting </w:t>
      </w:r>
      <w:r>
        <w:br/>
      </w:r>
      <w:r>
        <w:tab/>
      </w:r>
      <w:r>
        <w:tab/>
      </w:r>
      <w:r>
        <w:tab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April 30, 2024 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Agenda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268"/>
        </w:trPr>
        <w:tc>
          <w:tcPr>
            <w:tcW w:type="dxa" w:w="9418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 xml:space="preserve">Tuesday, April 30, 2024 </w:t>
            </w:r>
          </w:p>
        </w:tc>
      </w:tr>
      <w:tr>
        <w:trPr>
          <w:trHeight w:hRule="exact" w:val="804"/>
        </w:trPr>
        <w:tc>
          <w:tcPr>
            <w:tcW w:type="dxa" w:w="17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10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08:00 – 08:10 </w:t>
            </w:r>
          </w:p>
        </w:tc>
        <w:tc>
          <w:tcPr>
            <w:tcW w:type="dxa" w:w="7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10" w:after="0"/>
              <w:ind w:left="46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Welcome and opening remarks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270"/>
        </w:trPr>
        <w:tc>
          <w:tcPr>
            <w:tcW w:type="dxa" w:w="9418"/>
            <w:gridSpan w:val="2"/>
            <w:tcBorders/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SESSION I: ICP 2021 cycle results </w:t>
            </w:r>
          </w:p>
        </w:tc>
      </w:tr>
      <w:tr>
        <w:trPr>
          <w:trHeight w:hRule="exact" w:val="680"/>
        </w:trPr>
        <w:tc>
          <w:tcPr>
            <w:tcW w:type="dxa" w:w="17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12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08:10 – 09:20 </w:t>
            </w:r>
          </w:p>
        </w:tc>
        <w:tc>
          <w:tcPr>
            <w:tcW w:type="dxa" w:w="7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12" w:after="0"/>
              <w:ind w:left="46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ICP 2021 results and forecasts </w:t>
            </w:r>
          </w:p>
        </w:tc>
      </w:tr>
      <w:tr>
        <w:trPr>
          <w:trHeight w:hRule="exact" w:val="540"/>
        </w:trPr>
        <w:tc>
          <w:tcPr>
            <w:tcW w:type="dxa" w:w="17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09:20 – 09:40 </w:t>
            </w:r>
          </w:p>
        </w:tc>
        <w:tc>
          <w:tcPr>
            <w:tcW w:type="dxa" w:w="7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46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Revised ICP 2017 results </w:t>
            </w:r>
          </w:p>
        </w:tc>
      </w:tr>
      <w:tr>
        <w:trPr>
          <w:trHeight w:hRule="exact" w:val="540"/>
        </w:trPr>
        <w:tc>
          <w:tcPr>
            <w:tcW w:type="dxa" w:w="17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09:40 – 10:00 </w:t>
            </w:r>
          </w:p>
        </w:tc>
        <w:tc>
          <w:tcPr>
            <w:tcW w:type="dxa" w:w="7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46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Revised ICP 2017 – ICP 2021 PPP time series </w:t>
            </w:r>
          </w:p>
        </w:tc>
      </w:tr>
      <w:tr>
        <w:trPr>
          <w:trHeight w:hRule="exact" w:val="656"/>
        </w:trPr>
        <w:tc>
          <w:tcPr>
            <w:tcW w:type="dxa" w:w="17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10:00 – 10:20 </w:t>
            </w:r>
          </w:p>
        </w:tc>
        <w:tc>
          <w:tcPr>
            <w:tcW w:type="dxa" w:w="7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46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Revised ICP 2017 and ICP 2021 non-benchmark country estimates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270"/>
        </w:trPr>
        <w:tc>
          <w:tcPr>
            <w:tcW w:type="dxa" w:w="196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SESSION II: Closing </w:t>
            </w:r>
          </w:p>
        </w:tc>
        <w:tc>
          <w:tcPr>
            <w:tcW w:type="dxa" w:w="7450"/>
            <w:tcBorders/>
            <w:shd w:fill="d8d9d8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92"/>
        </w:trPr>
        <w:tc>
          <w:tcPr>
            <w:tcW w:type="dxa" w:w="19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12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10:20 – 10:30 </w:t>
            </w:r>
          </w:p>
        </w:tc>
        <w:tc>
          <w:tcPr>
            <w:tcW w:type="dxa" w:w="74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12" w:after="0"/>
              <w:ind w:left="22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Next steps, any other business, and closing remarks </w:t>
            </w:r>
          </w:p>
        </w:tc>
      </w:tr>
    </w:tbl>
    <w:p>
      <w:pPr>
        <w:autoSpaceDN w:val="0"/>
        <w:autoSpaceDE w:val="0"/>
        <w:widowControl/>
        <w:spacing w:line="197" w:lineRule="auto" w:before="4350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</w:t>
      </w:r>
    </w:p>
    <w:p>
      <w:pPr>
        <w:sectPr>
          <w:pgSz w:w="12240" w:h="15840"/>
          <w:pgMar w:top="720" w:right="1390" w:bottom="49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>Annex 2: List of Participants</w:t>
      </w:r>
    </w:p>
    <w:p>
      <w:pPr>
        <w:autoSpaceDN w:val="0"/>
        <w:autoSpaceDE w:val="0"/>
        <w:widowControl/>
        <w:spacing w:line="197" w:lineRule="auto" w:before="318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ICP Technical Advisory Group members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Paul Schreyer, Organization for Economic Co-operation and Development (OECD) (Chair)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Paul Konijn, Statistical Office of the European Union (Eurostat)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Prasada Rao, University of Queensland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4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Robert Inklaar, University of Groningen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Xianchun Xu, Tsinghua University </w:t>
      </w:r>
    </w:p>
    <w:p>
      <w:pPr>
        <w:autoSpaceDN w:val="0"/>
        <w:autoSpaceDE w:val="0"/>
        <w:widowControl/>
        <w:spacing w:line="197" w:lineRule="auto" w:before="316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ICP experts, guest speakers, and observers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Brian Graf, International Monetary Fund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Sergey Sergeev, Independent Expert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Yang Wang, Tsinghua University </w:t>
      </w:r>
    </w:p>
    <w:p>
      <w:pPr>
        <w:autoSpaceDN w:val="0"/>
        <w:autoSpaceDE w:val="0"/>
        <w:widowControl/>
        <w:spacing w:line="197" w:lineRule="auto" w:before="316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ICP Inter-Agency Coordination Group (IACG)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African Development Bank (AfDB): Gregoire Mboya De Loubassou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Asian Development Bank (ADB): Kaushal Joshi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Interstate Statistical Committee of the Commonwealth of Independent States (CIS-STAT): </w:t>
      </w:r>
    </w:p>
    <w:p>
      <w:pPr>
        <w:autoSpaceDN w:val="0"/>
        <w:autoSpaceDE w:val="0"/>
        <w:widowControl/>
        <w:spacing w:line="197" w:lineRule="auto" w:before="48" w:after="0"/>
        <w:ind w:left="72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Andrey Kosarev, Valerica Accibas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Statistical Office of the European Union (Eurostat): Mihai Iulian Gheorghe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Organization for Economic Co-operation and Development (OECD): Jarmila Botev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United Nations Economic Commission for Latin America and the Caribbean (UN-ECLAC): Alfonso </w:t>
      </w:r>
    </w:p>
    <w:p>
      <w:pPr>
        <w:autoSpaceDN w:val="0"/>
        <w:autoSpaceDE w:val="0"/>
        <w:widowControl/>
        <w:spacing w:line="197" w:lineRule="auto" w:before="48" w:after="0"/>
        <w:ind w:left="72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Zeron, Claudia Andrea De Camino Ferrario, Ernestina Brigida Perez Ardiles, Giannina Lopez, Lady </w:t>
      </w:r>
    </w:p>
    <w:p>
      <w:pPr>
        <w:autoSpaceDN w:val="0"/>
        <w:autoSpaceDE w:val="0"/>
        <w:widowControl/>
        <w:spacing w:line="197" w:lineRule="auto" w:before="48" w:after="0"/>
        <w:ind w:left="72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Infante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United Nations Economic Commission for Western Asia: Majed Skaini </w:t>
      </w:r>
    </w:p>
    <w:p>
      <w:pPr>
        <w:autoSpaceDN w:val="0"/>
        <w:autoSpaceDE w:val="0"/>
        <w:widowControl/>
        <w:spacing w:line="197" w:lineRule="auto" w:before="314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World Bank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Haishan Fu,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Evis Rucaj,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Marko Rissanen 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Yan Bai,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Rui Costa,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Yuri Dikhanov,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Nancy Kebe,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Maurice Nsabimana,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4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Edie Purdie,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Inyoung Song,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Giovanni Tonutti, World Bank Group </w:t>
      </w:r>
    </w:p>
    <w:p>
      <w:pPr>
        <w:autoSpaceDN w:val="0"/>
        <w:tabs>
          <w:tab w:pos="720" w:val="left"/>
        </w:tabs>
        <w:autoSpaceDE w:val="0"/>
        <w:widowControl/>
        <w:spacing w:line="223" w:lineRule="auto" w:before="1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Mizuki Yamanaka, World Bank Group </w:t>
      </w:r>
    </w:p>
    <w:p>
      <w:pPr>
        <w:autoSpaceDN w:val="0"/>
        <w:autoSpaceDE w:val="0"/>
        <w:widowControl/>
        <w:spacing w:line="197" w:lineRule="auto" w:before="2694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 </w:t>
      </w:r>
    </w:p>
    <w:sectPr w:rsidR="00FC693F" w:rsidRPr="0006063C" w:rsidSect="00034616">
      <w:pgSz w:w="12240" w:h="15840"/>
      <w:pgMar w:top="744" w:right="1414" w:bottom="496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worldbank.org/en/programs/icp/brief/tag-meetings" TargetMode="External"/><Relationship Id="rId11" Type="http://schemas.openxmlformats.org/officeDocument/2006/relationships/hyperlink" Target="https://datahelpdesk.worldbank.org/knowledgebase/articles/665452-how-do-you-extrapolate-the-ppp-conversion-factors#:~:text=The%20method%20we%20use%20is,to%20the%20benchmark%20PPP%20estima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