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Heiti SC" w:hAnsi="Heiti SC" w:eastAsia="Heiti SC" w:cs="Heiti SC"/>
          <w:b/>
          <w:color w:val="28DCE8"/>
          <w:sz w:val="20"/>
        </w:rPr>
        <w:t>09 / AI PRODUCT</w:t>
      </w:r>
    </w:p>
    <w:p>
      <w:r>
        <w:rPr>
          <w:rFonts w:ascii="Heiti SC" w:hAnsi="Heiti SC" w:eastAsia="Heiti SC" w:cs="Heiti SC"/>
          <w:b/>
          <w:color w:val="3B2C7A"/>
          <w:sz w:val="84"/>
        </w:rPr>
        <w:t>商智</w:t>
      </w:r>
    </w:p>
    <w:p>
      <w:r>
        <w:rPr>
          <w:rFonts w:ascii="Heiti SC" w:hAnsi="Heiti SC" w:eastAsia="Heiti SC" w:cs="Heiti SC"/>
          <w:b/>
          <w:color w:val="7557FF"/>
          <w:sz w:val="48"/>
        </w:rPr>
        <w:t>AI 商家经营顾问</w:t>
      </w:r>
    </w:p>
    <w:p>
      <w:pPr>
        <w:pStyle w:val="Lead"/>
      </w:pPr>
      <w:r>
        <w:rPr>
          <w:rFonts w:ascii="Heiti SC" w:hAnsi="Heiti SC" w:eastAsia="Heiti SC" w:cs="Heiti SC"/>
        </w:rPr>
        <w:t>产品需求文档 PRD · v1.0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c>
          <w:tcPr>
            <w:tcW w:type="dxa" w:w="9648"/>
            <w:shd w:fill="EEF9FF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28DCE8"/>
                <w:sz w:val="18"/>
              </w:rPr>
              <w:t xml:space="preserve">一句话定义  </w:t>
            </w:r>
            <w:r>
              <w:rPr>
                <w:rFonts w:ascii="Heiti SC" w:hAnsi="Heiti SC" w:eastAsia="Heiti SC" w:cs="Heiti SC"/>
                <w:color w:val="242442"/>
                <w:sz w:val="19"/>
              </w:rPr>
              <w:t>面向本地生活商家的AI经营诊断与策略执行产品，连接经营数据、沟通策略、A/B实验、人工评测和任务闭环。</w:t>
            </w:r>
          </w:p>
        </w:tc>
      </w:tr>
    </w:tbl>
    <w:p>
      <w:pPr>
        <w:spacing w:after="20"/>
      </w:pP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560"/>
      </w:tblGrid>
      <w:tr>
        <w:trPr>
          <w:tblHeader w:val="true"/>
        </w:trPr>
        <w:tc>
          <w:tcPr>
            <w:tcW w:type="dxa" w:w="208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项目字段</w:t>
            </w:r>
          </w:p>
        </w:tc>
        <w:tc>
          <w:tcPr>
            <w:tcW w:type="dxa" w:w="756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目标岗位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AI产品经理实习生（商家经营方向）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目标用户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餐饮、零售、休闲娱乐中小商家与平台策略运营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产品阶段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高保真MVP / 模拟数据 / 离线评测方案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版本日期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2026-07-23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数据声明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全部业务数值、访谈和案例均为模拟数据，不代表真实线上结果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 w:cs="Heiti SC"/>
        </w:rPr>
        <w:t>文档目标</w:t>
      </w:r>
    </w:p>
    <w:p>
      <w:r>
        <w:rPr>
          <w:rFonts w:ascii="Heiti SC" w:hAnsi="Heiti SC" w:eastAsia="Heiti SC" w:cs="Heiti SC"/>
        </w:rPr>
        <w:t>给产品、算法、数据、运营和评审人员一套可执行的产品定义：为什么做、服务谁、如何工作、怎样评测、何时上线以及如何控制风险。</w:t>
      </w: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01 / OVERVIEW</w:t>
      </w:r>
    </w:p>
    <w:p>
      <w:pPr>
        <w:pStyle w:val="Heading1"/>
      </w:pPr>
      <w:r>
        <w:rPr>
          <w:rFonts w:ascii="Heiti SC" w:hAnsi="Heiti SC" w:eastAsia="Heiti SC" w:cs="Heiti SC"/>
        </w:rPr>
        <w:t>执行摘要</w:t>
      </w:r>
    </w:p>
    <w:p>
      <w:pPr>
        <w:pStyle w:val="Lead"/>
      </w:pPr>
      <w:r>
        <w:rPr>
          <w:rFonts w:ascii="Heiti SC" w:hAnsi="Heiti SC" w:eastAsia="Heiti SC" w:cs="Heiti SC"/>
        </w:rPr>
        <w:t>商家不缺报表，缺少的是可信、可执行、可验证的下一步。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3168"/>
        <w:gridCol w:w="3888"/>
      </w:tblGrid>
      <w:tr>
        <w:trPr>
          <w:tblHeader w:val="true"/>
        </w:trPr>
        <w:tc>
          <w:tcPr>
            <w:tcW w:type="dxa" w:w="259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16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88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产品机会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数据分散在订单、评价、流量和库存系统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商家无法快速完成归因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AI自动聚合证据并解释原因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传统机器人只回答FAQ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无法主动发现问题和推动行动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事件触发式AI经营顾问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建议缺少验证和风险控制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商家不敢执行，平台难以规模化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A/B实验、护栏与人工评测闭环</w:t>
            </w:r>
          </w:p>
        </w:tc>
      </w:tr>
    </w:tbl>
    <w:p>
      <w:pPr>
        <w:spacing w:after="20"/>
      </w:pP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c>
          <w:tcPr>
            <w:tcW w:type="dxa" w:w="9648"/>
            <w:shd w:fill="EEF9FF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28DCE8"/>
                <w:sz w:val="18"/>
              </w:rPr>
              <w:t xml:space="preserve">北极星指标  </w:t>
            </w:r>
            <w:r>
              <w:rPr>
                <w:rFonts w:ascii="Heiti SC" w:hAnsi="Heiti SC" w:eastAsia="Heiti SC" w:cs="Heiti SC"/>
                <w:color w:val="242442"/>
                <w:sz w:val="19"/>
              </w:rPr>
              <w:t>AI建议带来的7日有效经营改善商家数。它同时要求建议被理解、被采纳、被执行，并最终产生可归因的改善。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范围边界</w:t>
      </w:r>
    </w:p>
    <w:p>
      <w:pPr>
        <w:pStyle w:val="ListBullet"/>
      </w:pPr>
      <w:r>
        <w:rPr>
          <w:rFonts w:ascii="Heiti SC" w:hAnsi="Heiti SC" w:eastAsia="Heiti SC" w:cs="Heiti SC"/>
        </w:rPr>
        <w:t>MVP覆盖经营异常发现、证据解释、策略建议、二次确认、任务跟踪和效果复盘。</w:t>
      </w:r>
    </w:p>
    <w:p>
      <w:pPr>
        <w:pStyle w:val="ListBullet"/>
      </w:pPr>
      <w:r>
        <w:rPr>
          <w:rFonts w:ascii="Heiti SC" w:hAnsi="Heiti SC" w:eastAsia="Heiti SC" w:cs="Heiti SC"/>
        </w:rPr>
        <w:t>不自动替商家执行价格、预算、发布等高风险操作。</w:t>
      </w:r>
    </w:p>
    <w:p>
      <w:pPr>
        <w:pStyle w:val="ListBullet"/>
      </w:pPr>
      <w:r>
        <w:rPr>
          <w:rFonts w:ascii="Heiti SC" w:hAnsi="Heiti SC" w:eastAsia="Heiti SC" w:cs="Heiti SC"/>
        </w:rPr>
        <w:t>不训练基础模型；使用大模型、规则、检索和工具调用完成能力编排。</w:t>
      </w: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02 / DISCOVERY</w:t>
      </w:r>
    </w:p>
    <w:p>
      <w:pPr>
        <w:pStyle w:val="Heading1"/>
      </w:pPr>
      <w:r>
        <w:rPr>
          <w:rFonts w:ascii="Heiti SC" w:hAnsi="Heiti SC" w:eastAsia="Heiti SC" w:cs="Heiti SC"/>
        </w:rPr>
        <w:t>商家调研与需求证据</w:t>
      </w:r>
    </w:p>
    <w:p>
      <w:r>
        <w:rPr>
          <w:rFonts w:ascii="Heiti SC" w:hAnsi="Heiti SC" w:eastAsia="Heiti SC" w:cs="Heiti SC"/>
        </w:rPr>
        <w:t>以下5份访谈为模拟访谈，用于验证研究框架与产品假设。正式项目必须替换为真实招募与录音整理。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1584"/>
        <w:gridCol w:w="4608"/>
        <w:gridCol w:w="1872"/>
      </w:tblGrid>
      <w:tr>
        <w:trPr>
          <w:tblHeader w:val="true"/>
        </w:trPr>
        <w:tc>
          <w:tcPr>
            <w:tcW w:type="dxa" w:w="158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访谈对象</w:t>
            </w:r>
          </w:p>
        </w:tc>
        <w:tc>
          <w:tcPr>
            <w:tcW w:type="dxa" w:w="158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行业/规模</w:t>
            </w:r>
          </w:p>
        </w:tc>
        <w:tc>
          <w:tcPr>
            <w:tcW w:type="dxa" w:w="460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核心原话</w:t>
            </w:r>
          </w:p>
        </w:tc>
        <w:tc>
          <w:tcPr>
            <w:tcW w:type="dxa" w:w="187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需求信号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李记小馆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餐饮/1店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别只告诉我转化下降，告诉我是哪里的问题。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解释原因+优先级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悦己便利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零售/3店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我不缺报表，缺的是今天先处理哪十个商品。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SKU级行动建议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乐玩桌游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娱乐/2店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周末不缺客流，工作日下午最难卖。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分时活动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巷口咖啡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餐饮/2店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活动太多，算不清到底有没有赚。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增量归因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轻享SPA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娱乐/4店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预约爽约高，但不能一直靠人工提醒。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预测与自动提醒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洞察归纳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1728"/>
        <w:gridCol w:w="4896"/>
      </w:tblGrid>
      <w:tr>
        <w:trPr>
          <w:tblHeader w:val="true"/>
        </w:trPr>
        <w:tc>
          <w:tcPr>
            <w:tcW w:type="dxa" w:w="302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洞察</w:t>
            </w:r>
          </w:p>
        </w:tc>
        <w:tc>
          <w:tcPr>
            <w:tcW w:type="dxa" w:w="172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证据强度</w:t>
            </w:r>
          </w:p>
        </w:tc>
        <w:tc>
          <w:tcPr>
            <w:tcW w:type="dxa" w:w="4896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产品含义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需要结论而不是更多图表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5/5一致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首屏突出问题、证据、行动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建议必须可解释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4/5提及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引用事实并区分事实/假设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高风险操作必须可控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5/5一致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二次确认、审计、回滚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行业差异决定策略效果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跨行业差异明显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行业Prompt、指标和动作库分层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03 / SEGMENTATION</w:t>
      </w:r>
    </w:p>
    <w:p>
      <w:pPr>
        <w:pStyle w:val="Heading1"/>
      </w:pPr>
      <w:r>
        <w:rPr>
          <w:rFonts w:ascii="Heiti SC" w:hAnsi="Heiti SC" w:eastAsia="Heiti SC" w:cs="Heiti SC"/>
        </w:rPr>
        <w:t>用户画像与行业策略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944"/>
        <w:gridCol w:w="2304"/>
        <w:gridCol w:w="2520"/>
        <w:gridCol w:w="1440"/>
      </w:tblGrid>
      <w:tr>
        <w:trPr>
          <w:tblHeader w:val="true"/>
        </w:trPr>
        <w:tc>
          <w:tcPr>
            <w:tcW w:type="dxa" w:w="144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194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关键任务</w:t>
            </w:r>
          </w:p>
        </w:tc>
        <w:tc>
          <w:tcPr>
            <w:tcW w:type="dxa" w:w="230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常见痛点</w:t>
            </w:r>
          </w:p>
        </w:tc>
        <w:tc>
          <w:tcPr>
            <w:tcW w:type="dxa" w:w="252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AI重点能力</w:t>
            </w:r>
          </w:p>
        </w:tc>
        <w:tc>
          <w:tcPr>
            <w:tcW w:type="dxa" w:w="144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主要结果指标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餐饮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套餐、评价、复购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转化下降、差评、晚市空闲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套餐诊断、评价主题、分时活动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支付转化/核销/复购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零售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库存、选品、促销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积压、缺货、毛利受损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SKU诊断、库存水位、毛利约束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周转天数/售罄率/毛利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休闲娱乐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预约、闲时、套餐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爽约、工作日低利用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分时定价、预约提醒、场景套餐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利用率/爽约率/复购</w:t>
            </w:r>
          </w:p>
        </w:tc>
      </w:tr>
    </w:tbl>
    <w:p>
      <w:pPr>
        <w:spacing w:after="20"/>
      </w:pP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c>
          <w:tcPr>
            <w:tcW w:type="dxa" w:w="9648"/>
            <w:shd w:fill="FFF0FA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E642B5"/>
                <w:sz w:val="18"/>
              </w:rPr>
              <w:t xml:space="preserve">核心画像  </w:t>
            </w:r>
            <w:r>
              <w:rPr>
                <w:rFonts w:ascii="Heiti SC" w:hAnsi="Heiti SC" w:eastAsia="Heiti SC" w:cs="Heiti SC"/>
                <w:color w:val="242442"/>
                <w:sz w:val="19"/>
              </w:rPr>
              <w:t>时间稀缺、数据能力有限、对风险敏感的中小商家经营者。典型使用窗口只有10-20分钟，因此产品必须先给优先级，再给证据和操作。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关键用户旅程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232"/>
        <w:gridCol w:w="3672"/>
        <w:gridCol w:w="2160"/>
      </w:tblGrid>
      <w:tr>
        <w:trPr>
          <w:tblHeader w:val="true"/>
        </w:trPr>
        <w:tc>
          <w:tcPr>
            <w:tcW w:type="dxa" w:w="144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3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商家问题</w:t>
            </w:r>
          </w:p>
        </w:tc>
        <w:tc>
          <w:tcPr>
            <w:tcW w:type="dxa" w:w="367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产品响应</w:t>
            </w:r>
          </w:p>
        </w:tc>
        <w:tc>
          <w:tcPr>
            <w:tcW w:type="dxa" w:w="216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发现异常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发生了什么？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主动提醒并量化损失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阅读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理解原因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为什么？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事实证据+原因假设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有效回复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评估方案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做什么？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动作、成本、风险、预期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采纳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确认执行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会不会出错？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预览+二次确认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任务完成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复盘效果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是否有效？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增量归因+A/B对照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经营改善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04 / METRICS</w:t>
      </w:r>
    </w:p>
    <w:p>
      <w:pPr>
        <w:pStyle w:val="Heading1"/>
      </w:pPr>
      <w:r>
        <w:rPr>
          <w:rFonts w:ascii="Heiti SC" w:hAnsi="Heiti SC" w:eastAsia="Heiti SC" w:cs="Heiti SC"/>
        </w:rPr>
        <w:t>产品目标与指标体系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024"/>
        <w:gridCol w:w="5256"/>
      </w:tblGrid>
      <w:tr>
        <w:trPr>
          <w:tblHeader w:val="true"/>
        </w:trPr>
        <w:tc>
          <w:tcPr>
            <w:tcW w:type="dxa" w:w="1656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2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256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口径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北极星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7日有效经营改善商家数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执行AI建议后7日，目标指标相对对照或基线显著改善的商家数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沟通漏斗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送达→阅读→回复→采纳→执行→改善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每一步以上一步去重商家为分母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业务结果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订单/GMV/周转/利用率提升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优先使用实验增量，无法实验时使用稳健基线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模型质量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八维均分、严重错误率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离线评测集+人工标注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护栏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退订、投诉、错误建议、人工转接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超过阈值自动暂停策略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MVP目标</w:t>
      </w:r>
    </w:p>
    <w:p>
      <w:pPr>
        <w:pStyle w:val="ListBullet"/>
      </w:pPr>
      <w:r>
        <w:rPr>
          <w:rFonts w:ascii="Heiti SC" w:hAnsi="Heiti SC" w:eastAsia="Heiti SC" w:cs="Heiti SC"/>
        </w:rPr>
        <w:t>将商家从阅读到回复的转化率提升至少3pp。</w:t>
      </w:r>
    </w:p>
    <w:p>
      <w:pPr>
        <w:pStyle w:val="ListBullet"/>
      </w:pPr>
      <w:r>
        <w:rPr>
          <w:rFonts w:ascii="Heiti SC" w:hAnsi="Heiti SC" w:eastAsia="Heiti SC" w:cs="Heiti SC"/>
        </w:rPr>
        <w:t>建议采纳率达到45%以上，任务完成率达到55%以上。</w:t>
      </w:r>
    </w:p>
    <w:p>
      <w:pPr>
        <w:pStyle w:val="ListBullet"/>
      </w:pPr>
      <w:r>
        <w:rPr>
          <w:rFonts w:ascii="Heiti SC" w:hAnsi="Heiti SC" w:eastAsia="Heiti SC" w:cs="Heiti SC"/>
        </w:rPr>
        <w:t>AI错误建议率低于1%，高风险确认覆盖率保持100%。</w:t>
      </w: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05 / ARCHITECTURE</w:t>
      </w:r>
    </w:p>
    <w:p>
      <w:pPr>
        <w:pStyle w:val="Heading1"/>
      </w:pPr>
      <w:r>
        <w:rPr>
          <w:rFonts w:ascii="Heiti SC" w:hAnsi="Heiti SC" w:eastAsia="Heiti SC" w:cs="Heiti SC"/>
        </w:rPr>
        <w:t>产品架构与关键流程</w:t>
      </w:r>
    </w:p>
    <w:p>
      <w:r>
        <w:rPr>
          <w:rFonts w:ascii="Heiti SC" w:hAnsi="Heiti SC" w:eastAsia="Heiti SC" w:cs="Heiti SC"/>
        </w:rPr>
        <w:t>数据层提供事实，诊断层定位异常，生成层组织解释和建议，行动层执行工具，评测层保障质量。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376"/>
        <w:gridCol w:w="3168"/>
        <w:gridCol w:w="2592"/>
      </w:tblGrid>
      <w:tr>
        <w:trPr>
          <w:tblHeader w:val="true"/>
        </w:trPr>
        <w:tc>
          <w:tcPr>
            <w:tcW w:type="dxa" w:w="151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376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6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59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数据层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订单/流量/评价/库存/商家配置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清洗、口径统一、权限校验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可信事实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诊断层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指标时序与基准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异常检测、漏斗拆解、贡献归因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问题与证据链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生成层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证据、行业知识、策略模板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Prompt编排、RAG、约束检查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解释与建议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行动层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商家确认与工具权限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建任务、建活动、回复评价、转人工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可追踪操作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评测层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日志、标注、实验结果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离线评测、A/B实验、护栏监控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准入与迭代</w:t>
            </w:r>
          </w:p>
        </w:tc>
      </w:tr>
    </w:tbl>
    <w:p>
      <w:pPr>
        <w:spacing w:after="20"/>
      </w:pP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c>
          <w:tcPr>
            <w:tcW w:type="dxa" w:w="9648"/>
            <w:shd w:fill="EEF9FF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28DCE8"/>
                <w:sz w:val="18"/>
              </w:rPr>
              <w:t xml:space="preserve">主流程  </w:t>
            </w:r>
            <w:r>
              <w:rPr>
                <w:rFonts w:ascii="Heiti SC" w:hAnsi="Heiti SC" w:eastAsia="Heiti SC" w:cs="Heiti SC"/>
                <w:color w:val="242442"/>
                <w:sz w:val="19"/>
              </w:rPr>
              <w:t>异常事件 → 证据链 → 商家触达 → 多轮澄清 → 方案预览 → 二次确认 → 工具执行 → 7日复盘。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异常流程</w:t>
      </w:r>
    </w:p>
    <w:p>
      <w:pPr>
        <w:pStyle w:val="ListBullet"/>
      </w:pPr>
      <w:r>
        <w:rPr>
          <w:rFonts w:ascii="Heiti SC" w:hAnsi="Heiti SC" w:eastAsia="Heiti SC" w:cs="Heiti SC"/>
        </w:rPr>
        <w:t>证据不足：明确表示无法归因，转为信息收集或人工运营。</w:t>
      </w:r>
    </w:p>
    <w:p>
      <w:pPr>
        <w:pStyle w:val="ListBullet"/>
      </w:pPr>
      <w:r>
        <w:rPr>
          <w:rFonts w:ascii="Heiti SC" w:hAnsi="Heiti SC" w:eastAsia="Heiti SC" w:cs="Heiti SC"/>
        </w:rPr>
        <w:t>数据冲突：展示口径与时间范围，禁止模型自行选择有利数据。</w:t>
      </w:r>
    </w:p>
    <w:p>
      <w:pPr>
        <w:pStyle w:val="ListBullet"/>
      </w:pPr>
      <w:r>
        <w:rPr>
          <w:rFonts w:ascii="Heiti SC" w:hAnsi="Heiti SC" w:eastAsia="Heiti SC" w:cs="Heiti SC"/>
        </w:rPr>
        <w:t>工具失败：保留任务草稿，提示重试或转人工，不重复扣费或发布。</w:t>
      </w:r>
    </w:p>
    <w:p>
      <w:pPr>
        <w:pStyle w:val="ListBullet"/>
      </w:pPr>
      <w:r>
        <w:rPr>
          <w:rFonts w:ascii="Heiti SC" w:hAnsi="Heiti SC" w:eastAsia="Heiti SC" w:cs="Heiti SC"/>
        </w:rPr>
        <w:t>高风险请求：必须展示影响预览并记录确认人、时间、版本。</w:t>
      </w: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06 / REQUIREMENTS</w:t>
      </w:r>
    </w:p>
    <w:p>
      <w:pPr>
        <w:pStyle w:val="Heading1"/>
      </w:pPr>
      <w:r>
        <w:rPr>
          <w:rFonts w:ascii="Heiti SC" w:hAnsi="Heiti SC" w:eastAsia="Heiti SC" w:cs="Heiti SC"/>
        </w:rPr>
        <w:t>核心功能需求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752"/>
        <w:gridCol w:w="3168"/>
      </w:tblGrid>
      <w:tr>
        <w:trPr>
          <w:tblHeader w:val="true"/>
        </w:trPr>
        <w:tc>
          <w:tcPr>
            <w:tcW w:type="dxa" w:w="172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75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P0需求</w:t>
            </w:r>
          </w:p>
        </w:tc>
        <w:tc>
          <w:tcPr>
            <w:tcW w:type="dxa" w:w="316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经营诊断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识别异常、拆解漏斗、输出证据链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每条结论至少引用1条可追溯事实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AI沟通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差异化开场、多轮澄清、行业语气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支持变量注入，事实与假设明确区分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行动闭环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方案预览、二次确认、任务执行、回滚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高风险确认覆盖率100%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策略实验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人群、触发、Prompt、流量、指标、护栏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可创建、暂停、扩量并输出显著性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标注评测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八维评分、严重错误、仲裁、进度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支持150条数据批量标注与导出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策略运营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Prompt版本、准入检查、监控告警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版本可追踪、可回滚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权限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168"/>
        <w:gridCol w:w="4752"/>
      </w:tblGrid>
      <w:tr>
        <w:trPr>
          <w:tblHeader w:val="true"/>
        </w:trPr>
        <w:tc>
          <w:tcPr>
            <w:tcW w:type="dxa" w:w="172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6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查看</w:t>
            </w:r>
          </w:p>
        </w:tc>
        <w:tc>
          <w:tcPr>
            <w:tcW w:type="dxa" w:w="475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商家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本店数据、AI建议、操作记录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确认/拒绝建议，撤回未执行任务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策略产品/运营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聚合数据、策略、实验、评测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创建实验、申请扩量、回滚Prompt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算法/数据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匿名日志、模型与指标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发布候选模型、维护数据口径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审核员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待标注案例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评分、严重错误、仲裁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07 / AI DESIGN</w:t>
      </w:r>
    </w:p>
    <w:p>
      <w:pPr>
        <w:pStyle w:val="Heading1"/>
      </w:pPr>
      <w:r>
        <w:rPr>
          <w:rFonts w:ascii="Heiti SC" w:hAnsi="Heiti SC" w:eastAsia="Heiti SC" w:cs="Heiti SC"/>
        </w:rPr>
        <w:t>AI方案与Prompt策略</w:t>
      </w:r>
    </w:p>
    <w:p>
      <w:r>
        <w:rPr>
          <w:rFonts w:ascii="Heiti SC" w:hAnsi="Heiti SC" w:eastAsia="Heiti SC" w:cs="Heiti SC"/>
        </w:rPr>
        <w:t>大模型不负责生成事实；事实必须来自受控查询和规则计算。模型负责理解意图、组织解释、提出受约束的行动建议。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4176"/>
      </w:tblGrid>
      <w:tr>
        <w:trPr>
          <w:tblHeader w:val="true"/>
        </w:trPr>
        <w:tc>
          <w:tcPr>
            <w:tcW w:type="dxa" w:w="194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52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176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关键控制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意图识别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识别诊断/建议/执行/投诉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低置信度澄清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工具调用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查询订单、评价、库存和活动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权限与参数校验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RAG知识库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行业规则、平台政策、操作说明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来源版本与有效期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Prompt模板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角色、证据、约束、输出格式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版本化+A/B实验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安全层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幻觉、承诺、价格预算、隐私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规则拦截+人工升级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核心Prompt结构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560"/>
      </w:tblGrid>
      <w:tr>
        <w:trPr>
          <w:tblHeader w:val="true"/>
        </w:trPr>
        <w:tc>
          <w:tcPr>
            <w:tcW w:type="dxa" w:w="208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段落</w:t>
            </w:r>
          </w:p>
        </w:tc>
        <w:tc>
          <w:tcPr>
            <w:tcW w:type="dxa" w:w="756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角色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本地生活商家经营顾问，不替代商家决策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目标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基于已提供的数据定位问题并给出可验证行动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事实规则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只能引用输入或工具返回的数据；未知则说明未知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建议规则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具体、可执行、说明成本/风险/验证方式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安全规则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禁止承诺效果；价格、预算、发布必须二次确认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输出结构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问题→证据→假设→建议→验证→确认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08 / EXPERIMENT</w:t>
      </w:r>
    </w:p>
    <w:p>
      <w:pPr>
        <w:pStyle w:val="Heading1"/>
      </w:pPr>
      <w:r>
        <w:rPr>
          <w:rFonts w:ascii="Heiti SC" w:hAnsi="Heiti SC" w:eastAsia="Heiti SC" w:cs="Heiti SC"/>
        </w:rPr>
        <w:t>A/B实验设计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920"/>
      </w:tblGrid>
      <w:tr>
        <w:trPr>
          <w:tblHeader w:val="true"/>
        </w:trPr>
        <w:tc>
          <w:tcPr>
            <w:tcW w:type="dxa" w:w="172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实验项</w:t>
            </w:r>
          </w:p>
        </w:tc>
        <w:tc>
          <w:tcPr>
            <w:tcW w:type="dxa" w:w="792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设计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假设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具体损失+原因+行动建议的开场提升商家回复率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A组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您最近的经营数据存在异常，点击查看详情。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B组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套餐曝光上涨12%，但每天少成交约8单，可能与近期差评有关。我整理了3条建议。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分流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商家ID稳定哈希，50/50；行业、城市、新老商家分层校验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主要指标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回复率、建议采纳率、任务完成率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护栏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退订&lt;0.8%、投诉&lt;0.2%、错误建议&lt;1%、人工转接&lt;8%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决策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显著性&gt;95%且护栏安全时扩至80%，保留20%长期对照</w:t>
            </w:r>
          </w:p>
        </w:tc>
      </w:tr>
    </w:tbl>
    <w:p>
      <w:pPr>
        <w:spacing w:after="20"/>
      </w:pP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c>
          <w:tcPr>
            <w:tcW w:type="dxa" w:w="9648"/>
            <w:shd w:fill="EEF9FF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28DCE8"/>
                <w:sz w:val="18"/>
              </w:rPr>
              <w:t xml:space="preserve">模拟结果  </w:t>
            </w:r>
            <w:r>
              <w:rPr>
                <w:rFonts w:ascii="Heiti SC" w:hAnsi="Heiti SC" w:eastAsia="Heiti SC" w:cs="Heiti SC"/>
                <w:color w:val="242442"/>
                <w:sz w:val="19"/>
              </w:rPr>
              <w:t>B组回复率39.0%，较A组30.8%提升8.2pp；采纳率提升12.6pp。以上仅为作品集模拟数据。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分层分析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2304"/>
        <w:gridCol w:w="2304"/>
        <w:gridCol w:w="2448"/>
      </w:tblGrid>
      <w:tr>
        <w:trPr>
          <w:tblHeader w:val="true"/>
        </w:trPr>
        <w:tc>
          <w:tcPr>
            <w:tcW w:type="dxa" w:w="259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分层</w:t>
            </w:r>
          </w:p>
        </w:tc>
        <w:tc>
          <w:tcPr>
            <w:tcW w:type="dxa" w:w="230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A组</w:t>
            </w:r>
          </w:p>
        </w:tc>
        <w:tc>
          <w:tcPr>
            <w:tcW w:type="dxa" w:w="230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B组</w:t>
            </w:r>
          </w:p>
        </w:tc>
        <w:tc>
          <w:tcPr>
            <w:tcW w:type="dxa" w:w="244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Lift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餐饮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30.8%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39.0%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+8.2pp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零售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28.6%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34.7%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+6.1pp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休闲娱乐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32.1%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35.5%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+3.4pp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新商家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27.2%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38.4%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+11.2pp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09 / DATA</w:t>
      </w:r>
    </w:p>
    <w:p>
      <w:pPr>
        <w:pStyle w:val="Heading1"/>
      </w:pPr>
      <w:r>
        <w:rPr>
          <w:rFonts w:ascii="Heiti SC" w:hAnsi="Heiti SC" w:eastAsia="Heiti SC" w:cs="Heiti SC"/>
        </w:rPr>
        <w:t>数据体系与埋点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2160"/>
        <w:gridCol w:w="3960"/>
        <w:gridCol w:w="1296"/>
      </w:tblGrid>
      <w:tr>
        <w:trPr>
          <w:tblHeader w:val="true"/>
        </w:trPr>
        <w:tc>
          <w:tcPr>
            <w:tcW w:type="dxa" w:w="2376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16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3960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核心属性</w:t>
            </w:r>
          </w:p>
        </w:tc>
        <w:tc>
          <w:tcPr>
            <w:tcW w:type="dxa" w:w="1296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strategy_message_sent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消息成功送达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merchant_id/strategy/version/channel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送达率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strategy_message_read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首次阅读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message_id/read_time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阅读率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merchant_replied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商家有效回复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intent/turn_count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回复率/有效会话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suggestion_accepted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接受具体建议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suggestion_id/risk_level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采纳率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task_executed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任务执行完成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tool/result/confirm_id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完成率/审计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business_outcome_checked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7日复盘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metric/baseline/control/lift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经营改善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ai_error_reported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人工或系统发现错误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error_type/severity/model/prompt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错误建议率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指标口径原则</w:t>
      </w:r>
    </w:p>
    <w:p>
      <w:pPr>
        <w:pStyle w:val="ListBullet"/>
      </w:pPr>
      <w:r>
        <w:rPr>
          <w:rFonts w:ascii="Heiti SC" w:hAnsi="Heiti SC" w:eastAsia="Heiti SC" w:cs="Heiti SC"/>
        </w:rPr>
        <w:t>所有漏斗指标按商家去重，且固定观察窗口。</w:t>
      </w:r>
    </w:p>
    <w:p>
      <w:pPr>
        <w:pStyle w:val="ListBullet"/>
      </w:pPr>
      <w:r>
        <w:rPr>
          <w:rFonts w:ascii="Heiti SC" w:hAnsi="Heiti SC" w:eastAsia="Heiti SC" w:cs="Heiti SC"/>
        </w:rPr>
        <w:t>业务提升优先使用随机实验；无实验时注明归因限制。</w:t>
      </w:r>
    </w:p>
    <w:p>
      <w:pPr>
        <w:pStyle w:val="ListBullet"/>
      </w:pPr>
      <w:r>
        <w:rPr>
          <w:rFonts w:ascii="Heiti SC" w:hAnsi="Heiti SC" w:eastAsia="Heiti SC" w:cs="Heiti SC"/>
        </w:rPr>
        <w:t>模型指标与业务指标分开，避免用高回复率掩盖错误建议。</w:t>
      </w:r>
    </w:p>
    <w:p>
      <w:pPr>
        <w:pStyle w:val="ListBullet"/>
      </w:pPr>
      <w:r>
        <w:rPr>
          <w:rFonts w:ascii="Heiti SC" w:hAnsi="Heiti SC" w:eastAsia="Heiti SC" w:cs="Heiti SC"/>
        </w:rPr>
        <w:t>看板默认展示总体、行业、城市、商家阶段和Prompt版本分层。</w:t>
      </w: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10 / EVALUATION</w:t>
      </w:r>
    </w:p>
    <w:p>
      <w:pPr>
        <w:pStyle w:val="Heading1"/>
      </w:pPr>
      <w:r>
        <w:rPr>
          <w:rFonts w:ascii="Heiti SC" w:hAnsi="Heiti SC" w:eastAsia="Heiti SC" w:cs="Heiti SC"/>
        </w:rPr>
        <w:t>标注与模型评测</w:t>
      </w:r>
    </w:p>
    <w:p>
      <w:r>
        <w:rPr>
          <w:rFonts w:ascii="Heiti SC" w:hAnsi="Heiti SC" w:eastAsia="Heiti SC" w:cs="Heiti SC"/>
        </w:rPr>
        <w:t>评测集包含150条模拟案例，覆盖3个行业、12类经营问题、正常与高风险情形。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304"/>
      </w:tblGrid>
      <w:tr>
        <w:trPr>
          <w:tblHeader w:val="true"/>
        </w:trPr>
        <w:tc>
          <w:tcPr>
            <w:tcW w:type="dxa" w:w="244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评测维度</w:t>
            </w:r>
          </w:p>
        </w:tc>
        <w:tc>
          <w:tcPr>
            <w:tcW w:type="dxa" w:w="244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1分</w:t>
            </w:r>
          </w:p>
        </w:tc>
        <w:tc>
          <w:tcPr>
            <w:tcW w:type="dxa" w:w="244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3分</w:t>
            </w:r>
          </w:p>
        </w:tc>
        <w:tc>
          <w:tcPr>
            <w:tcW w:type="dxa" w:w="230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5分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问题判断准确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结论相反/严重误判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基本可用但需修改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完全准确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数据引用正确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虚构/错引数据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少量不清晰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全部可追溯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建议可执行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无法操作或有损失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需明显补充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具体可执行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符合行业特点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违背行业逻辑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较通用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高度匹配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无虚构数据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存在虚构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表达边界不清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无虚构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语气适合商家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冒犯/晦涩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基本自然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清晰可信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无违规承诺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承诺结果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存在暗示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无承诺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高风险操作确认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直接执行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确认不完整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明确二次确认</w:t>
            </w:r>
          </w:p>
        </w:tc>
      </w:tr>
    </w:tbl>
    <w:p>
      <w:pPr>
        <w:spacing w:after="20"/>
      </w:pP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c>
          <w:tcPr>
            <w:tcW w:type="dxa" w:w="9648"/>
            <w:shd w:fill="FFF0FA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E642B5"/>
                <w:sz w:val="18"/>
              </w:rPr>
              <w:t xml:space="preserve">严重错误规则  </w:t>
            </w:r>
            <w:r>
              <w:rPr>
                <w:rFonts w:ascii="Heiti SC" w:hAnsi="Heiti SC" w:eastAsia="Heiti SC" w:cs="Heiti SC"/>
                <w:color w:val="242442"/>
                <w:sz w:val="19"/>
              </w:rPr>
              <w:t>经济损失、违规承诺、隐私泄露、突破商家约束、未经确认的高风险操作，任何一项命中即进入仲裁，不能被平均分抵消。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一致性</w:t>
      </w:r>
    </w:p>
    <w:p>
      <w:r>
        <w:rPr>
          <w:rFonts w:ascii="Heiti SC" w:hAnsi="Heiti SC" w:eastAsia="Heiti SC" w:cs="Heiti SC"/>
        </w:rPr>
        <w:t>抽取60条由3名标注员重复标注，使用Krippendorff's alpha或加权Kappa评估一致性；低于0.75时需更新规则并复标。</w:t>
      </w:r>
    </w:p>
    <w:p>
      <w:r>
        <w:rPr>
          <w:rFonts w:ascii="Heiti SC" w:hAnsi="Heiti SC" w:eastAsia="Heiti SC" w:cs="Heiti SC"/>
        </w:rPr>
        <w:br w:type="page"/>
      </w:r>
    </w:p>
    <w:p>
      <w:r>
        <w:rPr>
          <w:rFonts w:ascii="Heiti SC" w:hAnsi="Heiti SC" w:eastAsia="Heiti SC" w:cs="Heiti SC"/>
          <w:b/>
          <w:color w:val="28DCE8"/>
          <w:sz w:val="16"/>
        </w:rPr>
        <w:t>11 / DELIVERY</w:t>
      </w:r>
    </w:p>
    <w:p>
      <w:pPr>
        <w:pStyle w:val="Heading1"/>
      </w:pPr>
      <w:r>
        <w:rPr>
          <w:rFonts w:ascii="Heiti SC" w:hAnsi="Heiti SC" w:eastAsia="Heiti SC" w:cs="Heiti SC"/>
        </w:rPr>
        <w:t>风险、发布与路线图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608"/>
      </w:tblGrid>
      <w:tr>
        <w:trPr>
          <w:tblHeader w:val="true"/>
        </w:trPr>
        <w:tc>
          <w:tcPr>
            <w:tcW w:type="dxa" w:w="208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5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监控</w:t>
            </w:r>
          </w:p>
        </w:tc>
        <w:tc>
          <w:tcPr>
            <w:tcW w:type="dxa" w:w="460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模型幻觉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虚构数据率/错误建议率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工具事实注入、引用校验、离线评测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错误操作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失败率/经济损失投诉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二次确认、幂等、回滚、审计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策略打扰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退订率/投诉率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频控、人群排除、自动暂停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偏差与泛化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行业/城市分层差异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分层实验与回归评测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数据合规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越权查询/敏感字段访问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最小权限、脱敏、日志留存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上线准入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56"/>
        <w:gridCol w:w="3168"/>
        <w:gridCol w:w="3024"/>
      </w:tblGrid>
      <w:tr>
        <w:trPr>
          <w:tblHeader w:val="true"/>
        </w:trPr>
        <w:tc>
          <w:tcPr>
            <w:tcW w:type="dxa" w:w="3456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168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302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离线综合得分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&gt;=4.5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候选版本待验证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错误建议率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&lt;1%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必须通过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高风险确认覆盖率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100%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必须通过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A/B显著性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&gt;95%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扩量前通过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投诉率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无显著上升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持续监控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人工审核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至少100条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发布前完成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 w:cs="Heiti SC"/>
        </w:rPr>
        <w:t>路线图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3672"/>
        <w:gridCol w:w="4104"/>
      </w:tblGrid>
      <w:tr>
        <w:trPr>
          <w:tblHeader w:val="true"/>
        </w:trPr>
        <w:tc>
          <w:tcPr>
            <w:tcW w:type="dxa" w:w="187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72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104"/>
            <w:shd w:fill="3B2C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MVP 0-4周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餐饮单场景、离线评测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诊断+建议+人工确认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验证 5-8周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A/B实验、任务执行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实验显著性与护栏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扩展 9-12周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零售/娱乐、行业Prompt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F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分层策略与回归集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规模化 3-6月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运营平台、自动准入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2FC"/>
          </w:tcPr>
          <w:p>
            <w:pPr>
              <w:spacing w:after="0" w:line="252" w:lineRule="auto"/>
            </w:pPr>
            <w:r>
              <w:rPr>
                <w:rFonts w:ascii="Heiti SC" w:hAnsi="Heiti SC" w:eastAsia="Heiti SC" w:cs="Heiti SC"/>
                <w:color w:val="242442"/>
                <w:sz w:val="17"/>
              </w:rPr>
              <w:t>版本治理与持续评测</w:t>
            </w:r>
          </w:p>
        </w:tc>
      </w:tr>
    </w:tbl>
    <w:p>
      <w:pPr>
        <w:spacing w:after="20"/>
      </w:pP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c>
          <w:tcPr>
            <w:tcW w:type="dxa" w:w="9648"/>
            <w:shd w:fill="EEF9FF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28DCE8"/>
                <w:sz w:val="18"/>
              </w:rPr>
              <w:t xml:space="preserve">面试说明  </w:t>
            </w:r>
            <w:r>
              <w:rPr>
                <w:rFonts w:ascii="Heiti SC" w:hAnsi="Heiti SC" w:eastAsia="Heiti SC" w:cs="Heiti SC"/>
                <w:color w:val="242442"/>
                <w:sz w:val="19"/>
              </w:rPr>
              <w:t>该项目展示产品定义、Prompt策略、实验设计、数据体系与评测治理能力。所有用户、案例与结果均为模拟，真实工作需在授权数据和实际团队协作下重新验证。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D7190"/>
        <w:sz w:val="16"/>
      </w:rPr>
      <w:t>AI Product Manager Portfolio · 模拟数据，仅用于作品集演示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D7190"/>
        <w:sz w:val="16"/>
      </w:rPr>
      <w:t>商智 · AI 商家经营顾问 /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eiti SC" w:hAnsi="Heiti SC" w:eastAsia="Heiti SC" w:cs="Heiti SC"/>
      <w:color w:val="242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7557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3B2C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3B2C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Heiti SC" w:hAnsi="Heiti SC" w:eastAsia="Heiti SC" w:cs="Heiti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Heiti SC" w:hAnsi="Heiti SC" w:eastAsia="Heiti SC" w:cs="Heiti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276" w:lineRule="auto"/>
    </w:pPr>
    <w:rPr>
      <w:rFonts w:ascii="Heiti SC" w:hAnsi="Heiti SC" w:eastAsia="Heiti SC" w:cs="Heiti SC"/>
      <w:color w:val="3B2C7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