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作业批复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1、程序只要不退出是一直循环的，可以使用while True 死循环，直到输入0时使用break跳出循环</w:t>
      </w:r>
    </w:p>
    <w:p>
      <w:r>
        <w:drawing>
          <wp:inline distT="0" distB="0" distL="114300" distR="114300">
            <wp:extent cx="4298950" cy="3187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2、三个货币兑换服务是不同的，所以应先选择服务后才能输入相应服务需要输入的货币金额，进行转换，并不是每次都是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输入人民币;</w:t>
      </w:r>
    </w:p>
    <w:p>
      <w:r>
        <w:drawing>
          <wp:inline distT="0" distB="0" distL="114300" distR="114300">
            <wp:extent cx="4838700" cy="4438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3、注意货币单位的使用人民币为￥，美元为$，欧元为€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18000" cy="445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23EB"/>
    <w:rsid w:val="1C9E3D80"/>
    <w:rsid w:val="3991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2022-02-05T09:44:00Z</dcterms:created>
  <dc:creator>guoguo</dc:creator>
  <cp:lastModifiedBy>佳澜-刘金果果</cp:lastModifiedBy>
  <dcterms:modified xsi:type="dcterms:W3CDTF">2022-02-05T09:54:43Z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035A7A350FA14C26866901EFE285863F</vt:lpwstr>
  </property>
</Properties>
</file>