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24"/>
          <w:szCs w:val="24"/>
        </w:rPr>
        <w:t xml:space="preserve">Table 1: Responsa Project Summary Statistics by Time Period and Geographic Region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800"/>
      </w:tblGrid>
      <w:tr>
        <w:trPr>
          <w:tblHeader/>
        </w:trPr>
        <w:tc>
          <w:tcPr>
            <w:tcW w:type="dxa" w:w="6800"/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Statistic</w:t>
            </w:r>
          </w:p>
        </w:tc>
        <w:tc>
          <w:tcPr>
            <w:tcW w:type="dxa" w:w="2800"/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Number of responsa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131,062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Number of unique authors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316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Earliest author birth year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680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Median author birth year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1788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Avg. responsa per author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415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Median responsa per author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172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Avg. word length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1270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Geonic responsa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2.3%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by Rishonim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14.3%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by Acharonim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83.5%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Eastern Europe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33.6%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Israel/Palestine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25.4%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North Africa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10.3%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Central and Western Europe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8.5%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North America/Australia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7.2%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West Asia (ex Israel)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6.1%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Iberia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4.4%</w:t>
            </w:r>
          </w:p>
        </w:tc>
      </w:tr>
      <w:tr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 of responsa from Italy and the Balkans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4.4%</w:t>
            </w:r>
          </w:p>
        </w:tc>
      </w:tr>
    </w:tbl>
    <w:p>
      <w:pPr>
        <w:spacing w:before="160"/>
      </w:pPr>
      <w:r>
        <w:rPr>
          <w:i/>
          <w:iCs/>
          <w:sz w:val="19"/>
          <w:szCs w:val="19"/>
        </w:rPr>
        <w:t xml:space="preserve">Note: excludes citations/footnotes (word_length &lt;= 10) and the corpus-cleaning exclusions described in 01_build_dataset.py (front matter/tables of contents; 12 named Geonic-era non-responsa works; Sefer Nachalat Shivah's shtarot section), per Section III.A, “Excluding Non-Responsa.” Geonic/Rishonim/Acharonim shares are by author birth year (Rishonim/Acharonim split at 1480); regional shares are of the full responsa sample (8 regions).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2026-09-17T19:33:47.284Z</dcterms:created>
  <dcterms:modified xsi:type="dcterms:W3CDTF">2026-09-17T19:33:47.284Z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