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b/>
          <w:bCs/>
          <w:sz w:val="24"/>
          <w:szCs w:val="24"/>
        </w:rPr>
        <w:t xml:space="preserve">Table 2: Rishonim Period Region Effects on Responsa Word Length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800"/>
      </w:tblGrid>
      <w:tr>
        <w:trPr>
          <w:tblHeader/>
        </w:trPr>
        <w:tc>
          <w:tcPr>
            <w:tcW w:type="dxa" w:w="6800"/>
            <w:shd w:fill="D9D9D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Region</w:t>
            </w:r>
          </w:p>
        </w:tc>
        <w:tc>
          <w:tcPr>
            <w:tcW w:type="dxa" w:w="2800"/>
            <w:shd w:fill="D9D9D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1"/>
                <w:szCs w:val="21"/>
              </w:rPr>
              <w:t xml:space="preserve">Estimate (SE)</w:t>
            </w:r>
          </w:p>
        </w:tc>
      </w:tr>
      <w:tr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Italy and the Balkans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581.66***</w:t>
            </w:r>
          </w:p>
          <w:p>
            <w:pPr>
              <w:jc w:val="center"/>
            </w:pPr>
            <w:r>
              <w:rPr>
                <w:sz w:val="21"/>
                <w:szCs w:val="21"/>
              </w:rPr>
              <w:t xml:space="preserve">(96.01)</w:t>
            </w:r>
          </w:p>
        </w:tc>
      </w:tr>
      <w:tr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Iberia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12.80</w:t>
            </w:r>
          </w:p>
          <w:p>
            <w:pPr>
              <w:jc w:val="center"/>
            </w:pPr>
            <w:r>
              <w:rPr>
                <w:sz w:val="21"/>
                <w:szCs w:val="21"/>
              </w:rPr>
              <w:t xml:space="preserve">(80.93)</w:t>
            </w:r>
          </w:p>
        </w:tc>
      </w:tr>
      <w:tr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Central and Western Europe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-11.26</w:t>
            </w:r>
          </w:p>
          <w:p>
            <w:pPr>
              <w:jc w:val="center"/>
            </w:pPr>
            <w:r>
              <w:rPr>
                <w:sz w:val="21"/>
                <w:szCs w:val="21"/>
              </w:rPr>
              <w:t xml:space="preserve">(74.66)</w:t>
            </w:r>
          </w:p>
        </w:tc>
      </w:tr>
      <w:tr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West Asia (ex Israel)</w:t>
            </w:r>
          </w:p>
        </w:tc>
        <w:tc>
          <w:tcPr>
            <w:tcW w:type="dxa" w:w="2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sz w:val="21"/>
                <w:szCs w:val="21"/>
              </w:rPr>
              <w:t xml:space="preserve">-114.28</w:t>
            </w:r>
          </w:p>
          <w:p>
            <w:pPr>
              <w:jc w:val="center"/>
            </w:pPr>
            <w:r>
              <w:rPr>
                <w:sz w:val="21"/>
                <w:szCs w:val="21"/>
              </w:rPr>
              <w:t xml:space="preserve">(70.51)</w:t>
            </w:r>
          </w:p>
        </w:tc>
      </w:tr>
    </w:tbl>
    <w:p>
      <w:pPr>
        <w:spacing w:before="160"/>
      </w:pPr>
      <w:r>
        <w:rPr>
          <w:i/>
          <w:iCs/>
          <w:sz w:val="19"/>
          <w:szCs w:val="19"/>
        </w:rPr>
        <w:t xml:space="preserve">Note: * p &lt; 0.10, ** p &lt; 0.05, *** p &lt; 0.01. Linear regression of responsum word length on region dummy variables (North Africa omitted) and a dummy variable for each half-century in the sample. Sample: responsa written 1000-1350 CE (N = 12,000). Standard errors clustered by author.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2026-09-17T19:33:47.288Z</dcterms:created>
  <dcterms:modified xsi:type="dcterms:W3CDTF">2026-09-17T19:33:47.288Z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