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9CE7E" w14:textId="77777777" w:rsidR="00871FA6" w:rsidRPr="00CC488A" w:rsidRDefault="00871FA6" w:rsidP="00871FA6">
      <w:pPr>
        <w:pStyle w:val="af3"/>
        <w:spacing w:before="0" w:beforeAutospacing="0" w:after="0" w:afterAutospacing="0" w:line="400" w:lineRule="exact"/>
        <w:rPr>
          <w:rFonts w:hint="eastAsia"/>
          <w:b/>
          <w:bCs/>
        </w:rPr>
      </w:pPr>
      <w:r w:rsidRPr="00CC488A">
        <w:rPr>
          <w:rFonts w:hint="eastAsia"/>
          <w:b/>
          <w:bCs/>
        </w:rPr>
        <w:t>学校编码：</w:t>
      </w:r>
      <w:r w:rsidRPr="00CC488A">
        <w:rPr>
          <w:b/>
          <w:bCs/>
        </w:rPr>
        <w:t>10384</w:t>
      </w:r>
      <w:r w:rsidRPr="00CC488A">
        <w:rPr>
          <w:rFonts w:hint="eastAsia"/>
          <w:b/>
          <w:bCs/>
        </w:rPr>
        <w:t xml:space="preserve">   </w:t>
      </w:r>
      <w:r>
        <w:rPr>
          <w:b/>
          <w:bCs/>
        </w:rPr>
        <w:t xml:space="preserve">                             </w:t>
      </w:r>
    </w:p>
    <w:p w14:paraId="71B374B0" w14:textId="3F708AB1" w:rsidR="00871FA6" w:rsidRPr="00CC488A" w:rsidRDefault="00871FA6" w:rsidP="00871FA6">
      <w:pPr>
        <w:pStyle w:val="af3"/>
        <w:spacing w:before="0" w:beforeAutospacing="0" w:after="0" w:afterAutospacing="0" w:line="400" w:lineRule="exact"/>
        <w:rPr>
          <w:rFonts w:hint="eastAsia"/>
          <w:b/>
          <w:bCs/>
          <w:u w:val="single"/>
        </w:rPr>
      </w:pPr>
      <w:r w:rsidRPr="00CC488A">
        <w:rPr>
          <w:rFonts w:hint="eastAsia"/>
          <w:b/>
          <w:bCs/>
        </w:rPr>
        <w:t>学</w:t>
      </w:r>
      <w:r>
        <w:rPr>
          <w:rFonts w:hint="eastAsia"/>
          <w:b/>
          <w:bCs/>
        </w:rPr>
        <w:t xml:space="preserve"> </w:t>
      </w:r>
      <w:r>
        <w:rPr>
          <w:b/>
          <w:bCs/>
        </w:rPr>
        <w:t xml:space="preserve">   </w:t>
      </w:r>
      <w:r w:rsidRPr="00CC488A">
        <w:rPr>
          <w:rFonts w:hint="eastAsia"/>
          <w:b/>
          <w:bCs/>
        </w:rPr>
        <w:t>号：</w:t>
      </w:r>
      <w:r w:rsidR="00257A5B">
        <w:rPr>
          <w:rFonts w:hint="eastAsia"/>
          <w:b/>
          <w:bCs/>
        </w:rPr>
        <w:t>15620221152711</w:t>
      </w:r>
      <w:r w:rsidRPr="00CC488A">
        <w:rPr>
          <w:rFonts w:hint="eastAsia"/>
          <w:b/>
          <w:bCs/>
        </w:rPr>
        <w:t xml:space="preserve">   </w:t>
      </w:r>
      <w:r>
        <w:rPr>
          <w:b/>
          <w:bCs/>
        </w:rPr>
        <w:t xml:space="preserve">                                         </w:t>
      </w:r>
    </w:p>
    <w:p w14:paraId="0C9077A1" w14:textId="77777777" w:rsidR="00871FA6" w:rsidRPr="00AD257B" w:rsidRDefault="00871FA6" w:rsidP="00871FA6">
      <w:pPr>
        <w:pStyle w:val="af3"/>
        <w:snapToGrid w:val="0"/>
        <w:spacing w:before="0" w:beforeAutospacing="0" w:after="0" w:afterAutospacing="0" w:line="340" w:lineRule="exact"/>
        <w:ind w:firstLineChars="100" w:firstLine="211"/>
        <w:rPr>
          <w:rFonts w:hint="eastAsia"/>
          <w:b/>
          <w:bCs/>
          <w:sz w:val="21"/>
          <w:szCs w:val="21"/>
        </w:rPr>
      </w:pPr>
    </w:p>
    <w:p w14:paraId="1D4A205A" w14:textId="5B857C85" w:rsidR="00871FA6" w:rsidRDefault="00871FA6" w:rsidP="00871FA6">
      <w:pPr>
        <w:pStyle w:val="af3"/>
        <w:snapToGrid w:val="0"/>
        <w:spacing w:before="0" w:beforeAutospacing="0" w:after="0" w:afterAutospacing="0" w:line="340" w:lineRule="exact"/>
        <w:ind w:firstLineChars="100" w:firstLine="211"/>
        <w:rPr>
          <w:rFonts w:hint="eastAsia"/>
          <w:b/>
          <w:bCs/>
          <w:sz w:val="21"/>
          <w:szCs w:val="21"/>
        </w:rPr>
      </w:pPr>
    </w:p>
    <w:p w14:paraId="3FC7CD66" w14:textId="597A105C" w:rsidR="00871FA6" w:rsidRDefault="00871FA6" w:rsidP="00871FA6">
      <w:pPr>
        <w:pStyle w:val="af3"/>
        <w:snapToGrid w:val="0"/>
        <w:spacing w:before="0" w:beforeAutospacing="0" w:after="0" w:afterAutospacing="0" w:line="340" w:lineRule="exact"/>
        <w:ind w:firstLineChars="100" w:firstLine="240"/>
        <w:rPr>
          <w:rFonts w:hint="eastAsia"/>
          <w:b/>
          <w:bCs/>
          <w:sz w:val="21"/>
          <w:szCs w:val="21"/>
        </w:rPr>
      </w:pPr>
      <w:r>
        <w:rPr>
          <w:noProof/>
        </w:rPr>
        <w:drawing>
          <wp:anchor distT="0" distB="0" distL="114300" distR="114300" simplePos="0" relativeHeight="251677696" behindDoc="1" locked="0" layoutInCell="1" allowOverlap="1" wp14:anchorId="1FFA855F" wp14:editId="38F9929B">
            <wp:simplePos x="0" y="0"/>
            <wp:positionH relativeFrom="column">
              <wp:posOffset>1784985</wp:posOffset>
            </wp:positionH>
            <wp:positionV relativeFrom="paragraph">
              <wp:posOffset>69850</wp:posOffset>
            </wp:positionV>
            <wp:extent cx="1733550" cy="476250"/>
            <wp:effectExtent l="0" t="0" r="0" b="0"/>
            <wp:wrapTight wrapText="bothSides">
              <wp:wrapPolygon edited="0">
                <wp:start x="0" y="0"/>
                <wp:lineTo x="0" y="20736"/>
                <wp:lineTo x="21363" y="20736"/>
                <wp:lineTo x="21363" y="0"/>
                <wp:lineTo x="0" y="0"/>
              </wp:wrapPolygon>
            </wp:wrapTight>
            <wp:docPr id="421960433" name="图片 15" descr="xmu-zi-jiag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xmu-zi-jiage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F9E70" w14:textId="77777777" w:rsidR="00871FA6" w:rsidRDefault="00871FA6" w:rsidP="00871FA6">
      <w:pPr>
        <w:pStyle w:val="af3"/>
        <w:snapToGrid w:val="0"/>
        <w:spacing w:before="0" w:beforeAutospacing="0" w:after="0" w:afterAutospacing="0" w:line="340" w:lineRule="exact"/>
        <w:rPr>
          <w:rFonts w:hint="eastAsia"/>
          <w:b/>
          <w:bCs/>
          <w:sz w:val="21"/>
          <w:szCs w:val="21"/>
        </w:rPr>
      </w:pPr>
    </w:p>
    <w:p w14:paraId="2B0E2D78" w14:textId="4C8B31DF" w:rsidR="00871FA6" w:rsidRDefault="00871FA6" w:rsidP="00871FA6">
      <w:pPr>
        <w:adjustRightInd w:val="0"/>
        <w:snapToGrid w:val="0"/>
        <w:spacing w:line="340" w:lineRule="exact"/>
        <w:rPr>
          <w:rFonts w:ascii="宋体" w:hAnsi="宋体" w:hint="eastAsia"/>
          <w:b/>
          <w:bCs/>
          <w:szCs w:val="21"/>
          <w:u w:val="single"/>
        </w:rPr>
      </w:pPr>
    </w:p>
    <w:p w14:paraId="59F314F5" w14:textId="150A7084" w:rsidR="00871FA6" w:rsidRDefault="00871FA6" w:rsidP="00871FA6">
      <w:pPr>
        <w:adjustRightInd w:val="0"/>
        <w:snapToGrid w:val="0"/>
        <w:spacing w:line="340" w:lineRule="exact"/>
        <w:rPr>
          <w:rFonts w:ascii="宋体" w:hAnsi="宋体" w:hint="eastAsia"/>
          <w:b/>
          <w:bCs/>
          <w:szCs w:val="21"/>
          <w:u w:val="single"/>
        </w:rPr>
      </w:pPr>
    </w:p>
    <w:p w14:paraId="5D77D5F7" w14:textId="135AA508" w:rsidR="00871FA6" w:rsidRPr="00AE4AE0" w:rsidRDefault="00871FA6" w:rsidP="00871FA6">
      <w:pPr>
        <w:adjustRightInd w:val="0"/>
        <w:snapToGrid w:val="0"/>
        <w:spacing w:line="500" w:lineRule="exact"/>
        <w:jc w:val="center"/>
        <w:rPr>
          <w:sz w:val="44"/>
          <w:szCs w:val="44"/>
        </w:rPr>
      </w:pPr>
      <w:r>
        <w:rPr>
          <w:rFonts w:ascii="宋体" w:hAnsi="宋体" w:hint="eastAsia"/>
          <w:b/>
          <w:bCs/>
          <w:sz w:val="36"/>
          <w:szCs w:val="36"/>
        </w:rPr>
        <w:t xml:space="preserve"> </w:t>
      </w:r>
      <w:proofErr w:type="gramStart"/>
      <w:r w:rsidR="00257A5B">
        <w:rPr>
          <w:rFonts w:ascii="宋体" w:hAnsi="宋体" w:hint="eastAsia"/>
          <w:b/>
          <w:bCs/>
          <w:sz w:val="44"/>
          <w:szCs w:val="44"/>
        </w:rPr>
        <w:t>硕</w:t>
      </w:r>
      <w:proofErr w:type="gramEnd"/>
      <w:r w:rsidR="00257A5B">
        <w:rPr>
          <w:rFonts w:ascii="宋体" w:hAnsi="宋体" w:hint="eastAsia"/>
          <w:b/>
          <w:bCs/>
          <w:sz w:val="44"/>
          <w:szCs w:val="44"/>
        </w:rPr>
        <w:t xml:space="preserve">  士  </w:t>
      </w:r>
      <w:r w:rsidRPr="00AE4AE0">
        <w:rPr>
          <w:rFonts w:ascii="宋体" w:hAnsi="宋体" w:hint="eastAsia"/>
          <w:b/>
          <w:bCs/>
          <w:sz w:val="44"/>
          <w:szCs w:val="44"/>
        </w:rPr>
        <w:t>学</w:t>
      </w:r>
      <w:r w:rsidR="00257A5B">
        <w:rPr>
          <w:rFonts w:ascii="宋体" w:hAnsi="宋体" w:hint="eastAsia"/>
          <w:b/>
          <w:bCs/>
          <w:sz w:val="44"/>
          <w:szCs w:val="44"/>
        </w:rPr>
        <w:t xml:space="preserve">  </w:t>
      </w:r>
      <w:r w:rsidRPr="00AE4AE0">
        <w:rPr>
          <w:rFonts w:ascii="宋体" w:hAnsi="宋体"/>
          <w:b/>
          <w:bCs/>
          <w:sz w:val="44"/>
          <w:szCs w:val="44"/>
        </w:rPr>
        <w:t>位  论  文</w:t>
      </w:r>
    </w:p>
    <w:p w14:paraId="59585233" w14:textId="7166E48B" w:rsidR="00871FA6" w:rsidRDefault="00871FA6" w:rsidP="00871FA6">
      <w:pPr>
        <w:pStyle w:val="31"/>
        <w:snapToGrid w:val="0"/>
        <w:rPr>
          <w:sz w:val="36"/>
          <w:szCs w:val="36"/>
        </w:rPr>
      </w:pPr>
    </w:p>
    <w:p w14:paraId="2C5656D4" w14:textId="0FE51AEB" w:rsidR="00871FA6" w:rsidRPr="00AE4AE0" w:rsidRDefault="00257A5B" w:rsidP="00871FA6">
      <w:pPr>
        <w:pStyle w:val="31"/>
        <w:snapToGrid w:val="0"/>
        <w:spacing w:beforeLines="50" w:before="156" w:afterLines="100" w:after="312" w:line="600" w:lineRule="exact"/>
        <w:rPr>
          <w:sz w:val="36"/>
          <w:szCs w:val="36"/>
        </w:rPr>
      </w:pPr>
      <w:r w:rsidRPr="00257A5B">
        <w:rPr>
          <w:rFonts w:hint="eastAsia"/>
          <w:sz w:val="36"/>
          <w:szCs w:val="36"/>
        </w:rPr>
        <w:t>组织资本与董</w:t>
      </w:r>
      <w:proofErr w:type="gramStart"/>
      <w:r w:rsidRPr="00257A5B">
        <w:rPr>
          <w:rFonts w:hint="eastAsia"/>
          <w:sz w:val="36"/>
          <w:szCs w:val="36"/>
        </w:rPr>
        <w:t>监高责任</w:t>
      </w:r>
      <w:proofErr w:type="gramEnd"/>
      <w:r w:rsidRPr="00257A5B">
        <w:rPr>
          <w:rFonts w:hint="eastAsia"/>
          <w:sz w:val="36"/>
          <w:szCs w:val="36"/>
        </w:rPr>
        <w:t>险</w:t>
      </w:r>
    </w:p>
    <w:p w14:paraId="50389993" w14:textId="37A7A384" w:rsidR="00871FA6" w:rsidRPr="00685D25" w:rsidRDefault="00257A5B" w:rsidP="00257A5B">
      <w:pPr>
        <w:pStyle w:val="31"/>
        <w:snapToGrid w:val="0"/>
        <w:spacing w:line="520" w:lineRule="exact"/>
        <w:rPr>
          <w:sz w:val="32"/>
          <w:szCs w:val="32"/>
        </w:rPr>
      </w:pPr>
      <w:r w:rsidRPr="00257A5B">
        <w:rPr>
          <w:sz w:val="32"/>
          <w:szCs w:val="32"/>
        </w:rPr>
        <w:t>Organizational Capital and Directors' and Officers’ Liability Insurance</w:t>
      </w:r>
    </w:p>
    <w:p w14:paraId="26688C92" w14:textId="3538D8F1" w:rsidR="00871FA6" w:rsidRDefault="00871FA6" w:rsidP="00871FA6">
      <w:pPr>
        <w:spacing w:line="340" w:lineRule="exact"/>
        <w:jc w:val="center"/>
        <w:rPr>
          <w:rFonts w:eastAsia="楷体_GB2312"/>
          <w:b/>
          <w:bCs/>
          <w:szCs w:val="21"/>
        </w:rPr>
      </w:pPr>
    </w:p>
    <w:p w14:paraId="13E593A9" w14:textId="77777777" w:rsidR="00871FA6" w:rsidRDefault="00871FA6" w:rsidP="00871FA6">
      <w:pPr>
        <w:spacing w:line="340" w:lineRule="exact"/>
        <w:jc w:val="center"/>
        <w:rPr>
          <w:rFonts w:eastAsia="楷体_GB2312"/>
          <w:b/>
          <w:bCs/>
          <w:szCs w:val="21"/>
        </w:rPr>
      </w:pPr>
    </w:p>
    <w:p w14:paraId="695E6CF8" w14:textId="74DB4687" w:rsidR="00871FA6" w:rsidRDefault="00871FA6" w:rsidP="00871FA6">
      <w:pPr>
        <w:spacing w:line="340" w:lineRule="exact"/>
        <w:jc w:val="center"/>
        <w:rPr>
          <w:rFonts w:eastAsia="楷体_GB2312"/>
          <w:b/>
          <w:bCs/>
          <w:szCs w:val="21"/>
        </w:rPr>
      </w:pPr>
    </w:p>
    <w:p w14:paraId="6687573C" w14:textId="1B2DA128" w:rsidR="00871FA6" w:rsidRPr="00AE4AE0" w:rsidRDefault="00257A5B" w:rsidP="00871FA6">
      <w:pPr>
        <w:jc w:val="center"/>
        <w:rPr>
          <w:rFonts w:eastAsia="楷体_GB2312"/>
          <w:b/>
          <w:sz w:val="36"/>
          <w:szCs w:val="36"/>
        </w:rPr>
      </w:pPr>
      <w:r>
        <w:rPr>
          <w:rFonts w:eastAsia="楷体_GB2312" w:hint="eastAsia"/>
          <w:b/>
          <w:sz w:val="36"/>
          <w:szCs w:val="36"/>
        </w:rPr>
        <w:t>杨君茹</w:t>
      </w:r>
    </w:p>
    <w:p w14:paraId="712A7D46" w14:textId="77777777" w:rsidR="00871FA6" w:rsidRPr="0060330E" w:rsidRDefault="00871FA6" w:rsidP="00871FA6">
      <w:pPr>
        <w:spacing w:line="340" w:lineRule="exact"/>
        <w:jc w:val="center"/>
        <w:rPr>
          <w:rFonts w:eastAsia="楷体_GB2312"/>
          <w:b/>
          <w:bCs/>
          <w:szCs w:val="21"/>
        </w:rPr>
      </w:pPr>
    </w:p>
    <w:p w14:paraId="0614D687" w14:textId="35C9C9C2" w:rsidR="00871FA6" w:rsidRPr="0060330E" w:rsidRDefault="00871FA6" w:rsidP="00871FA6">
      <w:pPr>
        <w:snapToGrid w:val="0"/>
        <w:spacing w:line="620" w:lineRule="exact"/>
        <w:ind w:firstLineChars="765" w:firstLine="2295"/>
        <w:rPr>
          <w:rFonts w:ascii="楷体_GB2312" w:eastAsia="楷体_GB2312"/>
          <w:sz w:val="30"/>
          <w:szCs w:val="30"/>
        </w:rPr>
      </w:pPr>
      <w:r w:rsidRPr="0060330E">
        <w:rPr>
          <w:rFonts w:ascii="楷体_GB2312" w:eastAsia="楷体_GB2312" w:hint="eastAsia"/>
          <w:sz w:val="30"/>
          <w:szCs w:val="30"/>
        </w:rPr>
        <w:t>指导教师姓名：</w:t>
      </w:r>
      <w:r w:rsidR="00065A76">
        <w:rPr>
          <w:rFonts w:ascii="楷体_GB2312" w:eastAsia="楷体_GB2312" w:hint="eastAsia"/>
          <w:sz w:val="30"/>
          <w:szCs w:val="30"/>
        </w:rPr>
        <w:t>顾明副教授</w:t>
      </w:r>
    </w:p>
    <w:p w14:paraId="6876A254" w14:textId="1495FBD3" w:rsidR="00871FA6" w:rsidRPr="0060330E" w:rsidRDefault="00871FA6" w:rsidP="00871FA6">
      <w:pPr>
        <w:snapToGrid w:val="0"/>
        <w:spacing w:line="620" w:lineRule="exact"/>
        <w:ind w:firstLineChars="765" w:firstLine="2295"/>
        <w:rPr>
          <w:rFonts w:ascii="楷体_GB2312" w:eastAsia="楷体_GB2312"/>
          <w:sz w:val="30"/>
          <w:szCs w:val="30"/>
        </w:rPr>
      </w:pPr>
      <w:r w:rsidRPr="0060330E">
        <w:rPr>
          <w:rFonts w:ascii="楷体_GB2312" w:eastAsia="楷体_GB2312" w:hint="eastAsia"/>
          <w:sz w:val="30"/>
          <w:szCs w:val="30"/>
        </w:rPr>
        <w:t>专  业</w:t>
      </w:r>
      <w:r w:rsidRPr="0060330E">
        <w:rPr>
          <w:rFonts w:ascii="楷体_GB2312" w:eastAsia="楷体_GB2312"/>
          <w:sz w:val="30"/>
          <w:szCs w:val="30"/>
        </w:rPr>
        <w:t xml:space="preserve"> </w:t>
      </w:r>
      <w:r w:rsidRPr="0060330E">
        <w:rPr>
          <w:rFonts w:ascii="楷体_GB2312" w:eastAsia="楷体_GB2312" w:hint="eastAsia"/>
          <w:sz w:val="30"/>
          <w:szCs w:val="30"/>
        </w:rPr>
        <w:t>名 称：</w:t>
      </w:r>
      <w:r w:rsidR="00257A5B" w:rsidRPr="00257A5B">
        <w:rPr>
          <w:rFonts w:ascii="楷体_GB2312" w:eastAsia="楷体_GB2312" w:hint="eastAsia"/>
          <w:sz w:val="30"/>
          <w:szCs w:val="30"/>
        </w:rPr>
        <w:t>金</w:t>
      </w:r>
      <w:r w:rsidR="00257A5B">
        <w:rPr>
          <w:rFonts w:ascii="楷体_GB2312" w:eastAsia="楷体_GB2312" w:hint="eastAsia"/>
          <w:sz w:val="30"/>
          <w:szCs w:val="30"/>
        </w:rPr>
        <w:t xml:space="preserve"> </w:t>
      </w:r>
      <w:r w:rsidR="00065A76">
        <w:rPr>
          <w:rFonts w:ascii="楷体_GB2312" w:eastAsia="楷体_GB2312" w:hint="eastAsia"/>
          <w:sz w:val="30"/>
          <w:szCs w:val="30"/>
        </w:rPr>
        <w:t xml:space="preserve">     </w:t>
      </w:r>
      <w:r w:rsidR="00257A5B" w:rsidRPr="00257A5B">
        <w:rPr>
          <w:rFonts w:ascii="楷体_GB2312" w:eastAsia="楷体_GB2312" w:hint="eastAsia"/>
          <w:sz w:val="30"/>
          <w:szCs w:val="30"/>
        </w:rPr>
        <w:t>融</w:t>
      </w:r>
    </w:p>
    <w:p w14:paraId="2A3E4D94" w14:textId="5F93F20F" w:rsidR="00871FA6" w:rsidRPr="00257A5B" w:rsidRDefault="00871FA6" w:rsidP="00871FA6">
      <w:pPr>
        <w:snapToGrid w:val="0"/>
        <w:spacing w:line="620" w:lineRule="exact"/>
        <w:ind w:firstLineChars="765" w:firstLine="2295"/>
        <w:rPr>
          <w:rFonts w:eastAsia="楷体"/>
          <w:sz w:val="30"/>
          <w:szCs w:val="30"/>
        </w:rPr>
      </w:pPr>
      <w:r w:rsidRPr="0060330E">
        <w:rPr>
          <w:rFonts w:ascii="楷体_GB2312" w:eastAsia="楷体_GB2312" w:hint="eastAsia"/>
          <w:sz w:val="30"/>
          <w:szCs w:val="30"/>
        </w:rPr>
        <w:t>论文提交日期：</w:t>
      </w:r>
      <w:r w:rsidR="00257A5B" w:rsidRPr="00257A5B">
        <w:rPr>
          <w:rFonts w:eastAsia="楷体" w:hint="eastAsia"/>
          <w:sz w:val="30"/>
          <w:szCs w:val="30"/>
        </w:rPr>
        <w:t>2025</w:t>
      </w:r>
      <w:r w:rsidR="00257A5B">
        <w:rPr>
          <w:rFonts w:eastAsia="楷体" w:hint="eastAsia"/>
          <w:sz w:val="30"/>
          <w:szCs w:val="30"/>
        </w:rPr>
        <w:t xml:space="preserve"> </w:t>
      </w:r>
      <w:r w:rsidRPr="00257A5B">
        <w:rPr>
          <w:rFonts w:eastAsia="楷体" w:hint="eastAsia"/>
          <w:sz w:val="30"/>
          <w:szCs w:val="30"/>
        </w:rPr>
        <w:t>年</w:t>
      </w:r>
      <w:r w:rsidR="00257A5B">
        <w:rPr>
          <w:rFonts w:eastAsia="楷体" w:hint="eastAsia"/>
          <w:sz w:val="30"/>
          <w:szCs w:val="30"/>
        </w:rPr>
        <w:t xml:space="preserve"> </w:t>
      </w:r>
      <w:r w:rsidR="00257A5B" w:rsidRPr="00257A5B">
        <w:rPr>
          <w:rFonts w:eastAsia="楷体" w:hint="eastAsia"/>
          <w:sz w:val="30"/>
          <w:szCs w:val="30"/>
        </w:rPr>
        <w:t>4</w:t>
      </w:r>
      <w:r w:rsidRPr="00257A5B">
        <w:rPr>
          <w:rFonts w:eastAsia="楷体" w:hint="eastAsia"/>
          <w:sz w:val="30"/>
          <w:szCs w:val="30"/>
        </w:rPr>
        <w:t>月</w:t>
      </w:r>
    </w:p>
    <w:p w14:paraId="3332F12C" w14:textId="49BA1CEA" w:rsidR="00871FA6" w:rsidRPr="00257A5B" w:rsidRDefault="00871FA6" w:rsidP="00871FA6">
      <w:pPr>
        <w:snapToGrid w:val="0"/>
        <w:spacing w:line="620" w:lineRule="exact"/>
        <w:ind w:firstLineChars="765" w:firstLine="2295"/>
        <w:rPr>
          <w:rFonts w:eastAsia="楷体"/>
          <w:sz w:val="30"/>
          <w:szCs w:val="30"/>
        </w:rPr>
      </w:pPr>
      <w:r w:rsidRPr="00257A5B">
        <w:rPr>
          <w:rFonts w:eastAsia="楷体" w:hint="eastAsia"/>
          <w:sz w:val="30"/>
          <w:szCs w:val="30"/>
        </w:rPr>
        <w:t>论文答辩日期：</w:t>
      </w:r>
      <w:r w:rsidR="00257A5B" w:rsidRPr="00257A5B">
        <w:rPr>
          <w:rFonts w:eastAsia="楷体" w:hint="eastAsia"/>
          <w:sz w:val="30"/>
          <w:szCs w:val="30"/>
        </w:rPr>
        <w:t>2025</w:t>
      </w:r>
      <w:r w:rsidR="00257A5B">
        <w:rPr>
          <w:rFonts w:eastAsia="楷体" w:hint="eastAsia"/>
          <w:sz w:val="30"/>
          <w:szCs w:val="30"/>
        </w:rPr>
        <w:t xml:space="preserve"> </w:t>
      </w:r>
      <w:r w:rsidRPr="00257A5B">
        <w:rPr>
          <w:rFonts w:eastAsia="楷体" w:hint="eastAsia"/>
          <w:sz w:val="30"/>
          <w:szCs w:val="30"/>
        </w:rPr>
        <w:t>年</w:t>
      </w:r>
      <w:r w:rsidR="00257A5B">
        <w:rPr>
          <w:rFonts w:eastAsia="楷体" w:hint="eastAsia"/>
          <w:sz w:val="30"/>
          <w:szCs w:val="30"/>
        </w:rPr>
        <w:t xml:space="preserve"> </w:t>
      </w:r>
      <w:r w:rsidR="00257A5B" w:rsidRPr="00257A5B">
        <w:rPr>
          <w:rFonts w:eastAsia="楷体" w:hint="eastAsia"/>
          <w:sz w:val="30"/>
          <w:szCs w:val="30"/>
        </w:rPr>
        <w:t>4</w:t>
      </w:r>
      <w:r w:rsidR="00257A5B">
        <w:rPr>
          <w:rFonts w:eastAsia="楷体" w:hint="eastAsia"/>
          <w:sz w:val="30"/>
          <w:szCs w:val="30"/>
        </w:rPr>
        <w:t xml:space="preserve"> </w:t>
      </w:r>
      <w:r w:rsidRPr="00257A5B">
        <w:rPr>
          <w:rFonts w:eastAsia="楷体" w:hint="eastAsia"/>
          <w:sz w:val="30"/>
          <w:szCs w:val="30"/>
        </w:rPr>
        <w:t>月</w:t>
      </w:r>
    </w:p>
    <w:p w14:paraId="445AE69F" w14:textId="03F41354" w:rsidR="00871FA6" w:rsidRPr="00257A5B" w:rsidRDefault="00871FA6" w:rsidP="00871FA6">
      <w:pPr>
        <w:pStyle w:val="af3"/>
        <w:snapToGrid w:val="0"/>
        <w:spacing w:before="0" w:beforeAutospacing="0" w:after="0" w:afterAutospacing="0" w:line="620" w:lineRule="exact"/>
        <w:ind w:firstLineChars="765" w:firstLine="2295"/>
        <w:rPr>
          <w:rFonts w:ascii="Times New Roman" w:eastAsia="楷体" w:hAnsi="Times New Roman"/>
          <w:b/>
          <w:bCs/>
          <w:sz w:val="30"/>
          <w:szCs w:val="30"/>
        </w:rPr>
      </w:pPr>
      <w:r w:rsidRPr="00257A5B">
        <w:rPr>
          <w:rFonts w:ascii="Times New Roman" w:eastAsia="楷体" w:hAnsi="Times New Roman" w:hint="eastAsia"/>
          <w:sz w:val="30"/>
          <w:szCs w:val="30"/>
        </w:rPr>
        <w:t>学位授予日期：</w:t>
      </w:r>
      <w:r w:rsidR="00257A5B" w:rsidRPr="00257A5B">
        <w:rPr>
          <w:rFonts w:ascii="Times New Roman" w:eastAsia="楷体" w:hAnsi="Times New Roman" w:hint="eastAsia"/>
          <w:sz w:val="30"/>
          <w:szCs w:val="30"/>
        </w:rPr>
        <w:t>2025</w:t>
      </w:r>
      <w:r w:rsidR="00257A5B">
        <w:rPr>
          <w:rFonts w:ascii="Times New Roman" w:eastAsia="楷体" w:hAnsi="Times New Roman" w:hint="eastAsia"/>
          <w:sz w:val="30"/>
          <w:szCs w:val="30"/>
        </w:rPr>
        <w:t xml:space="preserve"> </w:t>
      </w:r>
      <w:r w:rsidR="00257A5B">
        <w:rPr>
          <w:rFonts w:ascii="Times New Roman" w:eastAsia="楷体" w:hAnsi="Times New Roman" w:hint="eastAsia"/>
          <w:sz w:val="30"/>
          <w:szCs w:val="30"/>
        </w:rPr>
        <w:t>年</w:t>
      </w:r>
      <w:r w:rsidR="00257A5B">
        <w:rPr>
          <w:rFonts w:ascii="Times New Roman" w:eastAsia="楷体" w:hAnsi="Times New Roman" w:hint="eastAsia"/>
          <w:sz w:val="30"/>
          <w:szCs w:val="30"/>
        </w:rPr>
        <w:t xml:space="preserve"> </w:t>
      </w:r>
      <w:r w:rsidR="00257A5B" w:rsidRPr="00257A5B">
        <w:rPr>
          <w:rFonts w:ascii="Times New Roman" w:eastAsia="楷体" w:hAnsi="Times New Roman" w:hint="eastAsia"/>
          <w:sz w:val="30"/>
          <w:szCs w:val="30"/>
        </w:rPr>
        <w:t>6</w:t>
      </w:r>
      <w:r w:rsidR="00257A5B">
        <w:rPr>
          <w:rFonts w:ascii="Times New Roman" w:eastAsia="楷体" w:hAnsi="Times New Roman" w:hint="eastAsia"/>
          <w:sz w:val="30"/>
          <w:szCs w:val="30"/>
        </w:rPr>
        <w:t xml:space="preserve"> </w:t>
      </w:r>
      <w:r w:rsidRPr="00257A5B">
        <w:rPr>
          <w:rFonts w:ascii="Times New Roman" w:eastAsia="楷体" w:hAnsi="Times New Roman" w:hint="eastAsia"/>
          <w:sz w:val="30"/>
          <w:szCs w:val="30"/>
        </w:rPr>
        <w:t>月</w:t>
      </w:r>
    </w:p>
    <w:p w14:paraId="6E4E4018" w14:textId="77777777" w:rsidR="00871FA6" w:rsidRDefault="00871FA6" w:rsidP="00871FA6">
      <w:pPr>
        <w:pStyle w:val="af3"/>
        <w:snapToGrid w:val="0"/>
        <w:spacing w:before="0" w:beforeAutospacing="0" w:after="0" w:afterAutospacing="0" w:line="340" w:lineRule="exact"/>
        <w:rPr>
          <w:rFonts w:hint="eastAsia"/>
          <w:b/>
          <w:bCs/>
          <w:sz w:val="21"/>
          <w:szCs w:val="21"/>
        </w:rPr>
      </w:pPr>
      <w:r w:rsidRPr="00AD257B">
        <w:rPr>
          <w:rFonts w:hint="eastAsia"/>
          <w:b/>
          <w:bCs/>
          <w:sz w:val="21"/>
          <w:szCs w:val="21"/>
        </w:rPr>
        <w:t xml:space="preserve"> </w:t>
      </w:r>
    </w:p>
    <w:p w14:paraId="4AFDCCDB" w14:textId="77777777" w:rsidR="00871FA6" w:rsidRDefault="00871FA6" w:rsidP="00871FA6">
      <w:pPr>
        <w:pStyle w:val="af3"/>
        <w:snapToGrid w:val="0"/>
        <w:spacing w:before="0" w:beforeAutospacing="0" w:after="0" w:afterAutospacing="0" w:line="340" w:lineRule="exact"/>
        <w:rPr>
          <w:rFonts w:hint="eastAsia"/>
          <w:b/>
          <w:bCs/>
          <w:sz w:val="21"/>
          <w:szCs w:val="21"/>
        </w:rPr>
      </w:pPr>
    </w:p>
    <w:p w14:paraId="05A8DC62" w14:textId="1FEA758E" w:rsidR="00871FA6" w:rsidRPr="00CC488A" w:rsidRDefault="00871FA6" w:rsidP="00871FA6">
      <w:pPr>
        <w:pStyle w:val="af3"/>
        <w:snapToGrid w:val="0"/>
        <w:spacing w:before="0" w:beforeAutospacing="0" w:after="0" w:afterAutospacing="0"/>
        <w:ind w:firstLineChars="1633" w:firstLine="4572"/>
        <w:rPr>
          <w:rFonts w:hint="eastAsia"/>
          <w:sz w:val="28"/>
          <w:szCs w:val="28"/>
          <w:u w:val="single"/>
        </w:rPr>
      </w:pPr>
    </w:p>
    <w:p w14:paraId="3A1B4184" w14:textId="00AC7B04" w:rsidR="00871FA6" w:rsidRPr="00CC488A" w:rsidRDefault="00871FA6" w:rsidP="00871FA6">
      <w:pPr>
        <w:pStyle w:val="af3"/>
        <w:snapToGrid w:val="0"/>
        <w:spacing w:before="0" w:beforeAutospacing="0" w:after="0" w:afterAutospacing="0"/>
        <w:ind w:firstLineChars="1633" w:firstLine="4572"/>
        <w:rPr>
          <w:rFonts w:hint="eastAsia"/>
          <w:sz w:val="28"/>
          <w:szCs w:val="28"/>
          <w:u w:val="single"/>
        </w:rPr>
      </w:pPr>
    </w:p>
    <w:p w14:paraId="42AD3B58" w14:textId="77777777" w:rsidR="00871FA6" w:rsidRDefault="00871FA6" w:rsidP="00871FA6">
      <w:pPr>
        <w:pStyle w:val="af3"/>
        <w:snapToGrid w:val="0"/>
        <w:spacing w:before="0" w:beforeAutospacing="0" w:after="0" w:afterAutospacing="0" w:line="340" w:lineRule="exact"/>
        <w:rPr>
          <w:rFonts w:hint="eastAsia"/>
          <w:sz w:val="21"/>
          <w:szCs w:val="21"/>
          <w:u w:val="single"/>
        </w:rPr>
      </w:pPr>
    </w:p>
    <w:p w14:paraId="0ACA895F" w14:textId="6D7BD0AF" w:rsidR="00871FA6" w:rsidRPr="00BE50F8" w:rsidRDefault="00871FA6" w:rsidP="00257A5B">
      <w:pPr>
        <w:pStyle w:val="af3"/>
        <w:snapToGrid w:val="0"/>
        <w:spacing w:beforeLines="100" w:before="312" w:beforeAutospacing="0" w:after="0" w:afterAutospacing="0" w:line="340" w:lineRule="exact"/>
        <w:jc w:val="center"/>
        <w:rPr>
          <w:rFonts w:hint="eastAsia"/>
          <w:b/>
          <w:sz w:val="28"/>
          <w:szCs w:val="28"/>
        </w:rPr>
      </w:pPr>
      <w:r w:rsidRPr="00BE50F8">
        <w:rPr>
          <w:rFonts w:hint="eastAsia"/>
          <w:b/>
          <w:sz w:val="28"/>
          <w:szCs w:val="28"/>
        </w:rPr>
        <w:t>20</w:t>
      </w:r>
      <w:r w:rsidR="00257A5B">
        <w:rPr>
          <w:rFonts w:hint="eastAsia"/>
          <w:b/>
          <w:sz w:val="28"/>
          <w:szCs w:val="28"/>
        </w:rPr>
        <w:t xml:space="preserve">25 </w:t>
      </w:r>
      <w:r w:rsidRPr="00BE50F8">
        <w:rPr>
          <w:rFonts w:hint="eastAsia"/>
          <w:b/>
          <w:sz w:val="28"/>
          <w:szCs w:val="28"/>
        </w:rPr>
        <w:t>年</w:t>
      </w:r>
      <w:r w:rsidRPr="00BE50F8">
        <w:rPr>
          <w:b/>
          <w:sz w:val="28"/>
          <w:szCs w:val="28"/>
        </w:rPr>
        <w:t xml:space="preserve"> </w:t>
      </w:r>
      <w:r w:rsidR="00257A5B">
        <w:rPr>
          <w:rFonts w:hint="eastAsia"/>
          <w:b/>
          <w:sz w:val="28"/>
          <w:szCs w:val="28"/>
        </w:rPr>
        <w:t>6</w:t>
      </w:r>
      <w:r w:rsidRPr="00BE50F8">
        <w:rPr>
          <w:b/>
          <w:sz w:val="28"/>
          <w:szCs w:val="28"/>
        </w:rPr>
        <w:t xml:space="preserve"> </w:t>
      </w:r>
      <w:r w:rsidRPr="00BE50F8">
        <w:rPr>
          <w:rFonts w:hint="eastAsia"/>
          <w:b/>
          <w:sz w:val="28"/>
          <w:szCs w:val="28"/>
        </w:rPr>
        <w:t>月</w:t>
      </w:r>
    </w:p>
    <w:p w14:paraId="1704B24B" w14:textId="77777777" w:rsidR="00871FA6" w:rsidRDefault="00871FA6" w:rsidP="00871FA6"/>
    <w:p w14:paraId="574143C5" w14:textId="77777777" w:rsidR="00A9035A" w:rsidRPr="00374EB6" w:rsidRDefault="00A9035A" w:rsidP="00A9035A">
      <w:pPr>
        <w:jc w:val="center"/>
        <w:rPr>
          <w:rFonts w:ascii="黑体" w:eastAsia="黑体" w:hAnsi="黑体" w:hint="eastAsia"/>
          <w:b/>
          <w:sz w:val="44"/>
          <w:szCs w:val="44"/>
        </w:rPr>
      </w:pPr>
    </w:p>
    <w:p w14:paraId="7DD1CBC2" w14:textId="77777777" w:rsidR="00A9035A" w:rsidRPr="00E00963" w:rsidRDefault="00A9035A" w:rsidP="00A9035A">
      <w:pPr>
        <w:jc w:val="center"/>
        <w:rPr>
          <w:rFonts w:ascii="黑体" w:eastAsia="黑体" w:hAnsi="黑体" w:hint="eastAsia"/>
          <w:b/>
          <w:sz w:val="36"/>
          <w:szCs w:val="36"/>
        </w:rPr>
      </w:pPr>
      <w:r w:rsidRPr="00E00963">
        <w:rPr>
          <w:rFonts w:ascii="黑体" w:eastAsia="黑体" w:hAnsi="黑体" w:hint="eastAsia"/>
          <w:b/>
          <w:sz w:val="36"/>
          <w:szCs w:val="36"/>
        </w:rPr>
        <w:t>厦门大学学位论文原创性声明</w:t>
      </w:r>
    </w:p>
    <w:p w14:paraId="7482C098" w14:textId="77777777" w:rsidR="00A9035A" w:rsidRDefault="00A9035A" w:rsidP="00A9035A">
      <w:pPr>
        <w:spacing w:line="360" w:lineRule="auto"/>
        <w:ind w:firstLineChars="200" w:firstLine="560"/>
        <w:rPr>
          <w:rFonts w:ascii="仿宋_GB2312" w:eastAsia="仿宋_GB2312" w:hAnsi="Verdana"/>
          <w:sz w:val="28"/>
          <w:szCs w:val="28"/>
        </w:rPr>
      </w:pPr>
    </w:p>
    <w:p w14:paraId="57236F71" w14:textId="77777777" w:rsidR="00A9035A" w:rsidRPr="00751688" w:rsidRDefault="00A9035A" w:rsidP="00A9035A">
      <w:pPr>
        <w:spacing w:line="360" w:lineRule="auto"/>
        <w:ind w:firstLineChars="200" w:firstLine="560"/>
        <w:rPr>
          <w:rFonts w:ascii="宋体" w:hAnsi="宋体" w:hint="eastAsia"/>
          <w:sz w:val="28"/>
          <w:szCs w:val="28"/>
        </w:rPr>
      </w:pPr>
      <w:r w:rsidRPr="00751688">
        <w:rPr>
          <w:rFonts w:ascii="宋体" w:hAnsi="宋体" w:hint="eastAsia"/>
          <w:sz w:val="28"/>
          <w:szCs w:val="28"/>
        </w:rPr>
        <w:t>本人呈交的学位论文是本人在导师指导下,独立完成的研究成果。本人在论文写作中参考其他个人或集体已经发表的研究成果，均在文中以适当方式明确标明，并符合法律规范和《厦门大学研究生学术活动规范（试行）》。</w:t>
      </w:r>
    </w:p>
    <w:p w14:paraId="0577355F" w14:textId="3AF8F9DC" w:rsidR="00A9035A" w:rsidRPr="00751688" w:rsidRDefault="00A9035A" w:rsidP="00A9035A">
      <w:pPr>
        <w:spacing w:line="360" w:lineRule="auto"/>
        <w:ind w:firstLineChars="200" w:firstLine="560"/>
        <w:rPr>
          <w:rFonts w:ascii="宋体" w:hAnsi="宋体" w:hint="eastAsia"/>
          <w:sz w:val="28"/>
          <w:szCs w:val="28"/>
        </w:rPr>
      </w:pPr>
      <w:r w:rsidRPr="00751688">
        <w:rPr>
          <w:rFonts w:ascii="宋体" w:hAnsi="宋体" w:hint="eastAsia"/>
          <w:noProof/>
          <w:sz w:val="28"/>
          <w:szCs w:val="28"/>
        </w:rPr>
        <mc:AlternateContent>
          <mc:Choice Requires="wps">
            <w:drawing>
              <wp:anchor distT="0" distB="0" distL="114300" distR="114300" simplePos="0" relativeHeight="251679744" behindDoc="0" locked="0" layoutInCell="1" allowOverlap="1" wp14:anchorId="4056A694" wp14:editId="3B8A129E">
                <wp:simplePos x="0" y="0"/>
                <wp:positionH relativeFrom="column">
                  <wp:posOffset>6515100</wp:posOffset>
                </wp:positionH>
                <wp:positionV relativeFrom="paragraph">
                  <wp:posOffset>297180</wp:posOffset>
                </wp:positionV>
                <wp:extent cx="1257300" cy="0"/>
                <wp:effectExtent l="9525" t="11430" r="9525" b="7620"/>
                <wp:wrapNone/>
                <wp:docPr id="1381376249"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15667" id="直接连接符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23.4pt" to="61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GtorTndAAAACwEAAA8AAABkcnMvZG93bnJldi54bWxMj8FO&#10;wzAQRO9I/IO1SFyq1sZUURXiVAjIjQstiKsbL0lEvE5jtw18PVtxgOPMjmbnFevJ9+KIY+wCGbhZ&#10;KBBIdXAdNQZet9V8BSImS872gdDAF0ZYl5cXhc1dONELHjepEVxCMbcG2pSGXMpYt+htXIQBiW8f&#10;YfQ2sRwb6UZ74nLfS61UJr3tiD+0dsCHFuvPzcEbiNUb7qvvWT1T77dNQL1/fH6yxlxfTfd3IBJO&#10;6S8M5/k8HUretAsHclH0rJXOGCYZWGbMcE5ovWRn9+vIspD/GcofAAAA//8DAFBLAQItABQABgAI&#10;AAAAIQC2gziS/gAAAOEBAAATAAAAAAAAAAAAAAAAAAAAAABbQ29udGVudF9UeXBlc10ueG1sUEsB&#10;Ai0AFAAGAAgAAAAhADj9If/WAAAAlAEAAAsAAAAAAAAAAAAAAAAALwEAAF9yZWxzLy5yZWxzUEsB&#10;Ai0AFAAGAAgAAAAhAPXtXlCwAQAASAMAAA4AAAAAAAAAAAAAAAAALgIAAGRycy9lMm9Eb2MueG1s&#10;UEsBAi0AFAAGAAgAAAAhAGtorTndAAAACwEAAA8AAAAAAAAAAAAAAAAACgQAAGRycy9kb3ducmV2&#10;LnhtbFBLBQYAAAAABAAEAPMAAAAUBQAAAAA=&#10;"/>
            </w:pict>
          </mc:Fallback>
        </mc:AlternateContent>
      </w:r>
      <w:r w:rsidRPr="00751688">
        <w:rPr>
          <w:rFonts w:ascii="宋体" w:hAnsi="宋体" w:hint="eastAsia"/>
          <w:sz w:val="28"/>
          <w:szCs w:val="28"/>
        </w:rPr>
        <w:t>另外，该学位论文为（                            ）课题（组）的研究成果，获得（               ）课题（组）经费或实验室的资助，在（               ）实验室完成。（请在以上括号内填写课题或课题组负责人或实验室名称，未有此项声明内容的，可以不作特别声明。）</w:t>
      </w:r>
    </w:p>
    <w:p w14:paraId="49471F87" w14:textId="77777777" w:rsidR="00A9035A" w:rsidRPr="00506AEC" w:rsidRDefault="00A9035A" w:rsidP="00A9035A">
      <w:pPr>
        <w:ind w:firstLine="600"/>
        <w:rPr>
          <w:rFonts w:ascii="宋体" w:hAnsi="宋体" w:hint="eastAsia"/>
          <w:sz w:val="28"/>
          <w:szCs w:val="28"/>
        </w:rPr>
      </w:pPr>
      <w:r w:rsidRPr="00506AEC">
        <w:rPr>
          <w:rFonts w:ascii="宋体" w:hAnsi="宋体" w:hint="eastAsia"/>
          <w:sz w:val="28"/>
          <w:szCs w:val="28"/>
        </w:rPr>
        <w:t>本人声明该学位论文不存在剽窃、抄袭等学术不端行为，并愿意承担</w:t>
      </w:r>
      <w:proofErr w:type="gramStart"/>
      <w:r w:rsidRPr="00506AEC">
        <w:rPr>
          <w:rFonts w:ascii="宋体" w:hAnsi="宋体" w:hint="eastAsia"/>
          <w:sz w:val="28"/>
          <w:szCs w:val="28"/>
        </w:rPr>
        <w:t>因学术</w:t>
      </w:r>
      <w:proofErr w:type="gramEnd"/>
      <w:r w:rsidRPr="00506AEC">
        <w:rPr>
          <w:rFonts w:ascii="宋体" w:hAnsi="宋体" w:hint="eastAsia"/>
          <w:sz w:val="28"/>
          <w:szCs w:val="28"/>
        </w:rPr>
        <w:t>不端行为所带来的一切后果和法律责任。</w:t>
      </w:r>
    </w:p>
    <w:p w14:paraId="489169B7" w14:textId="77777777" w:rsidR="00A9035A" w:rsidRPr="00506AEC" w:rsidRDefault="00A9035A" w:rsidP="00A9035A">
      <w:pPr>
        <w:ind w:firstLine="600"/>
        <w:rPr>
          <w:rFonts w:ascii="宋体" w:hAnsi="宋体" w:hint="eastAsia"/>
          <w:sz w:val="28"/>
          <w:szCs w:val="28"/>
        </w:rPr>
      </w:pPr>
    </w:p>
    <w:p w14:paraId="0D916BFF" w14:textId="77777777" w:rsidR="00A9035A" w:rsidRPr="00506AEC" w:rsidRDefault="00A9035A" w:rsidP="00A9035A">
      <w:pPr>
        <w:ind w:firstLineChars="1542" w:firstLine="4318"/>
        <w:rPr>
          <w:rFonts w:ascii="宋体" w:hAnsi="宋体" w:hint="eastAsia"/>
          <w:sz w:val="28"/>
          <w:szCs w:val="28"/>
        </w:rPr>
      </w:pPr>
      <w:r w:rsidRPr="00506AEC">
        <w:rPr>
          <w:rFonts w:ascii="宋体" w:hAnsi="宋体" w:hint="eastAsia"/>
          <w:sz w:val="28"/>
          <w:szCs w:val="28"/>
        </w:rPr>
        <w:t>声明人</w:t>
      </w:r>
      <w:r>
        <w:rPr>
          <w:rFonts w:ascii="宋体" w:hAnsi="宋体" w:hint="eastAsia"/>
          <w:sz w:val="28"/>
          <w:szCs w:val="28"/>
        </w:rPr>
        <w:t xml:space="preserve">  </w:t>
      </w:r>
      <w:r w:rsidRPr="00506AEC">
        <w:rPr>
          <w:rFonts w:ascii="宋体" w:hAnsi="宋体" w:hint="eastAsia"/>
          <w:sz w:val="28"/>
          <w:szCs w:val="28"/>
        </w:rPr>
        <w:t>（签名）：</w:t>
      </w:r>
    </w:p>
    <w:p w14:paraId="1EE8D94D" w14:textId="77777777" w:rsidR="00A9035A" w:rsidRPr="00506AEC" w:rsidRDefault="00A9035A" w:rsidP="00A9035A">
      <w:pPr>
        <w:ind w:firstLineChars="1542" w:firstLine="4318"/>
        <w:rPr>
          <w:rFonts w:ascii="宋体" w:hAnsi="宋体" w:hint="eastAsia"/>
          <w:sz w:val="28"/>
          <w:szCs w:val="28"/>
        </w:rPr>
      </w:pPr>
      <w:r w:rsidRPr="00506AEC">
        <w:rPr>
          <w:rFonts w:ascii="宋体" w:hAnsi="宋体" w:hint="eastAsia"/>
          <w:sz w:val="28"/>
          <w:szCs w:val="28"/>
        </w:rPr>
        <w:t>指导教师（签名）：</w:t>
      </w:r>
    </w:p>
    <w:p w14:paraId="65E51345" w14:textId="77777777" w:rsidR="00A9035A" w:rsidRPr="00751688" w:rsidRDefault="00A9035A" w:rsidP="00A9035A">
      <w:pPr>
        <w:ind w:firstLineChars="1542" w:firstLine="4318"/>
        <w:rPr>
          <w:rFonts w:ascii="宋体" w:hAnsi="宋体" w:hint="eastAsia"/>
          <w:sz w:val="28"/>
          <w:szCs w:val="28"/>
        </w:rPr>
      </w:pPr>
    </w:p>
    <w:p w14:paraId="20213607" w14:textId="77777777" w:rsidR="00A9035A" w:rsidRDefault="00A9035A" w:rsidP="00A9035A">
      <w:pPr>
        <w:ind w:firstLine="3420"/>
        <w:rPr>
          <w:rFonts w:ascii="仿宋_GB2312" w:eastAsia="仿宋_GB2312" w:hAnsi="Verdana"/>
          <w:b/>
          <w:sz w:val="28"/>
          <w:szCs w:val="28"/>
        </w:rPr>
      </w:pPr>
      <w:r w:rsidRPr="00751688">
        <w:rPr>
          <w:rFonts w:ascii="宋体" w:hAnsi="宋体" w:hint="eastAsia"/>
          <w:sz w:val="28"/>
          <w:szCs w:val="28"/>
        </w:rPr>
        <w:t xml:space="preserve">          年   月   日</w:t>
      </w:r>
    </w:p>
    <w:p w14:paraId="31D08DBD" w14:textId="78A7AA4F" w:rsidR="00A9035A" w:rsidRDefault="00A9035A" w:rsidP="00871FA6">
      <w:pPr>
        <w:pStyle w:val="af3"/>
        <w:spacing w:before="0" w:beforeAutospacing="0" w:after="0" w:afterAutospacing="0" w:line="400" w:lineRule="exact"/>
        <w:rPr>
          <w:rFonts w:ascii="Times New Roman" w:hAnsi="Times New Roman"/>
          <w:b/>
          <w:bCs/>
        </w:rPr>
      </w:pPr>
      <w:r>
        <w:rPr>
          <w:rFonts w:ascii="Times New Roman" w:hAnsi="Times New Roman"/>
          <w:b/>
          <w:bCs/>
        </w:rPr>
        <w:br w:type="page"/>
      </w:r>
    </w:p>
    <w:p w14:paraId="0D55A4A1" w14:textId="77777777" w:rsidR="00A9035A" w:rsidRPr="005A5038" w:rsidRDefault="00A9035A" w:rsidP="00A9035A">
      <w:pPr>
        <w:jc w:val="center"/>
        <w:rPr>
          <w:rFonts w:ascii="黑体" w:eastAsia="黑体" w:hAnsi="黑体" w:hint="eastAsia"/>
          <w:b/>
          <w:sz w:val="44"/>
          <w:szCs w:val="44"/>
        </w:rPr>
      </w:pPr>
    </w:p>
    <w:p w14:paraId="299974A1" w14:textId="77777777" w:rsidR="00A9035A" w:rsidRPr="00711336" w:rsidRDefault="00A9035A" w:rsidP="00A9035A">
      <w:pPr>
        <w:jc w:val="center"/>
        <w:rPr>
          <w:rFonts w:ascii="黑体" w:eastAsia="黑体" w:hAnsi="黑体" w:hint="eastAsia"/>
          <w:b/>
          <w:sz w:val="36"/>
          <w:szCs w:val="36"/>
        </w:rPr>
      </w:pPr>
      <w:r w:rsidRPr="00711336">
        <w:rPr>
          <w:rFonts w:ascii="黑体" w:eastAsia="黑体" w:hAnsi="黑体" w:hint="eastAsia"/>
          <w:b/>
          <w:sz w:val="36"/>
          <w:szCs w:val="36"/>
        </w:rPr>
        <w:t>厦门大学学位论文著作权使用声明</w:t>
      </w:r>
    </w:p>
    <w:p w14:paraId="7F1C0A8B" w14:textId="77777777" w:rsidR="00A9035A" w:rsidRDefault="00A9035A" w:rsidP="00A9035A">
      <w:pPr>
        <w:spacing w:line="360" w:lineRule="auto"/>
        <w:ind w:firstLineChars="200" w:firstLine="560"/>
        <w:rPr>
          <w:rFonts w:ascii="仿宋_GB2312" w:eastAsia="仿宋_GB2312" w:hAnsi="Verdana"/>
          <w:sz w:val="28"/>
          <w:szCs w:val="28"/>
        </w:rPr>
      </w:pPr>
    </w:p>
    <w:p w14:paraId="71CD7054" w14:textId="77777777" w:rsidR="00A9035A" w:rsidRPr="00711336" w:rsidRDefault="00A9035A" w:rsidP="00A9035A">
      <w:pPr>
        <w:spacing w:line="360" w:lineRule="auto"/>
        <w:ind w:firstLineChars="200" w:firstLine="560"/>
        <w:rPr>
          <w:rFonts w:ascii="宋体" w:hAnsi="宋体" w:hint="eastAsia"/>
          <w:sz w:val="28"/>
          <w:szCs w:val="28"/>
        </w:rPr>
      </w:pPr>
      <w:r w:rsidRPr="00711336">
        <w:rPr>
          <w:rFonts w:ascii="宋体" w:hAnsi="宋体" w:hint="eastAsia"/>
          <w:sz w:val="28"/>
          <w:szCs w:val="28"/>
        </w:rPr>
        <w:t>本人同意厦门大学根据《中华人民共和国学位条例暂行实施办法》等规定保留和使用此学位论文，并向主管部门或其指定机构送交学位论文（包括纸质版和电子版），允许学位论文进入厦门大学图书馆及其数据库被查阅、借阅。本人同意厦门大学将学位论文加入全国博士、硕士学位论文共建单位数据库进行检索，将学位论文的标题</w:t>
      </w:r>
      <w:r>
        <w:rPr>
          <w:rFonts w:ascii="宋体" w:hAnsi="宋体" w:hint="eastAsia"/>
          <w:sz w:val="28"/>
          <w:szCs w:val="28"/>
        </w:rPr>
        <w:t>和摘要汇编出版，采用影印、缩印或者其它</w:t>
      </w:r>
      <w:r w:rsidRPr="00711336">
        <w:rPr>
          <w:rFonts w:ascii="宋体" w:hAnsi="宋体" w:hint="eastAsia"/>
          <w:sz w:val="28"/>
          <w:szCs w:val="28"/>
        </w:rPr>
        <w:t>方式合理复制学位论文。</w:t>
      </w:r>
    </w:p>
    <w:p w14:paraId="715B2DD7" w14:textId="77777777" w:rsidR="00A9035A" w:rsidRPr="00711336" w:rsidRDefault="00A9035A" w:rsidP="00A9035A">
      <w:pPr>
        <w:spacing w:line="360" w:lineRule="auto"/>
        <w:ind w:firstLineChars="200" w:firstLine="560"/>
        <w:rPr>
          <w:rFonts w:ascii="宋体" w:hAnsi="宋体" w:hint="eastAsia"/>
          <w:sz w:val="28"/>
          <w:szCs w:val="28"/>
        </w:rPr>
      </w:pPr>
      <w:r w:rsidRPr="00711336">
        <w:rPr>
          <w:rFonts w:ascii="宋体" w:hAnsi="宋体" w:hint="eastAsia"/>
          <w:sz w:val="28"/>
          <w:szCs w:val="28"/>
        </w:rPr>
        <w:t>本学位论文属于：</w:t>
      </w:r>
    </w:p>
    <w:p w14:paraId="51FA7D87" w14:textId="77777777" w:rsidR="00A9035A" w:rsidRPr="00711336" w:rsidRDefault="00A9035A" w:rsidP="00A9035A">
      <w:pPr>
        <w:spacing w:line="360" w:lineRule="auto"/>
        <w:ind w:firstLineChars="200" w:firstLine="560"/>
        <w:rPr>
          <w:rFonts w:ascii="宋体" w:hAnsi="宋体" w:hint="eastAsia"/>
          <w:sz w:val="28"/>
          <w:szCs w:val="28"/>
        </w:rPr>
      </w:pPr>
      <w:r w:rsidRPr="00711336">
        <w:rPr>
          <w:rFonts w:ascii="宋体" w:hAnsi="宋体" w:hint="eastAsia"/>
          <w:sz w:val="28"/>
          <w:szCs w:val="28"/>
        </w:rPr>
        <w:t>（     ）1</w:t>
      </w:r>
      <w:r>
        <w:rPr>
          <w:rFonts w:ascii="宋体" w:hAnsi="宋体" w:hint="eastAsia"/>
          <w:sz w:val="28"/>
          <w:szCs w:val="28"/>
        </w:rPr>
        <w:t>.</w:t>
      </w:r>
      <w:r w:rsidRPr="00711336">
        <w:rPr>
          <w:rFonts w:ascii="宋体" w:hAnsi="宋体" w:hint="eastAsia"/>
          <w:sz w:val="28"/>
          <w:szCs w:val="28"/>
        </w:rPr>
        <w:t>经厦门大学</w:t>
      </w:r>
      <w:r>
        <w:rPr>
          <w:rFonts w:ascii="宋体" w:hAnsi="宋体" w:hint="eastAsia"/>
          <w:sz w:val="28"/>
          <w:szCs w:val="28"/>
        </w:rPr>
        <w:t>保</w:t>
      </w:r>
      <w:r w:rsidRPr="00711336">
        <w:rPr>
          <w:rFonts w:ascii="宋体" w:hAnsi="宋体" w:hint="eastAsia"/>
          <w:sz w:val="28"/>
          <w:szCs w:val="28"/>
        </w:rPr>
        <w:t>密委员会审查核定的</w:t>
      </w:r>
      <w:r>
        <w:rPr>
          <w:rFonts w:ascii="宋体" w:hAnsi="宋体" w:hint="eastAsia"/>
          <w:sz w:val="28"/>
          <w:szCs w:val="28"/>
        </w:rPr>
        <w:t>涉密</w:t>
      </w:r>
      <w:r w:rsidRPr="00711336">
        <w:rPr>
          <w:rFonts w:ascii="宋体" w:hAnsi="宋体" w:hint="eastAsia"/>
          <w:sz w:val="28"/>
          <w:szCs w:val="28"/>
        </w:rPr>
        <w:t>学位论文，</w:t>
      </w:r>
      <w:proofErr w:type="gramStart"/>
      <w:r w:rsidRPr="00711336">
        <w:rPr>
          <w:rFonts w:ascii="宋体" w:hAnsi="宋体" w:hint="eastAsia"/>
          <w:sz w:val="28"/>
          <w:szCs w:val="28"/>
        </w:rPr>
        <w:t xml:space="preserve">于　　</w:t>
      </w:r>
      <w:proofErr w:type="gramEnd"/>
      <w:r w:rsidRPr="00711336">
        <w:rPr>
          <w:rFonts w:ascii="宋体" w:hAnsi="宋体" w:hint="eastAsia"/>
          <w:sz w:val="28"/>
          <w:szCs w:val="28"/>
        </w:rPr>
        <w:t xml:space="preserve"> 年　 月 　日解密，解密后适用上述授权。</w:t>
      </w:r>
    </w:p>
    <w:p w14:paraId="11AE7797" w14:textId="77777777" w:rsidR="00A9035A" w:rsidRPr="00711336" w:rsidRDefault="00A9035A" w:rsidP="00A9035A">
      <w:pPr>
        <w:spacing w:line="360" w:lineRule="auto"/>
        <w:ind w:firstLineChars="200" w:firstLine="560"/>
        <w:rPr>
          <w:rFonts w:ascii="宋体" w:hAnsi="宋体" w:hint="eastAsia"/>
          <w:sz w:val="28"/>
          <w:szCs w:val="28"/>
        </w:rPr>
      </w:pPr>
      <w:r w:rsidRPr="00711336">
        <w:rPr>
          <w:rFonts w:ascii="宋体" w:hAnsi="宋体" w:hint="eastAsia"/>
          <w:sz w:val="28"/>
          <w:szCs w:val="28"/>
        </w:rPr>
        <w:t>（     ）2</w:t>
      </w:r>
      <w:r>
        <w:rPr>
          <w:rFonts w:ascii="宋体" w:hAnsi="宋体" w:hint="eastAsia"/>
          <w:sz w:val="28"/>
          <w:szCs w:val="28"/>
        </w:rPr>
        <w:t>.不涉密</w:t>
      </w:r>
      <w:r w:rsidRPr="00711336">
        <w:rPr>
          <w:rFonts w:ascii="宋体" w:hAnsi="宋体" w:hint="eastAsia"/>
          <w:sz w:val="28"/>
          <w:szCs w:val="28"/>
        </w:rPr>
        <w:t>，适用上述授权。</w:t>
      </w:r>
    </w:p>
    <w:p w14:paraId="6D2EA3A2" w14:textId="77777777" w:rsidR="00A9035A" w:rsidRPr="00711336" w:rsidRDefault="00A9035A" w:rsidP="00A9035A">
      <w:pPr>
        <w:spacing w:line="360" w:lineRule="auto"/>
        <w:ind w:firstLineChars="200" w:firstLine="560"/>
        <w:rPr>
          <w:rFonts w:ascii="宋体" w:hAnsi="宋体" w:hint="eastAsia"/>
          <w:sz w:val="28"/>
          <w:szCs w:val="28"/>
        </w:rPr>
      </w:pPr>
      <w:r w:rsidRPr="00711336">
        <w:rPr>
          <w:rFonts w:ascii="宋体" w:hAnsi="宋体" w:hint="eastAsia"/>
          <w:sz w:val="28"/>
          <w:szCs w:val="28"/>
        </w:rPr>
        <w:t>（请在以上相应括号内打“√”或填上相应内容。</w:t>
      </w:r>
      <w:r>
        <w:rPr>
          <w:rFonts w:ascii="宋体" w:hAnsi="宋体" w:hint="eastAsia"/>
          <w:sz w:val="28"/>
          <w:szCs w:val="28"/>
        </w:rPr>
        <w:t>涉密</w:t>
      </w:r>
      <w:r w:rsidRPr="00711336">
        <w:rPr>
          <w:rFonts w:ascii="宋体" w:hAnsi="宋体" w:hint="eastAsia"/>
          <w:sz w:val="28"/>
          <w:szCs w:val="28"/>
        </w:rPr>
        <w:t>学位论文应是已经厦门大学</w:t>
      </w:r>
      <w:r>
        <w:rPr>
          <w:rFonts w:ascii="宋体" w:hAnsi="宋体" w:hint="eastAsia"/>
          <w:sz w:val="28"/>
          <w:szCs w:val="28"/>
        </w:rPr>
        <w:t>保密</w:t>
      </w:r>
      <w:r w:rsidRPr="00711336">
        <w:rPr>
          <w:rFonts w:ascii="宋体" w:hAnsi="宋体" w:hint="eastAsia"/>
          <w:sz w:val="28"/>
          <w:szCs w:val="28"/>
        </w:rPr>
        <w:t>委员会审定过的学位论文，未经厦门大学</w:t>
      </w:r>
      <w:r>
        <w:rPr>
          <w:rFonts w:ascii="宋体" w:hAnsi="宋体" w:hint="eastAsia"/>
          <w:sz w:val="28"/>
          <w:szCs w:val="28"/>
        </w:rPr>
        <w:t>保密</w:t>
      </w:r>
      <w:r w:rsidRPr="00711336">
        <w:rPr>
          <w:rFonts w:ascii="宋体" w:hAnsi="宋体" w:hint="eastAsia"/>
          <w:sz w:val="28"/>
          <w:szCs w:val="28"/>
        </w:rPr>
        <w:t>委员会审定的学位论文均为公开学位论文。此声明栏不填写的，默认为公开学位论文，均适用上述授权。）</w:t>
      </w:r>
    </w:p>
    <w:p w14:paraId="31487E81" w14:textId="77777777" w:rsidR="00A9035A" w:rsidRPr="00711336" w:rsidRDefault="00A9035A" w:rsidP="00A9035A">
      <w:pPr>
        <w:spacing w:line="360" w:lineRule="auto"/>
        <w:ind w:firstLine="435"/>
        <w:rPr>
          <w:rFonts w:ascii="宋体" w:hAnsi="宋体" w:hint="eastAsia"/>
          <w:sz w:val="28"/>
          <w:szCs w:val="28"/>
        </w:rPr>
      </w:pPr>
    </w:p>
    <w:p w14:paraId="4529F00F" w14:textId="77777777" w:rsidR="00A9035A" w:rsidRPr="00711336" w:rsidRDefault="00A9035A" w:rsidP="00A9035A">
      <w:pPr>
        <w:spacing w:line="360" w:lineRule="auto"/>
        <w:ind w:firstLine="435"/>
        <w:rPr>
          <w:rFonts w:ascii="宋体" w:hAnsi="宋体" w:hint="eastAsia"/>
          <w:sz w:val="28"/>
          <w:szCs w:val="28"/>
        </w:rPr>
      </w:pPr>
    </w:p>
    <w:p w14:paraId="74EB3714" w14:textId="77777777" w:rsidR="00A9035A" w:rsidRPr="00711336" w:rsidRDefault="00A9035A" w:rsidP="00A9035A">
      <w:pPr>
        <w:spacing w:line="360" w:lineRule="auto"/>
        <w:ind w:firstLine="570"/>
        <w:rPr>
          <w:rFonts w:ascii="宋体" w:hAnsi="宋体" w:hint="eastAsia"/>
          <w:sz w:val="28"/>
          <w:szCs w:val="28"/>
        </w:rPr>
      </w:pPr>
      <w:r w:rsidRPr="00711336">
        <w:rPr>
          <w:rFonts w:ascii="宋体" w:hAnsi="宋体" w:hint="eastAsia"/>
          <w:sz w:val="28"/>
          <w:szCs w:val="28"/>
        </w:rPr>
        <w:t xml:space="preserve">                             声明人（签名）：</w:t>
      </w:r>
    </w:p>
    <w:p w14:paraId="22FBF778" w14:textId="77777777" w:rsidR="00DA3709" w:rsidRDefault="00DA3709" w:rsidP="00DA3709">
      <w:pPr>
        <w:ind w:firstLine="3420"/>
        <w:rPr>
          <w:rFonts w:ascii="仿宋_GB2312" w:eastAsia="仿宋_GB2312" w:hAnsi="Verdana"/>
          <w:b/>
          <w:sz w:val="28"/>
          <w:szCs w:val="28"/>
        </w:rPr>
      </w:pPr>
      <w:r w:rsidRPr="00751688">
        <w:rPr>
          <w:rFonts w:ascii="宋体" w:hAnsi="宋体" w:hint="eastAsia"/>
          <w:sz w:val="28"/>
          <w:szCs w:val="28"/>
        </w:rPr>
        <w:t xml:space="preserve">          年   月   日</w:t>
      </w:r>
    </w:p>
    <w:p w14:paraId="0E61934A" w14:textId="77777777" w:rsidR="00CB3F2D" w:rsidRPr="00086241" w:rsidRDefault="00CB3F2D" w:rsidP="009864AF">
      <w:pPr>
        <w:ind w:firstLine="602"/>
        <w:jc w:val="center"/>
        <w:rPr>
          <w:b/>
          <w:bCs/>
          <w:sz w:val="30"/>
          <w:szCs w:val="30"/>
        </w:rPr>
        <w:sectPr w:rsidR="00CB3F2D" w:rsidRPr="00086241" w:rsidSect="00065A76">
          <w:footerReference w:type="even" r:id="rId9"/>
          <w:footerReference w:type="default" r:id="rId10"/>
          <w:footerReference w:type="first" r:id="rId11"/>
          <w:pgSz w:w="11906" w:h="16838"/>
          <w:pgMar w:top="1440" w:right="1800" w:bottom="1440" w:left="1800" w:header="851" w:footer="992" w:gutter="0"/>
          <w:cols w:space="425"/>
          <w:docGrid w:type="lines" w:linePitch="312"/>
        </w:sectPr>
      </w:pPr>
    </w:p>
    <w:p w14:paraId="57E1567E" w14:textId="6D8BFA4D" w:rsidR="009864AF" w:rsidRPr="00C0628E" w:rsidRDefault="003973D7" w:rsidP="00C0628E">
      <w:pPr>
        <w:spacing w:afterLines="200" w:after="624" w:line="720" w:lineRule="exact"/>
        <w:jc w:val="center"/>
        <w:rPr>
          <w:rFonts w:ascii="黑体" w:eastAsia="黑体" w:hAnsi="黑体" w:hint="eastAsia"/>
          <w:b/>
          <w:bCs/>
          <w:sz w:val="36"/>
          <w:szCs w:val="36"/>
        </w:rPr>
      </w:pPr>
      <w:r w:rsidRPr="00C0628E">
        <w:rPr>
          <w:rFonts w:ascii="黑体" w:eastAsia="黑体" w:hAnsi="黑体" w:hint="eastAsia"/>
          <w:b/>
          <w:bCs/>
          <w:sz w:val="36"/>
          <w:szCs w:val="36"/>
        </w:rPr>
        <w:lastRenderedPageBreak/>
        <w:t>摘</w:t>
      </w:r>
      <w:r w:rsidR="00E11C4A" w:rsidRPr="00C0628E">
        <w:rPr>
          <w:rFonts w:ascii="黑体" w:eastAsia="黑体" w:hAnsi="黑体" w:hint="eastAsia"/>
          <w:b/>
          <w:bCs/>
          <w:sz w:val="36"/>
          <w:szCs w:val="36"/>
        </w:rPr>
        <w:t xml:space="preserve">  </w:t>
      </w:r>
      <w:r w:rsidRPr="00C0628E">
        <w:rPr>
          <w:rFonts w:ascii="黑体" w:eastAsia="黑体" w:hAnsi="黑体" w:hint="eastAsia"/>
          <w:b/>
          <w:bCs/>
          <w:sz w:val="36"/>
          <w:szCs w:val="36"/>
        </w:rPr>
        <w:t>要</w:t>
      </w:r>
    </w:p>
    <w:p w14:paraId="08C6453C" w14:textId="7F5145C0" w:rsidR="00BC5542" w:rsidRDefault="00202D83" w:rsidP="00025433">
      <w:pPr>
        <w:spacing w:line="360" w:lineRule="auto"/>
        <w:ind w:firstLineChars="200" w:firstLine="480"/>
        <w:rPr>
          <w:sz w:val="24"/>
        </w:rPr>
      </w:pPr>
      <w:r>
        <w:rPr>
          <w:rFonts w:hint="eastAsia"/>
          <w:sz w:val="24"/>
        </w:rPr>
        <w:t>中国</w:t>
      </w:r>
      <w:r w:rsidR="00BC5542">
        <w:rPr>
          <w:rFonts w:hint="eastAsia"/>
          <w:sz w:val="24"/>
        </w:rPr>
        <w:t>资本市场投资功能的发展、中小股东权益保护的增强和</w:t>
      </w:r>
      <w:proofErr w:type="gramStart"/>
      <w:r w:rsidR="00BC5542">
        <w:rPr>
          <w:rFonts w:hint="eastAsia"/>
          <w:sz w:val="24"/>
        </w:rPr>
        <w:t>董监高责任</w:t>
      </w:r>
      <w:proofErr w:type="gramEnd"/>
      <w:r w:rsidR="00BC5542">
        <w:rPr>
          <w:rFonts w:hint="eastAsia"/>
          <w:sz w:val="24"/>
        </w:rPr>
        <w:t>范围的扩大使得公司及</w:t>
      </w:r>
      <w:proofErr w:type="gramStart"/>
      <w:r w:rsidR="00BC5542">
        <w:rPr>
          <w:rFonts w:hint="eastAsia"/>
          <w:sz w:val="24"/>
        </w:rPr>
        <w:t>董监高面临</w:t>
      </w:r>
      <w:proofErr w:type="gramEnd"/>
      <w:r w:rsidR="00BC5542">
        <w:rPr>
          <w:rFonts w:hint="eastAsia"/>
          <w:sz w:val="24"/>
        </w:rPr>
        <w:t>较高的诉讼风险。董</w:t>
      </w:r>
      <w:proofErr w:type="gramStart"/>
      <w:r w:rsidR="00BC5542">
        <w:rPr>
          <w:rFonts w:hint="eastAsia"/>
          <w:sz w:val="24"/>
        </w:rPr>
        <w:t>监高责任险作为</w:t>
      </w:r>
      <w:proofErr w:type="gramEnd"/>
      <w:r w:rsidR="00BC5542">
        <w:rPr>
          <w:rFonts w:hint="eastAsia"/>
          <w:sz w:val="24"/>
        </w:rPr>
        <w:t>风险管理的重要工具，</w:t>
      </w:r>
      <w:r>
        <w:rPr>
          <w:rFonts w:hint="eastAsia"/>
          <w:sz w:val="24"/>
        </w:rPr>
        <w:t>是证券行业发展的重要配套措施。</w:t>
      </w:r>
      <w:r w:rsidR="0082633F">
        <w:rPr>
          <w:rFonts w:hint="eastAsia"/>
          <w:sz w:val="24"/>
        </w:rPr>
        <w:t>截至</w:t>
      </w:r>
      <w:r w:rsidR="00BC5542">
        <w:rPr>
          <w:rFonts w:hint="eastAsia"/>
          <w:sz w:val="24"/>
        </w:rPr>
        <w:t>2024</w:t>
      </w:r>
      <w:r w:rsidR="00BC5542">
        <w:rPr>
          <w:rFonts w:hint="eastAsia"/>
          <w:sz w:val="24"/>
        </w:rPr>
        <w:t>年</w:t>
      </w:r>
      <w:r>
        <w:rPr>
          <w:rFonts w:hint="eastAsia"/>
          <w:sz w:val="24"/>
        </w:rPr>
        <w:t>，</w:t>
      </w:r>
      <w:r w:rsidRPr="00202D83">
        <w:rPr>
          <w:rFonts w:hint="eastAsia"/>
          <w:sz w:val="24"/>
        </w:rPr>
        <w:t>仅有</w:t>
      </w:r>
      <w:r w:rsidRPr="00202D83">
        <w:rPr>
          <w:rFonts w:hint="eastAsia"/>
          <w:sz w:val="24"/>
        </w:rPr>
        <w:t>23.7%</w:t>
      </w:r>
      <w:r w:rsidRPr="00202D83">
        <w:rPr>
          <w:rFonts w:hint="eastAsia"/>
          <w:sz w:val="24"/>
        </w:rPr>
        <w:t>的</w:t>
      </w:r>
      <w:r w:rsidRPr="00202D83">
        <w:rPr>
          <w:rFonts w:hint="eastAsia"/>
          <w:sz w:val="24"/>
        </w:rPr>
        <w:t>A</w:t>
      </w:r>
      <w:r w:rsidRPr="00202D83">
        <w:rPr>
          <w:rFonts w:hint="eastAsia"/>
          <w:sz w:val="24"/>
        </w:rPr>
        <w:t>股上市公司购买董</w:t>
      </w:r>
      <w:proofErr w:type="gramStart"/>
      <w:r w:rsidRPr="00202D83">
        <w:rPr>
          <w:rFonts w:hint="eastAsia"/>
          <w:sz w:val="24"/>
        </w:rPr>
        <w:t>监高责任</w:t>
      </w:r>
      <w:proofErr w:type="gramEnd"/>
      <w:r w:rsidRPr="00202D83">
        <w:rPr>
          <w:rFonts w:hint="eastAsia"/>
          <w:sz w:val="24"/>
        </w:rPr>
        <w:t>险</w:t>
      </w:r>
      <w:r w:rsidR="00BC5542">
        <w:rPr>
          <w:rFonts w:hint="eastAsia"/>
          <w:sz w:val="24"/>
        </w:rPr>
        <w:t>，</w:t>
      </w:r>
      <w:r>
        <w:rPr>
          <w:rFonts w:hint="eastAsia"/>
          <w:sz w:val="24"/>
        </w:rPr>
        <w:t>对比美国高达</w:t>
      </w:r>
      <w:r>
        <w:rPr>
          <w:rFonts w:hint="eastAsia"/>
          <w:sz w:val="24"/>
        </w:rPr>
        <w:t>99%</w:t>
      </w:r>
      <w:r>
        <w:rPr>
          <w:rFonts w:hint="eastAsia"/>
          <w:sz w:val="24"/>
        </w:rPr>
        <w:t>的投保率，</w:t>
      </w:r>
      <w:r w:rsidR="00BC5542">
        <w:rPr>
          <w:rFonts w:hint="eastAsia"/>
          <w:sz w:val="24"/>
        </w:rPr>
        <w:t>有</w:t>
      </w:r>
      <w:r w:rsidR="007F58C5">
        <w:rPr>
          <w:rFonts w:hint="eastAsia"/>
          <w:sz w:val="24"/>
        </w:rPr>
        <w:t>很大</w:t>
      </w:r>
      <w:r w:rsidR="00BC5542">
        <w:rPr>
          <w:rFonts w:hint="eastAsia"/>
          <w:sz w:val="24"/>
        </w:rPr>
        <w:t>差距。究竟</w:t>
      </w:r>
      <w:r>
        <w:rPr>
          <w:rFonts w:hint="eastAsia"/>
          <w:sz w:val="24"/>
        </w:rPr>
        <w:t>是</w:t>
      </w:r>
      <w:r w:rsidR="00BC5542">
        <w:rPr>
          <w:rFonts w:hint="eastAsia"/>
          <w:sz w:val="24"/>
        </w:rPr>
        <w:t>什么因素会影响</w:t>
      </w:r>
      <w:r w:rsidR="008872EB">
        <w:rPr>
          <w:rFonts w:hint="eastAsia"/>
          <w:sz w:val="24"/>
        </w:rPr>
        <w:t>企业对</w:t>
      </w:r>
      <w:r w:rsidR="00BC5542">
        <w:rPr>
          <w:rFonts w:hint="eastAsia"/>
          <w:sz w:val="24"/>
        </w:rPr>
        <w:t>董</w:t>
      </w:r>
      <w:proofErr w:type="gramStart"/>
      <w:r w:rsidR="00BC5542">
        <w:rPr>
          <w:rFonts w:hint="eastAsia"/>
          <w:sz w:val="24"/>
        </w:rPr>
        <w:t>监高责任</w:t>
      </w:r>
      <w:proofErr w:type="gramEnd"/>
      <w:r w:rsidR="00BC5542">
        <w:rPr>
          <w:rFonts w:hint="eastAsia"/>
          <w:sz w:val="24"/>
        </w:rPr>
        <w:t>险的</w:t>
      </w:r>
      <w:r w:rsidR="00D473F8">
        <w:rPr>
          <w:rFonts w:hint="eastAsia"/>
          <w:sz w:val="24"/>
        </w:rPr>
        <w:t>投保</w:t>
      </w:r>
      <w:r w:rsidR="00A9035A">
        <w:rPr>
          <w:rFonts w:hint="eastAsia"/>
          <w:sz w:val="24"/>
        </w:rPr>
        <w:t>意愿</w:t>
      </w:r>
      <w:r w:rsidR="0012372C">
        <w:rPr>
          <w:rFonts w:hint="eastAsia"/>
          <w:sz w:val="24"/>
        </w:rPr>
        <w:t>呢</w:t>
      </w:r>
      <w:r w:rsidR="00BC5542">
        <w:rPr>
          <w:rFonts w:hint="eastAsia"/>
          <w:sz w:val="24"/>
        </w:rPr>
        <w:t>？</w:t>
      </w:r>
    </w:p>
    <w:p w14:paraId="5190FF67" w14:textId="52D992A4" w:rsidR="00BC5542" w:rsidRDefault="00BC5542" w:rsidP="00025433">
      <w:pPr>
        <w:spacing w:line="360" w:lineRule="auto"/>
        <w:ind w:firstLineChars="200" w:firstLine="480"/>
        <w:rPr>
          <w:sz w:val="24"/>
        </w:rPr>
      </w:pPr>
      <w:r>
        <w:rPr>
          <w:rFonts w:hint="eastAsia"/>
          <w:sz w:val="24"/>
        </w:rPr>
        <w:t>组织资本，是企业通过</w:t>
      </w:r>
      <w:r w:rsidRPr="00BC5542">
        <w:rPr>
          <w:rFonts w:hint="eastAsia"/>
          <w:sz w:val="24"/>
        </w:rPr>
        <w:t>组织能力整合各类生产要素，将其转化为竞争力和市场价值的无形资产组合</w:t>
      </w:r>
      <w:r w:rsidR="007F58C5">
        <w:rPr>
          <w:rFonts w:hint="eastAsia"/>
          <w:sz w:val="24"/>
        </w:rPr>
        <w:t>。</w:t>
      </w:r>
      <w:r w:rsidR="00DA3709" w:rsidRPr="00DA3709">
        <w:rPr>
          <w:rFonts w:hint="eastAsia"/>
          <w:sz w:val="24"/>
        </w:rPr>
        <w:t>相关研究表明其对企业绩效、市场表现和投资决策产生深远影响，但尚未涉及风险管理领域</w:t>
      </w:r>
      <w:r>
        <w:rPr>
          <w:rFonts w:hint="eastAsia"/>
          <w:sz w:val="24"/>
        </w:rPr>
        <w:t>。探讨企业微观行为不可忽视组织资本这一关键变量。</w:t>
      </w:r>
    </w:p>
    <w:p w14:paraId="5D8C551D" w14:textId="56FE9E59" w:rsidR="003973D7" w:rsidRPr="00086241" w:rsidRDefault="00BC5542" w:rsidP="00BC5542">
      <w:pPr>
        <w:spacing w:line="360" w:lineRule="auto"/>
        <w:ind w:firstLineChars="200" w:firstLine="480"/>
        <w:rPr>
          <w:sz w:val="24"/>
        </w:rPr>
      </w:pPr>
      <w:r>
        <w:rPr>
          <w:rFonts w:hint="eastAsia"/>
          <w:sz w:val="24"/>
        </w:rPr>
        <w:t>基于此，本文</w:t>
      </w:r>
      <w:r w:rsidR="007F58C5">
        <w:rPr>
          <w:rFonts w:hint="eastAsia"/>
          <w:sz w:val="24"/>
        </w:rPr>
        <w:t>使用</w:t>
      </w:r>
      <w:r>
        <w:rPr>
          <w:rFonts w:hint="eastAsia"/>
          <w:sz w:val="24"/>
        </w:rPr>
        <w:t>A</w:t>
      </w:r>
      <w:r>
        <w:rPr>
          <w:rFonts w:hint="eastAsia"/>
          <w:sz w:val="24"/>
        </w:rPr>
        <w:t>股上市公司数据，首次从组织资本的视角探讨其对董</w:t>
      </w:r>
      <w:proofErr w:type="gramStart"/>
      <w:r>
        <w:rPr>
          <w:rFonts w:hint="eastAsia"/>
          <w:sz w:val="24"/>
        </w:rPr>
        <w:t>监高责任</w:t>
      </w:r>
      <w:proofErr w:type="gramEnd"/>
      <w:r>
        <w:rPr>
          <w:rFonts w:hint="eastAsia"/>
          <w:sz w:val="24"/>
        </w:rPr>
        <w:t>险</w:t>
      </w:r>
      <w:r w:rsidR="00D473F8">
        <w:rPr>
          <w:rFonts w:hint="eastAsia"/>
          <w:sz w:val="24"/>
        </w:rPr>
        <w:t>投保意向</w:t>
      </w:r>
      <w:r>
        <w:rPr>
          <w:rFonts w:hint="eastAsia"/>
          <w:sz w:val="24"/>
        </w:rPr>
        <w:t>的影响及内在机制。</w:t>
      </w:r>
      <w:r w:rsidR="003973D7" w:rsidRPr="00086241">
        <w:rPr>
          <w:rFonts w:hint="eastAsia"/>
          <w:sz w:val="24"/>
        </w:rPr>
        <w:t>研究</w:t>
      </w:r>
      <w:r w:rsidR="00025433" w:rsidRPr="00086241">
        <w:rPr>
          <w:rFonts w:hint="eastAsia"/>
          <w:sz w:val="24"/>
        </w:rPr>
        <w:t>表明</w:t>
      </w:r>
      <w:r w:rsidR="003973D7" w:rsidRPr="00086241">
        <w:rPr>
          <w:rFonts w:hint="eastAsia"/>
          <w:sz w:val="24"/>
        </w:rPr>
        <w:t>，组织资本</w:t>
      </w:r>
      <w:r w:rsidR="002D7CF4">
        <w:rPr>
          <w:rFonts w:hint="eastAsia"/>
          <w:sz w:val="24"/>
        </w:rPr>
        <w:t>的</w:t>
      </w:r>
      <w:r w:rsidR="00DA3709">
        <w:rPr>
          <w:rFonts w:hint="eastAsia"/>
          <w:sz w:val="24"/>
        </w:rPr>
        <w:t>提高</w:t>
      </w:r>
      <w:r w:rsidR="003973D7" w:rsidRPr="00086241">
        <w:rPr>
          <w:rFonts w:hint="eastAsia"/>
          <w:sz w:val="24"/>
        </w:rPr>
        <w:t>能够</w:t>
      </w:r>
      <w:r w:rsidR="00D976EE">
        <w:rPr>
          <w:rFonts w:hint="eastAsia"/>
          <w:sz w:val="24"/>
        </w:rPr>
        <w:t>提升</w:t>
      </w:r>
      <w:r>
        <w:rPr>
          <w:rFonts w:hint="eastAsia"/>
          <w:sz w:val="24"/>
        </w:rPr>
        <w:t>上市公司</w:t>
      </w:r>
      <w:r w:rsidR="003973D7" w:rsidRPr="00086241">
        <w:rPr>
          <w:rFonts w:hint="eastAsia"/>
          <w:sz w:val="24"/>
        </w:rPr>
        <w:t>对</w:t>
      </w:r>
      <w:r>
        <w:rPr>
          <w:rFonts w:hint="eastAsia"/>
          <w:sz w:val="24"/>
        </w:rPr>
        <w:t>董</w:t>
      </w:r>
      <w:proofErr w:type="gramStart"/>
      <w:r>
        <w:rPr>
          <w:rFonts w:hint="eastAsia"/>
          <w:sz w:val="24"/>
        </w:rPr>
        <w:t>监高</w:t>
      </w:r>
      <w:r w:rsidR="00D9564F" w:rsidRPr="00086241">
        <w:rPr>
          <w:rFonts w:hint="eastAsia"/>
          <w:sz w:val="24"/>
        </w:rPr>
        <w:t>责任</w:t>
      </w:r>
      <w:proofErr w:type="gramEnd"/>
      <w:r w:rsidR="003973D7" w:rsidRPr="00086241">
        <w:rPr>
          <w:rFonts w:hint="eastAsia"/>
          <w:sz w:val="24"/>
        </w:rPr>
        <w:t>险的</w:t>
      </w:r>
      <w:r w:rsidR="00D976EE">
        <w:rPr>
          <w:rFonts w:hint="eastAsia"/>
          <w:sz w:val="24"/>
        </w:rPr>
        <w:t>投保意向</w:t>
      </w:r>
      <w:r w:rsidR="007F58C5">
        <w:rPr>
          <w:rFonts w:hint="eastAsia"/>
          <w:sz w:val="24"/>
        </w:rPr>
        <w:t>，结果经内生性问题处理、稳健性检验后依旧可靠</w:t>
      </w:r>
      <w:r w:rsidR="003973D7" w:rsidRPr="00086241">
        <w:rPr>
          <w:rFonts w:hint="eastAsia"/>
          <w:sz w:val="24"/>
        </w:rPr>
        <w:t>。在机制</w:t>
      </w:r>
      <w:r w:rsidR="007F58C5">
        <w:rPr>
          <w:rFonts w:hint="eastAsia"/>
          <w:sz w:val="24"/>
        </w:rPr>
        <w:t>检验</w:t>
      </w:r>
      <w:r w:rsidR="003973D7" w:rsidRPr="00086241">
        <w:rPr>
          <w:rFonts w:hint="eastAsia"/>
          <w:sz w:val="24"/>
        </w:rPr>
        <w:t>中，</w:t>
      </w:r>
      <w:r w:rsidR="007F58C5">
        <w:rPr>
          <w:rFonts w:hint="eastAsia"/>
          <w:sz w:val="24"/>
        </w:rPr>
        <w:t>发现</w:t>
      </w:r>
      <w:r w:rsidR="003973D7" w:rsidRPr="00086241">
        <w:rPr>
          <w:rFonts w:hint="eastAsia"/>
          <w:sz w:val="24"/>
        </w:rPr>
        <w:t>组织资本</w:t>
      </w:r>
      <w:r>
        <w:rPr>
          <w:rFonts w:hint="eastAsia"/>
          <w:sz w:val="24"/>
        </w:rPr>
        <w:t>通过加剧双重委托代理冲突放大公司的诉讼风险，进而增加公司对责任险的需求；组织资本通过加大投资者的关注程度，</w:t>
      </w:r>
      <w:r w:rsidR="002D7CF4">
        <w:rPr>
          <w:rFonts w:hint="eastAsia"/>
          <w:sz w:val="24"/>
        </w:rPr>
        <w:t>倒</w:t>
      </w:r>
      <w:proofErr w:type="gramStart"/>
      <w:r w:rsidR="002D7CF4">
        <w:rPr>
          <w:rFonts w:hint="eastAsia"/>
          <w:sz w:val="24"/>
        </w:rPr>
        <w:t>逼公司</w:t>
      </w:r>
      <w:proofErr w:type="gramEnd"/>
      <w:r w:rsidR="008872EB">
        <w:rPr>
          <w:rFonts w:hint="eastAsia"/>
          <w:sz w:val="24"/>
        </w:rPr>
        <w:t>考虑</w:t>
      </w:r>
      <w:r w:rsidR="002D7CF4">
        <w:rPr>
          <w:rFonts w:hint="eastAsia"/>
          <w:sz w:val="24"/>
        </w:rPr>
        <w:t>配置责任险以回应外部监督压力。异质性分析进一步表明，</w:t>
      </w:r>
      <w:r w:rsidR="007F58C5">
        <w:rPr>
          <w:rFonts w:hint="eastAsia"/>
          <w:sz w:val="24"/>
        </w:rPr>
        <w:t>所处</w:t>
      </w:r>
      <w:r w:rsidR="002D7CF4">
        <w:rPr>
          <w:rFonts w:hint="eastAsia"/>
          <w:sz w:val="24"/>
        </w:rPr>
        <w:t>行业特定才能要求越高、</w:t>
      </w:r>
      <w:r w:rsidR="007F58C5">
        <w:rPr>
          <w:rFonts w:hint="eastAsia"/>
          <w:sz w:val="24"/>
        </w:rPr>
        <w:t>增</w:t>
      </w:r>
      <w:r w:rsidR="002D7CF4">
        <w:rPr>
          <w:rFonts w:hint="eastAsia"/>
          <w:sz w:val="24"/>
        </w:rPr>
        <w:t>长不确定性越高的企业，</w:t>
      </w:r>
      <w:r w:rsidR="007F58C5">
        <w:rPr>
          <w:rFonts w:hint="eastAsia"/>
          <w:sz w:val="24"/>
        </w:rPr>
        <w:t>这一</w:t>
      </w:r>
      <w:r w:rsidR="002D7CF4">
        <w:rPr>
          <w:rFonts w:hint="eastAsia"/>
          <w:sz w:val="24"/>
        </w:rPr>
        <w:t>促进作用更明显</w:t>
      </w:r>
      <w:r w:rsidR="00025433" w:rsidRPr="00086241">
        <w:rPr>
          <w:rFonts w:hint="eastAsia"/>
          <w:sz w:val="24"/>
        </w:rPr>
        <w:t>。</w:t>
      </w:r>
    </w:p>
    <w:p w14:paraId="6003B57F" w14:textId="07F31BE4" w:rsidR="003973D7" w:rsidRPr="00086241" w:rsidRDefault="003973D7" w:rsidP="00202D83">
      <w:pPr>
        <w:spacing w:line="360" w:lineRule="auto"/>
        <w:ind w:firstLineChars="200" w:firstLine="480"/>
        <w:rPr>
          <w:sz w:val="24"/>
        </w:rPr>
      </w:pPr>
      <w:r w:rsidRPr="00086241">
        <w:rPr>
          <w:rFonts w:hint="eastAsia"/>
          <w:sz w:val="24"/>
        </w:rPr>
        <w:t>本研究的理论贡献在于</w:t>
      </w:r>
      <w:r w:rsidR="00202D83">
        <w:rPr>
          <w:rFonts w:hint="eastAsia"/>
          <w:sz w:val="24"/>
        </w:rPr>
        <w:t>首次拓展</w:t>
      </w:r>
      <w:r w:rsidRPr="00086241">
        <w:rPr>
          <w:rFonts w:hint="eastAsia"/>
          <w:sz w:val="24"/>
        </w:rPr>
        <w:t>组织资本</w:t>
      </w:r>
      <w:r w:rsidR="002D7CF4">
        <w:rPr>
          <w:rFonts w:hint="eastAsia"/>
          <w:sz w:val="24"/>
        </w:rPr>
        <w:t>在风险管理领域的</w:t>
      </w:r>
      <w:r w:rsidRPr="00086241">
        <w:rPr>
          <w:rFonts w:hint="eastAsia"/>
          <w:sz w:val="24"/>
        </w:rPr>
        <w:t>研究，</w:t>
      </w:r>
      <w:r w:rsidR="002D7CF4">
        <w:rPr>
          <w:rFonts w:hint="eastAsia"/>
          <w:sz w:val="24"/>
        </w:rPr>
        <w:t>同时填补了保险</w:t>
      </w:r>
      <w:r w:rsidR="00D976EE">
        <w:rPr>
          <w:rFonts w:hint="eastAsia"/>
          <w:sz w:val="24"/>
        </w:rPr>
        <w:t>投保</w:t>
      </w:r>
      <w:r w:rsidR="002D7CF4">
        <w:rPr>
          <w:rFonts w:hint="eastAsia"/>
          <w:sz w:val="24"/>
        </w:rPr>
        <w:t>动机的框架</w:t>
      </w:r>
      <w:r w:rsidR="00202D83">
        <w:rPr>
          <w:rFonts w:hint="eastAsia"/>
          <w:sz w:val="24"/>
        </w:rPr>
        <w:t>，研究保险的</w:t>
      </w:r>
      <w:r w:rsidR="00D976EE">
        <w:rPr>
          <w:rFonts w:hint="eastAsia"/>
          <w:sz w:val="24"/>
        </w:rPr>
        <w:t>投保</w:t>
      </w:r>
      <w:r w:rsidR="00202D83">
        <w:rPr>
          <w:rFonts w:hint="eastAsia"/>
          <w:sz w:val="24"/>
        </w:rPr>
        <w:t>动机有助于</w:t>
      </w:r>
      <w:r w:rsidR="00202D83" w:rsidRPr="00202D83">
        <w:rPr>
          <w:rFonts w:hint="eastAsia"/>
          <w:sz w:val="24"/>
        </w:rPr>
        <w:t>优化保险设计，促进其发挥理想</w:t>
      </w:r>
      <w:r w:rsidR="007F58C5">
        <w:rPr>
          <w:rFonts w:hint="eastAsia"/>
          <w:sz w:val="24"/>
        </w:rPr>
        <w:t>治理</w:t>
      </w:r>
      <w:r w:rsidR="00202D83" w:rsidRPr="00202D83">
        <w:rPr>
          <w:rFonts w:hint="eastAsia"/>
          <w:sz w:val="24"/>
        </w:rPr>
        <w:t>效能</w:t>
      </w:r>
      <w:r w:rsidR="002D7CF4">
        <w:rPr>
          <w:rFonts w:hint="eastAsia"/>
          <w:sz w:val="24"/>
        </w:rPr>
        <w:t>。从实践意义来看，本研究</w:t>
      </w:r>
      <w:r w:rsidR="00202D83">
        <w:rPr>
          <w:rFonts w:hint="eastAsia"/>
          <w:sz w:val="24"/>
        </w:rPr>
        <w:t>指导</w:t>
      </w:r>
      <w:r w:rsidR="002D7CF4">
        <w:rPr>
          <w:rFonts w:hint="eastAsia"/>
          <w:sz w:val="24"/>
        </w:rPr>
        <w:t>企业积累高质量组织资本、积极</w:t>
      </w:r>
      <w:r w:rsidR="00C072C0">
        <w:rPr>
          <w:rFonts w:hint="eastAsia"/>
          <w:sz w:val="24"/>
        </w:rPr>
        <w:t>购买</w:t>
      </w:r>
      <w:r w:rsidR="002D7CF4">
        <w:rPr>
          <w:rFonts w:hint="eastAsia"/>
          <w:sz w:val="24"/>
        </w:rPr>
        <w:t>董</w:t>
      </w:r>
      <w:proofErr w:type="gramStart"/>
      <w:r w:rsidR="002D7CF4">
        <w:rPr>
          <w:rFonts w:hint="eastAsia"/>
          <w:sz w:val="24"/>
        </w:rPr>
        <w:t>监高责任险并</w:t>
      </w:r>
      <w:proofErr w:type="gramEnd"/>
      <w:r w:rsidR="002D7CF4">
        <w:rPr>
          <w:rFonts w:hint="eastAsia"/>
          <w:sz w:val="24"/>
        </w:rPr>
        <w:t>持续</w:t>
      </w:r>
      <w:r w:rsidR="00202D83">
        <w:rPr>
          <w:rFonts w:hint="eastAsia"/>
          <w:sz w:val="24"/>
        </w:rPr>
        <w:t>风险监督</w:t>
      </w:r>
      <w:r w:rsidR="002D7CF4">
        <w:rPr>
          <w:rFonts w:hint="eastAsia"/>
          <w:sz w:val="24"/>
        </w:rPr>
        <w:t>，指引保险公司</w:t>
      </w:r>
      <w:r w:rsidR="007F58C5">
        <w:rPr>
          <w:rFonts w:hint="eastAsia"/>
          <w:sz w:val="24"/>
        </w:rPr>
        <w:t>基于组织资本、行业特征等</w:t>
      </w:r>
      <w:r w:rsidR="002D7CF4">
        <w:rPr>
          <w:rFonts w:hint="eastAsia"/>
          <w:sz w:val="24"/>
        </w:rPr>
        <w:t>设计合同明细，鼓励监管部门重视组织资本</w:t>
      </w:r>
      <w:r w:rsidR="007F58C5">
        <w:rPr>
          <w:rFonts w:hint="eastAsia"/>
          <w:sz w:val="24"/>
        </w:rPr>
        <w:t>和</w:t>
      </w:r>
      <w:proofErr w:type="gramStart"/>
      <w:r w:rsidR="007F58C5">
        <w:rPr>
          <w:rFonts w:hint="eastAsia"/>
          <w:sz w:val="24"/>
        </w:rPr>
        <w:t>董监高责任</w:t>
      </w:r>
      <w:proofErr w:type="gramEnd"/>
      <w:r w:rsidR="007F58C5">
        <w:rPr>
          <w:rFonts w:hint="eastAsia"/>
          <w:sz w:val="24"/>
        </w:rPr>
        <w:t>险</w:t>
      </w:r>
      <w:r w:rsidR="002D7CF4">
        <w:rPr>
          <w:rFonts w:hint="eastAsia"/>
          <w:sz w:val="24"/>
        </w:rPr>
        <w:t>的高质量建设。</w:t>
      </w:r>
    </w:p>
    <w:p w14:paraId="60DBA742" w14:textId="77777777" w:rsidR="003973D7" w:rsidRPr="00086241" w:rsidRDefault="003973D7" w:rsidP="003973D7">
      <w:pPr>
        <w:ind w:left="360" w:firstLine="480"/>
        <w:rPr>
          <w:sz w:val="24"/>
        </w:rPr>
      </w:pPr>
    </w:p>
    <w:p w14:paraId="26C7375A" w14:textId="679185AF" w:rsidR="003973D7" w:rsidRPr="00086241" w:rsidRDefault="00025433" w:rsidP="00C44EE0">
      <w:pPr>
        <w:ind w:firstLineChars="200" w:firstLine="482"/>
        <w:rPr>
          <w:sz w:val="24"/>
        </w:rPr>
      </w:pPr>
      <w:r w:rsidRPr="00086241">
        <w:rPr>
          <w:rFonts w:hint="eastAsia"/>
          <w:b/>
          <w:bCs/>
          <w:sz w:val="24"/>
        </w:rPr>
        <w:t>关键词</w:t>
      </w:r>
      <w:r w:rsidRPr="00086241">
        <w:rPr>
          <w:rFonts w:hint="eastAsia"/>
          <w:sz w:val="24"/>
        </w:rPr>
        <w:t>：组织资本；董</w:t>
      </w:r>
      <w:proofErr w:type="gramStart"/>
      <w:r w:rsidRPr="00086241">
        <w:rPr>
          <w:rFonts w:hint="eastAsia"/>
          <w:sz w:val="24"/>
        </w:rPr>
        <w:t>监高责任</w:t>
      </w:r>
      <w:proofErr w:type="gramEnd"/>
      <w:r w:rsidRPr="00086241">
        <w:rPr>
          <w:rFonts w:hint="eastAsia"/>
          <w:sz w:val="24"/>
        </w:rPr>
        <w:t>险</w:t>
      </w:r>
      <w:r w:rsidR="006C6AB5">
        <w:rPr>
          <w:rFonts w:hint="eastAsia"/>
          <w:sz w:val="24"/>
        </w:rPr>
        <w:t>；双重</w:t>
      </w:r>
      <w:r w:rsidRPr="00086241">
        <w:rPr>
          <w:rFonts w:hint="eastAsia"/>
          <w:sz w:val="24"/>
        </w:rPr>
        <w:t>委托代理</w:t>
      </w:r>
      <w:r w:rsidR="00202D83">
        <w:rPr>
          <w:rFonts w:hint="eastAsia"/>
          <w:sz w:val="24"/>
        </w:rPr>
        <w:t>；投资者关注</w:t>
      </w:r>
    </w:p>
    <w:p w14:paraId="69202199" w14:textId="77777777" w:rsidR="003973D7" w:rsidRPr="00086241" w:rsidRDefault="003973D7" w:rsidP="003973D7">
      <w:pPr>
        <w:ind w:left="360" w:firstLine="480"/>
        <w:rPr>
          <w:szCs w:val="21"/>
        </w:rPr>
      </w:pPr>
    </w:p>
    <w:p w14:paraId="2B6210B2" w14:textId="77777777" w:rsidR="003973D7" w:rsidRPr="00086241" w:rsidRDefault="003973D7" w:rsidP="003973D7">
      <w:pPr>
        <w:ind w:left="360" w:firstLine="480"/>
        <w:rPr>
          <w:szCs w:val="21"/>
        </w:rPr>
      </w:pPr>
    </w:p>
    <w:p w14:paraId="3BAA2A7C" w14:textId="77777777" w:rsidR="003973D7" w:rsidRPr="00086241" w:rsidRDefault="003973D7" w:rsidP="003973D7">
      <w:pPr>
        <w:ind w:left="360" w:firstLine="480"/>
        <w:rPr>
          <w:szCs w:val="21"/>
        </w:rPr>
      </w:pPr>
    </w:p>
    <w:p w14:paraId="6F234ACA" w14:textId="77777777" w:rsidR="003973D7" w:rsidRPr="00086241" w:rsidRDefault="003973D7" w:rsidP="003973D7">
      <w:pPr>
        <w:ind w:left="360" w:firstLine="480"/>
        <w:rPr>
          <w:szCs w:val="21"/>
        </w:rPr>
      </w:pPr>
    </w:p>
    <w:p w14:paraId="6B9BC0CF" w14:textId="153FCEE9" w:rsidR="00025433" w:rsidRPr="00086241" w:rsidRDefault="00025433" w:rsidP="00025433">
      <w:pPr>
        <w:ind w:firstLine="480"/>
        <w:rPr>
          <w:szCs w:val="21"/>
        </w:rPr>
      </w:pPr>
      <w:r w:rsidRPr="00086241">
        <w:rPr>
          <w:szCs w:val="21"/>
        </w:rPr>
        <w:br w:type="page"/>
      </w:r>
    </w:p>
    <w:p w14:paraId="3413D3F9" w14:textId="40910399" w:rsidR="009864AF" w:rsidRPr="00C0628E" w:rsidRDefault="00025433" w:rsidP="00C0628E">
      <w:pPr>
        <w:spacing w:afterLines="200" w:after="624" w:line="720" w:lineRule="exact"/>
        <w:jc w:val="center"/>
        <w:rPr>
          <w:rFonts w:eastAsia="黑体"/>
          <w:b/>
          <w:bCs/>
          <w:sz w:val="36"/>
          <w:szCs w:val="36"/>
        </w:rPr>
      </w:pPr>
      <w:r w:rsidRPr="00C0628E">
        <w:rPr>
          <w:rFonts w:eastAsia="黑体"/>
          <w:b/>
          <w:bCs/>
          <w:sz w:val="36"/>
          <w:szCs w:val="36"/>
        </w:rPr>
        <w:lastRenderedPageBreak/>
        <w:t>Abstract</w:t>
      </w:r>
    </w:p>
    <w:p w14:paraId="11D994B0" w14:textId="4555736D" w:rsidR="000E65C1" w:rsidRPr="000E65C1" w:rsidRDefault="000E65C1" w:rsidP="00916EBD">
      <w:pPr>
        <w:spacing w:line="360" w:lineRule="auto"/>
        <w:ind w:firstLineChars="200" w:firstLine="480"/>
        <w:rPr>
          <w:sz w:val="24"/>
        </w:rPr>
      </w:pPr>
      <w:r w:rsidRPr="000E65C1">
        <w:rPr>
          <w:sz w:val="24"/>
        </w:rPr>
        <w:t>The development of investment functions in China’s capital market, the strengthening of minority shareholder protection, and the expansion of directors', supervisors', and senior executives' responsibilities have increased litigation risks for both companies and their executives. As an important risk management tool, directors</w:t>
      </w:r>
      <w:r>
        <w:rPr>
          <w:sz w:val="24"/>
        </w:rPr>
        <w:t>’</w:t>
      </w:r>
      <w:r>
        <w:rPr>
          <w:rFonts w:hint="eastAsia"/>
          <w:sz w:val="24"/>
        </w:rPr>
        <w:t xml:space="preserve"> </w:t>
      </w:r>
      <w:r w:rsidRPr="000E65C1">
        <w:rPr>
          <w:sz w:val="24"/>
        </w:rPr>
        <w:t>and officers</w:t>
      </w:r>
      <w:r>
        <w:rPr>
          <w:sz w:val="24"/>
        </w:rPr>
        <w:t>’</w:t>
      </w:r>
      <w:r w:rsidRPr="000E65C1">
        <w:rPr>
          <w:sz w:val="24"/>
        </w:rPr>
        <w:t xml:space="preserve"> liability insurance</w:t>
      </w:r>
      <w:r>
        <w:rPr>
          <w:rFonts w:hint="eastAsia"/>
          <w:sz w:val="24"/>
        </w:rPr>
        <w:t xml:space="preserve"> </w:t>
      </w:r>
      <w:r w:rsidRPr="000E65C1">
        <w:rPr>
          <w:sz w:val="24"/>
        </w:rPr>
        <w:t>(D&amp;O) serves as an essential safeguard within the securities industry</w:t>
      </w:r>
      <w:r>
        <w:rPr>
          <w:rFonts w:hint="eastAsia"/>
          <w:sz w:val="24"/>
        </w:rPr>
        <w:t xml:space="preserve">. </w:t>
      </w:r>
      <w:r w:rsidRPr="000E65C1">
        <w:rPr>
          <w:sz w:val="24"/>
        </w:rPr>
        <w:t xml:space="preserve"> However, in 2024, only 23.7% of A-share listed companies disclosed resolutions on purchasing D&amp;O insurance, a stark contrast to the nearly 99% adoption rate in the United States. </w:t>
      </w:r>
      <w:r w:rsidR="00643BD6" w:rsidRPr="00643BD6">
        <w:rPr>
          <w:sz w:val="24"/>
        </w:rPr>
        <w:t xml:space="preserve">What factors influence a company's intention to purchase </w:t>
      </w:r>
      <w:r w:rsidR="00643BD6" w:rsidRPr="000E65C1">
        <w:rPr>
          <w:sz w:val="24"/>
        </w:rPr>
        <w:t>D&amp;O insurance</w:t>
      </w:r>
      <w:r w:rsidR="00643BD6" w:rsidRPr="00643BD6">
        <w:rPr>
          <w:sz w:val="24"/>
        </w:rPr>
        <w:t>?</w:t>
      </w:r>
    </w:p>
    <w:p w14:paraId="4F1F8B1B" w14:textId="1DB4863C" w:rsidR="000E65C1" w:rsidRPr="000E65C1" w:rsidRDefault="000E65C1" w:rsidP="00916EBD">
      <w:pPr>
        <w:spacing w:line="360" w:lineRule="auto"/>
        <w:ind w:firstLineChars="200" w:firstLine="480"/>
        <w:rPr>
          <w:sz w:val="24"/>
        </w:rPr>
      </w:pPr>
      <w:r w:rsidRPr="000E65C1">
        <w:rPr>
          <w:sz w:val="24"/>
        </w:rPr>
        <w:t>Organizational capital is an intangible asset portfolio in which enterprises integrate various production factors through organizational capabilities, transforming them into competitiveness and market value.</w:t>
      </w:r>
      <w:r>
        <w:rPr>
          <w:rFonts w:hint="eastAsia"/>
          <w:sz w:val="24"/>
        </w:rPr>
        <w:t xml:space="preserve"> It </w:t>
      </w:r>
      <w:r w:rsidRPr="000E65C1">
        <w:rPr>
          <w:sz w:val="24"/>
        </w:rPr>
        <w:t>plays a fundamental role in shaping corporate performance, market outcomes, and investment decisions. However, its influence on risk management has remained largely unexplored. Given its critical importance in shaping corporate behavior, this study examines the impact of organizational capital on the decision to purchase D&amp;O insurance, using data from A-share listed companies.</w:t>
      </w:r>
    </w:p>
    <w:p w14:paraId="3604E452" w14:textId="318E6E42" w:rsidR="000E65C1" w:rsidRPr="000E65C1" w:rsidRDefault="000E65C1" w:rsidP="00916EBD">
      <w:pPr>
        <w:spacing w:line="360" w:lineRule="auto"/>
        <w:ind w:firstLineChars="200" w:firstLine="480"/>
        <w:rPr>
          <w:sz w:val="24"/>
        </w:rPr>
      </w:pPr>
      <w:r w:rsidRPr="000E65C1">
        <w:rPr>
          <w:sz w:val="24"/>
        </w:rPr>
        <w:t>The findings indicate that firms with higher organizational capital are more likely to purchase D&amp;O insurance, and this relationship remains robust after addressing endogeneity concerns and conducting robustness checks. Further analysis reveals two underlying mechanisms: (1) Stronger dual agency conflict—organizational capital intensifies agency conflicts, thereby raising litigation risks and strengthening the need for liability coverage; and (2) Higher investor attention—higher organizational capital attracts more investor attention, pressuring firms to adopt D&amp;O insurance as a risk management measure. Additionally, this effect is more pronounced in industries requiring highly specialized talent and those facing greater growth uncertainty.</w:t>
      </w:r>
    </w:p>
    <w:p w14:paraId="6376B460" w14:textId="0FCB6698" w:rsidR="000E65C1" w:rsidRDefault="000E65C1" w:rsidP="00916EBD">
      <w:pPr>
        <w:spacing w:line="360" w:lineRule="auto"/>
        <w:ind w:firstLineChars="200" w:firstLine="480"/>
        <w:rPr>
          <w:sz w:val="24"/>
        </w:rPr>
      </w:pPr>
      <w:r w:rsidRPr="000E65C1">
        <w:rPr>
          <w:sz w:val="24"/>
        </w:rPr>
        <w:t xml:space="preserve">This study contributes to the literature by extending research on organizational capital to the field of risk management and providing new insights into corporate </w:t>
      </w:r>
      <w:r w:rsidRPr="000E65C1">
        <w:rPr>
          <w:sz w:val="24"/>
        </w:rPr>
        <w:lastRenderedPageBreak/>
        <w:t>insurance purchasing behavior. From a practical perspective, the findings offer guidance for firms seeking to strengthen their</w:t>
      </w:r>
      <w:r>
        <w:rPr>
          <w:rFonts w:hint="eastAsia"/>
          <w:sz w:val="24"/>
        </w:rPr>
        <w:t xml:space="preserve"> high-quality</w:t>
      </w:r>
      <w:r w:rsidRPr="000E65C1">
        <w:rPr>
          <w:sz w:val="24"/>
        </w:rPr>
        <w:t xml:space="preserve"> organizational capital and risk management strategies, for insurance companies in designing tailored policies, and for regulators in fostering a more developed D&amp;O insurance market</w:t>
      </w:r>
      <w:r w:rsidR="00DA2084">
        <w:rPr>
          <w:rFonts w:hint="eastAsia"/>
          <w:sz w:val="24"/>
        </w:rPr>
        <w:t>.</w:t>
      </w:r>
    </w:p>
    <w:p w14:paraId="373EAFD0" w14:textId="77777777" w:rsidR="006F2C7E" w:rsidRPr="00086241" w:rsidRDefault="006F2C7E" w:rsidP="006F2C7E">
      <w:pPr>
        <w:spacing w:line="360" w:lineRule="auto"/>
        <w:ind w:firstLine="480"/>
        <w:rPr>
          <w:sz w:val="24"/>
        </w:rPr>
      </w:pPr>
    </w:p>
    <w:p w14:paraId="7AEB7F99" w14:textId="466BA38A" w:rsidR="006F2C7E" w:rsidRPr="00086241" w:rsidRDefault="007F4518" w:rsidP="00360AC5">
      <w:pPr>
        <w:spacing w:line="360" w:lineRule="auto"/>
        <w:ind w:firstLine="482"/>
        <w:rPr>
          <w:sz w:val="24"/>
        </w:rPr>
        <w:sectPr w:rsidR="006F2C7E" w:rsidRPr="00086241" w:rsidSect="00275548">
          <w:footerReference w:type="even" r:id="rId12"/>
          <w:footerReference w:type="default" r:id="rId13"/>
          <w:footerReference w:type="first" r:id="rId14"/>
          <w:pgSz w:w="11906" w:h="16838"/>
          <w:pgMar w:top="1440" w:right="1800" w:bottom="1440" w:left="1800" w:header="851" w:footer="992" w:gutter="0"/>
          <w:pgNumType w:fmt="upperRoman" w:start="1"/>
          <w:cols w:space="425"/>
          <w:docGrid w:type="lines" w:linePitch="312"/>
        </w:sectPr>
      </w:pPr>
      <w:r w:rsidRPr="00086241">
        <w:rPr>
          <w:b/>
          <w:bCs/>
          <w:sz w:val="24"/>
        </w:rPr>
        <w:t>Keywords</w:t>
      </w:r>
      <w:r w:rsidRPr="00086241">
        <w:rPr>
          <w:sz w:val="24"/>
        </w:rPr>
        <w:t>:</w:t>
      </w:r>
      <w:r w:rsidRPr="00086241">
        <w:rPr>
          <w:rFonts w:hint="eastAsia"/>
          <w:sz w:val="24"/>
        </w:rPr>
        <w:t xml:space="preserve"> </w:t>
      </w:r>
      <w:r w:rsidRPr="00086241">
        <w:rPr>
          <w:sz w:val="24"/>
        </w:rPr>
        <w:t>Organizational Capital; Directors</w:t>
      </w:r>
      <w:r w:rsidR="000E65C1">
        <w:rPr>
          <w:sz w:val="24"/>
        </w:rPr>
        <w:t>’</w:t>
      </w:r>
      <w:r w:rsidRPr="00086241">
        <w:rPr>
          <w:sz w:val="24"/>
        </w:rPr>
        <w:t xml:space="preserve"> and Officers</w:t>
      </w:r>
      <w:r w:rsidR="000E65C1">
        <w:rPr>
          <w:sz w:val="24"/>
        </w:rPr>
        <w:t>’</w:t>
      </w:r>
      <w:r w:rsidRPr="00086241">
        <w:rPr>
          <w:sz w:val="24"/>
        </w:rPr>
        <w:t xml:space="preserve"> Liability Insurance (D&amp;O Insurance); </w:t>
      </w:r>
      <w:r w:rsidR="000E65C1">
        <w:rPr>
          <w:rFonts w:hint="eastAsia"/>
          <w:sz w:val="24"/>
        </w:rPr>
        <w:t xml:space="preserve">Dual Agency; Investor </w:t>
      </w:r>
      <w:r w:rsidR="00C0628E">
        <w:rPr>
          <w:rFonts w:hint="eastAsia"/>
          <w:sz w:val="24"/>
        </w:rPr>
        <w:t>Attention</w:t>
      </w:r>
    </w:p>
    <w:p w14:paraId="59CBC614" w14:textId="1643DC40" w:rsidR="00E11C4A" w:rsidRPr="00C0628E" w:rsidRDefault="00C0628E" w:rsidP="00C0628E">
      <w:pPr>
        <w:spacing w:afterLines="200" w:after="624" w:line="720" w:lineRule="exact"/>
        <w:jc w:val="center"/>
        <w:rPr>
          <w:rFonts w:ascii="黑体" w:eastAsia="黑体" w:hAnsi="黑体" w:hint="eastAsia"/>
          <w:b/>
          <w:bCs/>
          <w:sz w:val="36"/>
          <w:szCs w:val="36"/>
        </w:rPr>
      </w:pPr>
      <w:r w:rsidRPr="00C0628E">
        <w:rPr>
          <w:rFonts w:ascii="黑体" w:eastAsia="黑体" w:hAnsi="黑体" w:hint="eastAsia"/>
          <w:b/>
          <w:bCs/>
          <w:sz w:val="36"/>
          <w:szCs w:val="36"/>
        </w:rPr>
        <w:lastRenderedPageBreak/>
        <w:t>目  录</w:t>
      </w:r>
    </w:p>
    <w:bookmarkStart w:id="0" w:name="_Hlk194856873"/>
    <w:p w14:paraId="24EC12AD" w14:textId="40A5D6BF" w:rsidR="00653C89" w:rsidRPr="00653C89" w:rsidRDefault="00E14728" w:rsidP="00477FFD">
      <w:pPr>
        <w:pStyle w:val="TOC1"/>
        <w:rPr>
          <w:rFonts w:eastAsiaTheme="minorEastAsia" w:cstheme="minorBidi"/>
          <w:kern w:val="2"/>
          <w:sz w:val="22"/>
          <w:szCs w:val="24"/>
          <w14:ligatures w14:val="standardContextual"/>
        </w:rPr>
      </w:pPr>
      <w:r w:rsidRPr="00653C89">
        <w:fldChar w:fldCharType="begin"/>
      </w:r>
      <w:r w:rsidRPr="00653C89">
        <w:instrText xml:space="preserve"> TOC \o "1-3" \h \z \u </w:instrText>
      </w:r>
      <w:r w:rsidRPr="00653C89">
        <w:fldChar w:fldCharType="separate"/>
      </w:r>
      <w:hyperlink w:anchor="_Toc198286962" w:history="1">
        <w:r w:rsidR="00653C89" w:rsidRPr="00653C89">
          <w:rPr>
            <w:rStyle w:val="af2"/>
            <w:rFonts w:hint="eastAsia"/>
          </w:rPr>
          <w:t>第一章</w:t>
        </w:r>
        <w:r w:rsidR="00653C89" w:rsidRPr="00653C89">
          <w:rPr>
            <w:rStyle w:val="af2"/>
            <w:rFonts w:hint="eastAsia"/>
          </w:rPr>
          <w:t xml:space="preserve"> </w:t>
        </w:r>
        <w:r w:rsidR="00653C89" w:rsidRPr="00653C89">
          <w:rPr>
            <w:rStyle w:val="af2"/>
            <w:rFonts w:hint="eastAsia"/>
          </w:rPr>
          <w:t>引言</w:t>
        </w:r>
        <w:r w:rsidR="00653C89" w:rsidRPr="00653C89">
          <w:rPr>
            <w:rFonts w:hint="eastAsia"/>
            <w:webHidden/>
          </w:rPr>
          <w:tab/>
        </w:r>
        <w:r w:rsidR="00653C89" w:rsidRPr="00653C89">
          <w:rPr>
            <w:rFonts w:hint="eastAsia"/>
            <w:webHidden/>
          </w:rPr>
          <w:fldChar w:fldCharType="begin"/>
        </w:r>
        <w:r w:rsidR="00653C89" w:rsidRPr="00653C89">
          <w:rPr>
            <w:rFonts w:hint="eastAsia"/>
            <w:webHidden/>
          </w:rPr>
          <w:instrText xml:space="preserve"> </w:instrText>
        </w:r>
        <w:r w:rsidR="00653C89" w:rsidRPr="00653C89">
          <w:rPr>
            <w:webHidden/>
          </w:rPr>
          <w:instrText>PAGEREF _Toc198286962 \h</w:instrText>
        </w:r>
        <w:r w:rsidR="00653C89" w:rsidRPr="00653C89">
          <w:rPr>
            <w:rFonts w:hint="eastAsia"/>
            <w:webHidden/>
          </w:rPr>
          <w:instrText xml:space="preserve"> </w:instrText>
        </w:r>
        <w:r w:rsidR="00653C89" w:rsidRPr="00653C89">
          <w:rPr>
            <w:rFonts w:hint="eastAsia"/>
            <w:webHidden/>
          </w:rPr>
        </w:r>
        <w:r w:rsidR="00653C89" w:rsidRPr="00653C89">
          <w:rPr>
            <w:rFonts w:hint="eastAsia"/>
            <w:webHidden/>
          </w:rPr>
          <w:fldChar w:fldCharType="separate"/>
        </w:r>
        <w:r w:rsidR="00AF2180">
          <w:rPr>
            <w:webHidden/>
          </w:rPr>
          <w:t>1</w:t>
        </w:r>
        <w:r w:rsidR="00653C89" w:rsidRPr="00653C89">
          <w:rPr>
            <w:rFonts w:hint="eastAsia"/>
            <w:webHidden/>
          </w:rPr>
          <w:fldChar w:fldCharType="end"/>
        </w:r>
      </w:hyperlink>
    </w:p>
    <w:p w14:paraId="0F953005" w14:textId="467880EC"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63" w:history="1">
        <w:r w:rsidRPr="00653C89">
          <w:rPr>
            <w:rStyle w:val="af2"/>
            <w:rFonts w:ascii="Times New Roman" w:hAnsi="Times New Roman" w:hint="eastAsia"/>
            <w:noProof/>
          </w:rPr>
          <w:t xml:space="preserve">1.1 </w:t>
        </w:r>
        <w:r w:rsidRPr="00653C89">
          <w:rPr>
            <w:rStyle w:val="af2"/>
            <w:rFonts w:ascii="Times New Roman" w:hAnsi="Times New Roman" w:hint="eastAsia"/>
            <w:noProof/>
          </w:rPr>
          <w:t>研究背景</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_Toc198286963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w:t>
        </w:r>
        <w:r w:rsidRPr="00653C89">
          <w:rPr>
            <w:rFonts w:ascii="Times New Roman" w:hAnsi="Times New Roman" w:hint="eastAsia"/>
            <w:noProof/>
            <w:webHidden/>
          </w:rPr>
          <w:fldChar w:fldCharType="end"/>
        </w:r>
      </w:hyperlink>
    </w:p>
    <w:p w14:paraId="695FF9FE" w14:textId="6F467010"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64" w:history="1">
        <w:r w:rsidRPr="00653C89">
          <w:rPr>
            <w:rStyle w:val="af2"/>
            <w:rFonts w:ascii="Times New Roman" w:hAnsi="Times New Roman" w:hint="eastAsia"/>
            <w:noProof/>
          </w:rPr>
          <w:t xml:space="preserve">1.2 </w:t>
        </w:r>
        <w:r w:rsidRPr="00653C89">
          <w:rPr>
            <w:rStyle w:val="af2"/>
            <w:rFonts w:ascii="Times New Roman" w:hAnsi="Times New Roman" w:hint="eastAsia"/>
            <w:noProof/>
          </w:rPr>
          <w:t>研究目的及框架</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_Toc198286964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w:t>
        </w:r>
        <w:r w:rsidRPr="00653C89">
          <w:rPr>
            <w:rFonts w:ascii="Times New Roman" w:hAnsi="Times New Roman" w:hint="eastAsia"/>
            <w:noProof/>
            <w:webHidden/>
          </w:rPr>
          <w:fldChar w:fldCharType="end"/>
        </w:r>
      </w:hyperlink>
    </w:p>
    <w:p w14:paraId="22067EBC" w14:textId="25D05FC2"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65" w:history="1">
        <w:r w:rsidRPr="00653C89">
          <w:rPr>
            <w:rStyle w:val="af2"/>
            <w:rFonts w:ascii="Times New Roman" w:hAnsi="Times New Roman" w:hint="eastAsia"/>
            <w:noProof/>
          </w:rPr>
          <w:t xml:space="preserve">1.3 </w:t>
        </w:r>
        <w:r w:rsidRPr="00653C89">
          <w:rPr>
            <w:rStyle w:val="af2"/>
            <w:rFonts w:ascii="Times New Roman" w:hAnsi="Times New Roman" w:hint="eastAsia"/>
            <w:noProof/>
          </w:rPr>
          <w:t>研究意义</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_Toc198286965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w:t>
        </w:r>
        <w:r w:rsidRPr="00653C89">
          <w:rPr>
            <w:rFonts w:ascii="Times New Roman" w:hAnsi="Times New Roman" w:hint="eastAsia"/>
            <w:noProof/>
            <w:webHidden/>
          </w:rPr>
          <w:fldChar w:fldCharType="end"/>
        </w:r>
      </w:hyperlink>
    </w:p>
    <w:p w14:paraId="6E38B6A1" w14:textId="18E2D611"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66" w:history="1">
        <w:r w:rsidRPr="00653C89">
          <w:rPr>
            <w:rStyle w:val="af2"/>
            <w:rFonts w:ascii="Times New Roman" w:hAnsi="Times New Roman" w:hint="eastAsia"/>
            <w:noProof/>
          </w:rPr>
          <w:t xml:space="preserve">1.3.1 </w:t>
        </w:r>
        <w:r w:rsidRPr="00653C89">
          <w:rPr>
            <w:rStyle w:val="af2"/>
            <w:rFonts w:ascii="Times New Roman" w:hAnsi="Times New Roman" w:hint="eastAsia"/>
            <w:noProof/>
          </w:rPr>
          <w:t>理论意义</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_Toc198286966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w:t>
        </w:r>
        <w:r w:rsidRPr="00653C89">
          <w:rPr>
            <w:rFonts w:ascii="Times New Roman" w:hAnsi="Times New Roman" w:hint="eastAsia"/>
            <w:noProof/>
            <w:webHidden/>
          </w:rPr>
          <w:fldChar w:fldCharType="end"/>
        </w:r>
      </w:hyperlink>
    </w:p>
    <w:p w14:paraId="10C33182" w14:textId="6285DA48"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67" w:history="1">
        <w:r w:rsidRPr="00653C89">
          <w:rPr>
            <w:rStyle w:val="af2"/>
            <w:rFonts w:ascii="Times New Roman" w:hAnsi="Times New Roman" w:hint="eastAsia"/>
            <w:noProof/>
          </w:rPr>
          <w:t xml:space="preserve">1.3.2 </w:t>
        </w:r>
        <w:r w:rsidRPr="00653C89">
          <w:rPr>
            <w:rStyle w:val="af2"/>
            <w:rFonts w:ascii="Times New Roman" w:hAnsi="Times New Roman" w:hint="eastAsia"/>
            <w:noProof/>
          </w:rPr>
          <w:t>实践意义</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_Toc198286967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4</w:t>
        </w:r>
        <w:r w:rsidRPr="00653C89">
          <w:rPr>
            <w:rFonts w:ascii="Times New Roman" w:hAnsi="Times New Roman" w:hint="eastAsia"/>
            <w:noProof/>
            <w:webHidden/>
          </w:rPr>
          <w:fldChar w:fldCharType="end"/>
        </w:r>
      </w:hyperlink>
    </w:p>
    <w:p w14:paraId="2B4EF4CF" w14:textId="4B2A4519"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68" w:history="1">
        <w:r w:rsidRPr="00653C89">
          <w:rPr>
            <w:rStyle w:val="af2"/>
            <w:rFonts w:ascii="Times New Roman" w:hAnsi="Times New Roman" w:hint="eastAsia"/>
            <w:noProof/>
          </w:rPr>
          <w:t xml:space="preserve">1.4 </w:t>
        </w:r>
        <w:r w:rsidRPr="00653C89">
          <w:rPr>
            <w:rStyle w:val="af2"/>
            <w:rFonts w:ascii="Times New Roman" w:hAnsi="Times New Roman" w:hint="eastAsia"/>
            <w:noProof/>
          </w:rPr>
          <w:t>可能的创新点</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_Toc198286968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4</w:t>
        </w:r>
        <w:r w:rsidRPr="00653C89">
          <w:rPr>
            <w:rFonts w:ascii="Times New Roman" w:hAnsi="Times New Roman" w:hint="eastAsia"/>
            <w:noProof/>
            <w:webHidden/>
          </w:rPr>
          <w:fldChar w:fldCharType="end"/>
        </w:r>
      </w:hyperlink>
    </w:p>
    <w:p w14:paraId="0F1285F7" w14:textId="1A645A5C"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69" w:history="1">
        <w:r w:rsidRPr="00653C89">
          <w:rPr>
            <w:rStyle w:val="af2"/>
            <w:rFonts w:ascii="Times New Roman" w:hAnsi="Times New Roman" w:hint="eastAsia"/>
            <w:noProof/>
          </w:rPr>
          <w:t xml:space="preserve">1.4.1 </w:t>
        </w:r>
        <w:r w:rsidRPr="00653C89">
          <w:rPr>
            <w:rStyle w:val="af2"/>
            <w:rFonts w:ascii="Times New Roman" w:hAnsi="Times New Roman" w:hint="eastAsia"/>
            <w:noProof/>
          </w:rPr>
          <w:t>研究视角的创新</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_Toc198286969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4</w:t>
        </w:r>
        <w:r w:rsidRPr="00653C89">
          <w:rPr>
            <w:rFonts w:ascii="Times New Roman" w:hAnsi="Times New Roman" w:hint="eastAsia"/>
            <w:noProof/>
            <w:webHidden/>
          </w:rPr>
          <w:fldChar w:fldCharType="end"/>
        </w:r>
      </w:hyperlink>
    </w:p>
    <w:p w14:paraId="54AA0343" w14:textId="570B83E2"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70" w:history="1">
        <w:r w:rsidRPr="00653C89">
          <w:rPr>
            <w:rStyle w:val="af2"/>
            <w:rFonts w:ascii="Times New Roman" w:hAnsi="Times New Roman" w:hint="eastAsia"/>
            <w:noProof/>
          </w:rPr>
          <w:t xml:space="preserve">1.4.2 </w:t>
        </w:r>
        <w:r w:rsidRPr="00653C89">
          <w:rPr>
            <w:rStyle w:val="af2"/>
            <w:rFonts w:ascii="Times New Roman" w:hAnsi="Times New Roman" w:hint="eastAsia"/>
            <w:noProof/>
          </w:rPr>
          <w:t>理论机制的创新</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_Toc198286970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4</w:t>
        </w:r>
        <w:r w:rsidRPr="00653C89">
          <w:rPr>
            <w:rFonts w:ascii="Times New Roman" w:hAnsi="Times New Roman" w:hint="eastAsia"/>
            <w:noProof/>
            <w:webHidden/>
          </w:rPr>
          <w:fldChar w:fldCharType="end"/>
        </w:r>
      </w:hyperlink>
    </w:p>
    <w:p w14:paraId="194BF377" w14:textId="7E3F8ECA"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71" w:history="1">
        <w:r w:rsidRPr="00653C89">
          <w:rPr>
            <w:rStyle w:val="af2"/>
            <w:rFonts w:ascii="Times New Roman" w:hAnsi="Times New Roman" w:hint="eastAsia"/>
            <w:noProof/>
          </w:rPr>
          <w:t xml:space="preserve">1.4.3 </w:t>
        </w:r>
        <w:r w:rsidRPr="00653C89">
          <w:rPr>
            <w:rStyle w:val="af2"/>
            <w:rFonts w:ascii="Times New Roman" w:hAnsi="Times New Roman" w:hint="eastAsia"/>
            <w:noProof/>
          </w:rPr>
          <w:t>行业差异的创新</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_Toc198286971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5</w:t>
        </w:r>
        <w:r w:rsidRPr="00653C89">
          <w:rPr>
            <w:rFonts w:ascii="Times New Roman" w:hAnsi="Times New Roman" w:hint="eastAsia"/>
            <w:noProof/>
            <w:webHidden/>
          </w:rPr>
          <w:fldChar w:fldCharType="end"/>
        </w:r>
      </w:hyperlink>
    </w:p>
    <w:p w14:paraId="11C7D2B5" w14:textId="6379DF60" w:rsidR="00653C89" w:rsidRPr="00653C89" w:rsidRDefault="00653C89" w:rsidP="00477FFD">
      <w:pPr>
        <w:pStyle w:val="TOC1"/>
        <w:rPr>
          <w:rFonts w:eastAsiaTheme="minorEastAsia" w:cstheme="minorBidi"/>
          <w:kern w:val="2"/>
          <w:sz w:val="22"/>
          <w:szCs w:val="24"/>
          <w14:ligatures w14:val="standardContextual"/>
        </w:rPr>
      </w:pPr>
      <w:hyperlink w:anchor="_Toc198286972" w:history="1">
        <w:r w:rsidRPr="00653C89">
          <w:rPr>
            <w:rStyle w:val="af2"/>
            <w:rFonts w:hint="eastAsia"/>
          </w:rPr>
          <w:t>第二章</w:t>
        </w:r>
        <w:r w:rsidRPr="00653C89">
          <w:rPr>
            <w:rStyle w:val="af2"/>
            <w:rFonts w:hint="eastAsia"/>
          </w:rPr>
          <w:t xml:space="preserve"> </w:t>
        </w:r>
        <w:r w:rsidRPr="00653C89">
          <w:rPr>
            <w:rStyle w:val="af2"/>
            <w:rFonts w:hint="eastAsia"/>
          </w:rPr>
          <w:t>文献综述与研究假设</w:t>
        </w:r>
        <w:r w:rsidRPr="00653C89">
          <w:rPr>
            <w:rFonts w:hint="eastAsia"/>
            <w:webHidden/>
          </w:rPr>
          <w:tab/>
        </w:r>
        <w:r w:rsidRPr="00653C89">
          <w:rPr>
            <w:rFonts w:hint="eastAsia"/>
            <w:webHidden/>
          </w:rPr>
          <w:fldChar w:fldCharType="begin"/>
        </w:r>
        <w:r w:rsidRPr="00653C89">
          <w:rPr>
            <w:rFonts w:hint="eastAsia"/>
            <w:webHidden/>
          </w:rPr>
          <w:instrText xml:space="preserve"> </w:instrText>
        </w:r>
        <w:r w:rsidRPr="00653C89">
          <w:rPr>
            <w:webHidden/>
          </w:rPr>
          <w:instrText>PAGEREF _Toc198286972 \h</w:instrText>
        </w:r>
        <w:r w:rsidRPr="00653C89">
          <w:rPr>
            <w:rFonts w:hint="eastAsia"/>
            <w:webHidden/>
          </w:rPr>
          <w:instrText xml:space="preserve"> </w:instrText>
        </w:r>
        <w:r w:rsidRPr="00653C89">
          <w:rPr>
            <w:rFonts w:hint="eastAsia"/>
            <w:webHidden/>
          </w:rPr>
        </w:r>
        <w:r w:rsidRPr="00653C89">
          <w:rPr>
            <w:rFonts w:hint="eastAsia"/>
            <w:webHidden/>
          </w:rPr>
          <w:fldChar w:fldCharType="separate"/>
        </w:r>
        <w:r w:rsidR="00AF2180">
          <w:rPr>
            <w:webHidden/>
          </w:rPr>
          <w:t>6</w:t>
        </w:r>
        <w:r w:rsidRPr="00653C89">
          <w:rPr>
            <w:rFonts w:hint="eastAsia"/>
            <w:webHidden/>
          </w:rPr>
          <w:fldChar w:fldCharType="end"/>
        </w:r>
      </w:hyperlink>
    </w:p>
    <w:p w14:paraId="39EB1F41" w14:textId="77C618EE"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73" w:history="1">
        <w:r w:rsidRPr="00653C89">
          <w:rPr>
            <w:rStyle w:val="af2"/>
            <w:rFonts w:ascii="Times New Roman" w:hAnsi="Times New Roman" w:hint="eastAsia"/>
            <w:noProof/>
          </w:rPr>
          <w:t xml:space="preserve">2.1 </w:t>
        </w:r>
        <w:r w:rsidRPr="00653C89">
          <w:rPr>
            <w:rStyle w:val="af2"/>
            <w:rFonts w:ascii="Times New Roman" w:hAnsi="Times New Roman" w:hint="eastAsia"/>
            <w:noProof/>
          </w:rPr>
          <w:t>组织资本</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_Toc198286973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6</w:t>
        </w:r>
        <w:r w:rsidRPr="00653C89">
          <w:rPr>
            <w:rFonts w:ascii="Times New Roman" w:hAnsi="Times New Roman" w:hint="eastAsia"/>
            <w:noProof/>
            <w:webHidden/>
          </w:rPr>
          <w:fldChar w:fldCharType="end"/>
        </w:r>
      </w:hyperlink>
    </w:p>
    <w:p w14:paraId="0C1ACE9E" w14:textId="64E6E13C"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74" w:history="1">
        <w:r w:rsidRPr="00653C89">
          <w:rPr>
            <w:rStyle w:val="af2"/>
            <w:rFonts w:ascii="Times New Roman" w:hAnsi="Times New Roman" w:hint="eastAsia"/>
            <w:noProof/>
          </w:rPr>
          <w:t xml:space="preserve">2.1.1 </w:t>
        </w:r>
        <w:r w:rsidRPr="00653C89">
          <w:rPr>
            <w:rStyle w:val="af2"/>
            <w:rFonts w:ascii="Times New Roman" w:hAnsi="Times New Roman" w:hint="eastAsia"/>
            <w:noProof/>
          </w:rPr>
          <w:t>组织资本的定义和理解</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_Toc198286974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6</w:t>
        </w:r>
        <w:r w:rsidRPr="00653C89">
          <w:rPr>
            <w:rFonts w:ascii="Times New Roman" w:hAnsi="Times New Roman" w:hint="eastAsia"/>
            <w:noProof/>
            <w:webHidden/>
          </w:rPr>
          <w:fldChar w:fldCharType="end"/>
        </w:r>
      </w:hyperlink>
    </w:p>
    <w:p w14:paraId="7B753A3E" w14:textId="3CDD9D54"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75" w:history="1">
        <w:r w:rsidRPr="00653C89">
          <w:rPr>
            <w:rStyle w:val="af2"/>
            <w:rFonts w:ascii="Times New Roman" w:hAnsi="Times New Roman" w:hint="eastAsia"/>
            <w:noProof/>
          </w:rPr>
          <w:t xml:space="preserve">2.1.2 </w:t>
        </w:r>
        <w:r w:rsidRPr="00653C89">
          <w:rPr>
            <w:rStyle w:val="af2"/>
            <w:rFonts w:ascii="Times New Roman" w:hAnsi="Times New Roman" w:hint="eastAsia"/>
            <w:noProof/>
          </w:rPr>
          <w:t>组织资本的测量</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_Toc198286975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8</w:t>
        </w:r>
        <w:r w:rsidRPr="00653C89">
          <w:rPr>
            <w:rFonts w:ascii="Times New Roman" w:hAnsi="Times New Roman" w:hint="eastAsia"/>
            <w:noProof/>
            <w:webHidden/>
          </w:rPr>
          <w:fldChar w:fldCharType="end"/>
        </w:r>
      </w:hyperlink>
    </w:p>
    <w:p w14:paraId="5B485B3A" w14:textId="4040F381"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76" w:history="1">
        <w:r w:rsidRPr="00653C89">
          <w:rPr>
            <w:rStyle w:val="af2"/>
            <w:rFonts w:ascii="Times New Roman" w:hAnsi="Times New Roman" w:hint="eastAsia"/>
            <w:noProof/>
          </w:rPr>
          <w:t xml:space="preserve">2.1.3 </w:t>
        </w:r>
        <w:r w:rsidRPr="00653C89">
          <w:rPr>
            <w:rStyle w:val="af2"/>
            <w:rFonts w:ascii="Times New Roman" w:hAnsi="Times New Roman" w:hint="eastAsia"/>
            <w:noProof/>
          </w:rPr>
          <w:t>组织资本对企业的影响</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_Toc198286976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9</w:t>
        </w:r>
        <w:r w:rsidRPr="00653C89">
          <w:rPr>
            <w:rFonts w:ascii="Times New Roman" w:hAnsi="Times New Roman" w:hint="eastAsia"/>
            <w:noProof/>
            <w:webHidden/>
          </w:rPr>
          <w:fldChar w:fldCharType="end"/>
        </w:r>
      </w:hyperlink>
    </w:p>
    <w:p w14:paraId="01E09FE8" w14:textId="6E4380E2"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77" w:history="1">
        <w:r w:rsidRPr="00653C89">
          <w:rPr>
            <w:rStyle w:val="af2"/>
            <w:rFonts w:ascii="Times New Roman" w:hAnsi="Times New Roman" w:hint="eastAsia"/>
            <w:noProof/>
          </w:rPr>
          <w:t xml:space="preserve">2.2 </w:t>
        </w:r>
        <w:r w:rsidRPr="00653C89">
          <w:rPr>
            <w:rStyle w:val="af2"/>
            <w:rFonts w:ascii="Times New Roman" w:hAnsi="Times New Roman" w:hint="eastAsia"/>
            <w:noProof/>
          </w:rPr>
          <w:t>董监高责任险</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_Toc198286977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11</w:t>
        </w:r>
        <w:r w:rsidRPr="00653C89">
          <w:rPr>
            <w:rFonts w:ascii="Times New Roman" w:hAnsi="Times New Roman" w:hint="eastAsia"/>
            <w:noProof/>
            <w:webHidden/>
          </w:rPr>
          <w:fldChar w:fldCharType="end"/>
        </w:r>
      </w:hyperlink>
    </w:p>
    <w:p w14:paraId="216346F9" w14:textId="5473B778"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78" w:history="1">
        <w:r w:rsidRPr="00653C89">
          <w:rPr>
            <w:rStyle w:val="af2"/>
            <w:rFonts w:ascii="Times New Roman" w:hAnsi="Times New Roman" w:hint="eastAsia"/>
            <w:noProof/>
          </w:rPr>
          <w:t xml:space="preserve">2.2.1 </w:t>
        </w:r>
        <w:r w:rsidRPr="00653C89">
          <w:rPr>
            <w:rStyle w:val="af2"/>
            <w:rFonts w:ascii="Times New Roman" w:hAnsi="Times New Roman" w:hint="eastAsia"/>
            <w:noProof/>
          </w:rPr>
          <w:t>董监高责任险的投保效益</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_Toc198286978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11</w:t>
        </w:r>
        <w:r w:rsidRPr="00653C89">
          <w:rPr>
            <w:rFonts w:ascii="Times New Roman" w:hAnsi="Times New Roman" w:hint="eastAsia"/>
            <w:noProof/>
            <w:webHidden/>
          </w:rPr>
          <w:fldChar w:fldCharType="end"/>
        </w:r>
      </w:hyperlink>
    </w:p>
    <w:p w14:paraId="78A68111" w14:textId="514308B5"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79" w:history="1">
        <w:r w:rsidRPr="00653C89">
          <w:rPr>
            <w:rStyle w:val="af2"/>
            <w:rFonts w:ascii="Times New Roman" w:hAnsi="Times New Roman" w:hint="eastAsia"/>
            <w:noProof/>
          </w:rPr>
          <w:t xml:space="preserve">2.2.2 </w:t>
        </w:r>
        <w:r w:rsidRPr="00653C89">
          <w:rPr>
            <w:rStyle w:val="af2"/>
            <w:rFonts w:ascii="Times New Roman" w:hAnsi="Times New Roman" w:hint="eastAsia"/>
            <w:noProof/>
          </w:rPr>
          <w:t>董监高责任险的投保动机</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_Toc198286979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12</w:t>
        </w:r>
        <w:r w:rsidRPr="00653C89">
          <w:rPr>
            <w:rFonts w:ascii="Times New Roman" w:hAnsi="Times New Roman" w:hint="eastAsia"/>
            <w:noProof/>
            <w:webHidden/>
          </w:rPr>
          <w:fldChar w:fldCharType="end"/>
        </w:r>
      </w:hyperlink>
    </w:p>
    <w:p w14:paraId="26B26C61" w14:textId="2C05806D"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80" w:history="1">
        <w:r w:rsidRPr="00653C89">
          <w:rPr>
            <w:rStyle w:val="af2"/>
            <w:rFonts w:ascii="Times New Roman" w:hAnsi="Times New Roman" w:hint="eastAsia"/>
            <w:noProof/>
          </w:rPr>
          <w:t xml:space="preserve">2.3 </w:t>
        </w:r>
        <w:r w:rsidRPr="00653C89">
          <w:rPr>
            <w:rStyle w:val="af2"/>
            <w:rFonts w:ascii="Times New Roman" w:hAnsi="Times New Roman" w:hint="eastAsia"/>
            <w:noProof/>
          </w:rPr>
          <w:t>理论基础与研究假设</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_Toc198286980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13</w:t>
        </w:r>
        <w:r w:rsidRPr="00653C89">
          <w:rPr>
            <w:rFonts w:ascii="Times New Roman" w:hAnsi="Times New Roman" w:hint="eastAsia"/>
            <w:noProof/>
            <w:webHidden/>
          </w:rPr>
          <w:fldChar w:fldCharType="end"/>
        </w:r>
      </w:hyperlink>
    </w:p>
    <w:p w14:paraId="25F47AD0" w14:textId="64A9653A"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81" w:history="1">
        <w:r w:rsidRPr="00653C89">
          <w:rPr>
            <w:rStyle w:val="af2"/>
            <w:rFonts w:ascii="Times New Roman" w:hAnsi="Times New Roman" w:hint="eastAsia"/>
            <w:noProof/>
          </w:rPr>
          <w:t xml:space="preserve">2.3.1 </w:t>
        </w:r>
        <w:r w:rsidRPr="00653C89">
          <w:rPr>
            <w:rStyle w:val="af2"/>
            <w:rFonts w:ascii="Times New Roman" w:hAnsi="Times New Roman" w:hint="eastAsia"/>
            <w:noProof/>
          </w:rPr>
          <w:t>理论基础</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_Toc198286981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13</w:t>
        </w:r>
        <w:r w:rsidRPr="00653C89">
          <w:rPr>
            <w:rFonts w:ascii="Times New Roman" w:hAnsi="Times New Roman" w:hint="eastAsia"/>
            <w:noProof/>
            <w:webHidden/>
          </w:rPr>
          <w:fldChar w:fldCharType="end"/>
        </w:r>
      </w:hyperlink>
    </w:p>
    <w:p w14:paraId="2F185288" w14:textId="1A54D132"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82" w:history="1">
        <w:r w:rsidRPr="00653C89">
          <w:rPr>
            <w:rStyle w:val="af2"/>
            <w:rFonts w:ascii="Times New Roman" w:hAnsi="Times New Roman" w:hint="eastAsia"/>
            <w:noProof/>
          </w:rPr>
          <w:t xml:space="preserve">2.3.2 </w:t>
        </w:r>
        <w:r w:rsidRPr="00653C89">
          <w:rPr>
            <w:rStyle w:val="af2"/>
            <w:rFonts w:ascii="Times New Roman" w:hAnsi="Times New Roman" w:hint="eastAsia"/>
            <w:noProof/>
          </w:rPr>
          <w:t>理论分析与研究假设</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_Toc198286982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14</w:t>
        </w:r>
        <w:r w:rsidRPr="00653C89">
          <w:rPr>
            <w:rFonts w:ascii="Times New Roman" w:hAnsi="Times New Roman" w:hint="eastAsia"/>
            <w:noProof/>
            <w:webHidden/>
          </w:rPr>
          <w:fldChar w:fldCharType="end"/>
        </w:r>
      </w:hyperlink>
    </w:p>
    <w:p w14:paraId="5323047F" w14:textId="2C4FB81C" w:rsidR="00653C89" w:rsidRPr="00653C89" w:rsidRDefault="00653C89" w:rsidP="00477FFD">
      <w:pPr>
        <w:pStyle w:val="TOC1"/>
        <w:rPr>
          <w:rFonts w:eastAsiaTheme="minorEastAsia" w:cstheme="minorBidi"/>
          <w:kern w:val="2"/>
          <w:sz w:val="22"/>
          <w:szCs w:val="24"/>
          <w14:ligatures w14:val="standardContextual"/>
        </w:rPr>
      </w:pPr>
      <w:hyperlink w:anchor="_Toc198286983" w:history="1">
        <w:r w:rsidRPr="00653C89">
          <w:rPr>
            <w:rStyle w:val="af2"/>
            <w:rFonts w:hint="eastAsia"/>
          </w:rPr>
          <w:t>第三章</w:t>
        </w:r>
        <w:r w:rsidRPr="00653C89">
          <w:rPr>
            <w:rStyle w:val="af2"/>
            <w:rFonts w:hint="eastAsia"/>
          </w:rPr>
          <w:t xml:space="preserve"> </w:t>
        </w:r>
        <w:r w:rsidRPr="00653C89">
          <w:rPr>
            <w:rStyle w:val="af2"/>
            <w:rFonts w:hint="eastAsia"/>
          </w:rPr>
          <w:t>研究设计</w:t>
        </w:r>
        <w:r w:rsidRPr="00653C89">
          <w:rPr>
            <w:rFonts w:hint="eastAsia"/>
            <w:webHidden/>
          </w:rPr>
          <w:tab/>
        </w:r>
        <w:r w:rsidRPr="00653C89">
          <w:rPr>
            <w:rFonts w:hint="eastAsia"/>
            <w:webHidden/>
          </w:rPr>
          <w:fldChar w:fldCharType="begin"/>
        </w:r>
        <w:r w:rsidRPr="00653C89">
          <w:rPr>
            <w:rFonts w:hint="eastAsia"/>
            <w:webHidden/>
          </w:rPr>
          <w:instrText xml:space="preserve"> </w:instrText>
        </w:r>
        <w:r w:rsidRPr="00653C89">
          <w:rPr>
            <w:webHidden/>
          </w:rPr>
          <w:instrText>PAGEREF _Toc198286983 \h</w:instrText>
        </w:r>
        <w:r w:rsidRPr="00653C89">
          <w:rPr>
            <w:rFonts w:hint="eastAsia"/>
            <w:webHidden/>
          </w:rPr>
          <w:instrText xml:space="preserve"> </w:instrText>
        </w:r>
        <w:r w:rsidRPr="00653C89">
          <w:rPr>
            <w:rFonts w:hint="eastAsia"/>
            <w:webHidden/>
          </w:rPr>
        </w:r>
        <w:r w:rsidRPr="00653C89">
          <w:rPr>
            <w:rFonts w:hint="eastAsia"/>
            <w:webHidden/>
          </w:rPr>
          <w:fldChar w:fldCharType="separate"/>
        </w:r>
        <w:r w:rsidR="00AF2180">
          <w:rPr>
            <w:webHidden/>
          </w:rPr>
          <w:t>18</w:t>
        </w:r>
        <w:r w:rsidRPr="00653C89">
          <w:rPr>
            <w:rFonts w:hint="eastAsia"/>
            <w:webHidden/>
          </w:rPr>
          <w:fldChar w:fldCharType="end"/>
        </w:r>
      </w:hyperlink>
    </w:p>
    <w:p w14:paraId="017054DB" w14:textId="65FA52D0"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84" w:history="1">
        <w:r w:rsidRPr="00653C89">
          <w:rPr>
            <w:rStyle w:val="af2"/>
            <w:rFonts w:ascii="Times New Roman" w:hAnsi="Times New Roman" w:hint="eastAsia"/>
            <w:noProof/>
          </w:rPr>
          <w:t xml:space="preserve">3.1 </w:t>
        </w:r>
        <w:r w:rsidRPr="00653C89">
          <w:rPr>
            <w:rStyle w:val="af2"/>
            <w:rFonts w:ascii="Times New Roman" w:hAnsi="Times New Roman" w:hint="eastAsia"/>
            <w:noProof/>
          </w:rPr>
          <w:t>样本选取与变量设定</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_Toc198286984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18</w:t>
        </w:r>
        <w:r w:rsidRPr="00653C89">
          <w:rPr>
            <w:rFonts w:ascii="Times New Roman" w:hAnsi="Times New Roman" w:hint="eastAsia"/>
            <w:noProof/>
            <w:webHidden/>
          </w:rPr>
          <w:fldChar w:fldCharType="end"/>
        </w:r>
      </w:hyperlink>
    </w:p>
    <w:p w14:paraId="4D740B6E" w14:textId="113170FD"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85" w:history="1">
        <w:r w:rsidRPr="00653C89">
          <w:rPr>
            <w:rStyle w:val="af2"/>
            <w:rFonts w:ascii="Times New Roman" w:hAnsi="Times New Roman" w:hint="eastAsia"/>
            <w:noProof/>
          </w:rPr>
          <w:t xml:space="preserve">3.1.1 </w:t>
        </w:r>
        <w:r w:rsidRPr="00653C89">
          <w:rPr>
            <w:rStyle w:val="af2"/>
            <w:rFonts w:ascii="Times New Roman" w:hAnsi="Times New Roman" w:hint="eastAsia"/>
            <w:noProof/>
          </w:rPr>
          <w:t>样本选取</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_Toc198286985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18</w:t>
        </w:r>
        <w:r w:rsidRPr="00653C89">
          <w:rPr>
            <w:rFonts w:ascii="Times New Roman" w:hAnsi="Times New Roman" w:hint="eastAsia"/>
            <w:noProof/>
            <w:webHidden/>
          </w:rPr>
          <w:fldChar w:fldCharType="end"/>
        </w:r>
      </w:hyperlink>
    </w:p>
    <w:p w14:paraId="77E76BCD" w14:textId="11A9457B"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86" w:history="1">
        <w:r w:rsidRPr="00653C89">
          <w:rPr>
            <w:rStyle w:val="af2"/>
            <w:rFonts w:ascii="Times New Roman" w:hAnsi="Times New Roman" w:hint="eastAsia"/>
            <w:noProof/>
          </w:rPr>
          <w:t xml:space="preserve">3.1.2 </w:t>
        </w:r>
        <w:r w:rsidRPr="00653C89">
          <w:rPr>
            <w:rStyle w:val="af2"/>
            <w:rFonts w:ascii="Times New Roman" w:hAnsi="Times New Roman" w:hint="eastAsia"/>
            <w:noProof/>
          </w:rPr>
          <w:t>组织资本变量设定</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_Toc198286986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18</w:t>
        </w:r>
        <w:r w:rsidRPr="00653C89">
          <w:rPr>
            <w:rFonts w:ascii="Times New Roman" w:hAnsi="Times New Roman" w:hint="eastAsia"/>
            <w:noProof/>
            <w:webHidden/>
          </w:rPr>
          <w:fldChar w:fldCharType="end"/>
        </w:r>
      </w:hyperlink>
    </w:p>
    <w:p w14:paraId="041F91E9" w14:textId="67BEE11D"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87" w:history="1">
        <w:r w:rsidRPr="00653C89">
          <w:rPr>
            <w:rStyle w:val="af2"/>
            <w:rFonts w:ascii="Times New Roman" w:hAnsi="Times New Roman" w:hint="eastAsia"/>
            <w:noProof/>
          </w:rPr>
          <w:t xml:space="preserve">3.1.3 </w:t>
        </w:r>
        <w:r w:rsidRPr="00653C89">
          <w:rPr>
            <w:rStyle w:val="af2"/>
            <w:rFonts w:ascii="Times New Roman" w:hAnsi="Times New Roman" w:hint="eastAsia"/>
            <w:noProof/>
          </w:rPr>
          <w:t>董监高责任险的投保意向变量设定</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_Toc198286987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19</w:t>
        </w:r>
        <w:r w:rsidRPr="00653C89">
          <w:rPr>
            <w:rFonts w:ascii="Times New Roman" w:hAnsi="Times New Roman" w:hint="eastAsia"/>
            <w:noProof/>
            <w:webHidden/>
          </w:rPr>
          <w:fldChar w:fldCharType="end"/>
        </w:r>
      </w:hyperlink>
    </w:p>
    <w:p w14:paraId="4A2D43A1" w14:textId="3FCD3003"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88" w:history="1">
        <w:r w:rsidRPr="00653C89">
          <w:rPr>
            <w:rStyle w:val="af2"/>
            <w:rFonts w:ascii="Times New Roman" w:hAnsi="Times New Roman" w:hint="eastAsia"/>
            <w:noProof/>
          </w:rPr>
          <w:t xml:space="preserve">3.1.4 </w:t>
        </w:r>
        <w:r w:rsidRPr="00653C89">
          <w:rPr>
            <w:rStyle w:val="af2"/>
            <w:rFonts w:ascii="Times New Roman" w:hAnsi="Times New Roman" w:hint="eastAsia"/>
            <w:noProof/>
          </w:rPr>
          <w:t>控制变量设定</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_Toc198286988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20</w:t>
        </w:r>
        <w:r w:rsidRPr="00653C89">
          <w:rPr>
            <w:rFonts w:ascii="Times New Roman" w:hAnsi="Times New Roman" w:hint="eastAsia"/>
            <w:noProof/>
            <w:webHidden/>
          </w:rPr>
          <w:fldChar w:fldCharType="end"/>
        </w:r>
      </w:hyperlink>
    </w:p>
    <w:p w14:paraId="458842DE" w14:textId="499BED61"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89" w:history="1">
        <w:r w:rsidRPr="00653C89">
          <w:rPr>
            <w:rStyle w:val="af2"/>
            <w:rFonts w:ascii="Times New Roman" w:hAnsi="Times New Roman" w:hint="eastAsia"/>
            <w:noProof/>
          </w:rPr>
          <w:t xml:space="preserve">3.2 </w:t>
        </w:r>
        <w:r w:rsidRPr="00653C89">
          <w:rPr>
            <w:rStyle w:val="af2"/>
            <w:rFonts w:ascii="Times New Roman" w:hAnsi="Times New Roman" w:hint="eastAsia"/>
            <w:noProof/>
          </w:rPr>
          <w:t>模型构建</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_Toc198286989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21</w:t>
        </w:r>
        <w:r w:rsidRPr="00653C89">
          <w:rPr>
            <w:rFonts w:ascii="Times New Roman" w:hAnsi="Times New Roman" w:hint="eastAsia"/>
            <w:noProof/>
            <w:webHidden/>
          </w:rPr>
          <w:fldChar w:fldCharType="end"/>
        </w:r>
      </w:hyperlink>
    </w:p>
    <w:p w14:paraId="177A0E26" w14:textId="40ADA1DA"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90" w:history="1">
        <w:r w:rsidRPr="00653C89">
          <w:rPr>
            <w:rStyle w:val="af2"/>
            <w:rFonts w:ascii="Times New Roman" w:hAnsi="Times New Roman" w:hint="eastAsia"/>
            <w:noProof/>
          </w:rPr>
          <w:t xml:space="preserve">3.3 </w:t>
        </w:r>
        <w:r w:rsidRPr="00653C89">
          <w:rPr>
            <w:rStyle w:val="af2"/>
            <w:rFonts w:ascii="Times New Roman" w:hAnsi="Times New Roman" w:hint="eastAsia"/>
            <w:noProof/>
          </w:rPr>
          <w:t>描述性统计</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_Toc198286990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22</w:t>
        </w:r>
        <w:r w:rsidRPr="00653C89">
          <w:rPr>
            <w:rFonts w:ascii="Times New Roman" w:hAnsi="Times New Roman" w:hint="eastAsia"/>
            <w:noProof/>
            <w:webHidden/>
          </w:rPr>
          <w:fldChar w:fldCharType="end"/>
        </w:r>
      </w:hyperlink>
    </w:p>
    <w:p w14:paraId="407D96EE" w14:textId="53ED6049" w:rsidR="00653C89" w:rsidRPr="00653C89" w:rsidRDefault="00653C89" w:rsidP="00477FFD">
      <w:pPr>
        <w:pStyle w:val="TOC1"/>
        <w:rPr>
          <w:rFonts w:eastAsiaTheme="minorEastAsia" w:cstheme="minorBidi"/>
          <w:kern w:val="2"/>
          <w:sz w:val="22"/>
          <w:szCs w:val="24"/>
          <w14:ligatures w14:val="standardContextual"/>
        </w:rPr>
      </w:pPr>
      <w:hyperlink w:anchor="_Toc198286991" w:history="1">
        <w:r w:rsidRPr="00653C89">
          <w:rPr>
            <w:rStyle w:val="af2"/>
            <w:rFonts w:hint="eastAsia"/>
          </w:rPr>
          <w:t>第四章</w:t>
        </w:r>
        <w:r w:rsidRPr="00653C89">
          <w:rPr>
            <w:rStyle w:val="af2"/>
            <w:rFonts w:hint="eastAsia"/>
          </w:rPr>
          <w:t xml:space="preserve"> </w:t>
        </w:r>
        <w:r w:rsidRPr="00653C89">
          <w:rPr>
            <w:rStyle w:val="af2"/>
            <w:rFonts w:hint="eastAsia"/>
          </w:rPr>
          <w:t>实证分析</w:t>
        </w:r>
        <w:r w:rsidRPr="00653C89">
          <w:rPr>
            <w:rFonts w:hint="eastAsia"/>
            <w:webHidden/>
          </w:rPr>
          <w:tab/>
        </w:r>
        <w:r w:rsidRPr="00653C89">
          <w:rPr>
            <w:rFonts w:hint="eastAsia"/>
            <w:webHidden/>
          </w:rPr>
          <w:fldChar w:fldCharType="begin"/>
        </w:r>
        <w:r w:rsidRPr="00653C89">
          <w:rPr>
            <w:rFonts w:hint="eastAsia"/>
            <w:webHidden/>
          </w:rPr>
          <w:instrText xml:space="preserve"> </w:instrText>
        </w:r>
        <w:r w:rsidRPr="00653C89">
          <w:rPr>
            <w:webHidden/>
          </w:rPr>
          <w:instrText>PAGEREF _Toc198286991 \h</w:instrText>
        </w:r>
        <w:r w:rsidRPr="00653C89">
          <w:rPr>
            <w:rFonts w:hint="eastAsia"/>
            <w:webHidden/>
          </w:rPr>
          <w:instrText xml:space="preserve"> </w:instrText>
        </w:r>
        <w:r w:rsidRPr="00653C89">
          <w:rPr>
            <w:rFonts w:hint="eastAsia"/>
            <w:webHidden/>
          </w:rPr>
        </w:r>
        <w:r w:rsidRPr="00653C89">
          <w:rPr>
            <w:rFonts w:hint="eastAsia"/>
            <w:webHidden/>
          </w:rPr>
          <w:fldChar w:fldCharType="separate"/>
        </w:r>
        <w:r w:rsidR="00AF2180">
          <w:rPr>
            <w:webHidden/>
          </w:rPr>
          <w:t>23</w:t>
        </w:r>
        <w:r w:rsidRPr="00653C89">
          <w:rPr>
            <w:rFonts w:hint="eastAsia"/>
            <w:webHidden/>
          </w:rPr>
          <w:fldChar w:fldCharType="end"/>
        </w:r>
      </w:hyperlink>
    </w:p>
    <w:p w14:paraId="2D13FB1C" w14:textId="40AD9513"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92" w:history="1">
        <w:r w:rsidRPr="00653C89">
          <w:rPr>
            <w:rStyle w:val="af2"/>
            <w:rFonts w:ascii="Times New Roman" w:hAnsi="Times New Roman" w:hint="eastAsia"/>
            <w:noProof/>
          </w:rPr>
          <w:t xml:space="preserve">4.1 </w:t>
        </w:r>
        <w:r w:rsidRPr="00653C89">
          <w:rPr>
            <w:rStyle w:val="af2"/>
            <w:rFonts w:ascii="Times New Roman" w:hAnsi="Times New Roman" w:hint="eastAsia"/>
            <w:noProof/>
          </w:rPr>
          <w:t>基准结果</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_Toc198286992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23</w:t>
        </w:r>
        <w:r w:rsidRPr="00653C89">
          <w:rPr>
            <w:rFonts w:ascii="Times New Roman" w:hAnsi="Times New Roman" w:hint="eastAsia"/>
            <w:noProof/>
            <w:webHidden/>
          </w:rPr>
          <w:fldChar w:fldCharType="end"/>
        </w:r>
      </w:hyperlink>
    </w:p>
    <w:p w14:paraId="7295220F" w14:textId="6076DBF8"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93" w:history="1">
        <w:r w:rsidRPr="00653C89">
          <w:rPr>
            <w:rStyle w:val="af2"/>
            <w:rFonts w:ascii="Times New Roman" w:hAnsi="Times New Roman" w:hint="eastAsia"/>
            <w:noProof/>
          </w:rPr>
          <w:t xml:space="preserve">4.2 </w:t>
        </w:r>
        <w:r w:rsidRPr="00653C89">
          <w:rPr>
            <w:rStyle w:val="af2"/>
            <w:rFonts w:ascii="Times New Roman" w:hAnsi="Times New Roman" w:hint="eastAsia"/>
            <w:noProof/>
          </w:rPr>
          <w:t>内生性问题的处理</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_Toc198286993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25</w:t>
        </w:r>
        <w:r w:rsidRPr="00653C89">
          <w:rPr>
            <w:rFonts w:ascii="Times New Roman" w:hAnsi="Times New Roman" w:hint="eastAsia"/>
            <w:noProof/>
            <w:webHidden/>
          </w:rPr>
          <w:fldChar w:fldCharType="end"/>
        </w:r>
      </w:hyperlink>
    </w:p>
    <w:p w14:paraId="5E487ED3" w14:textId="4A787060"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94" w:history="1">
        <w:r w:rsidRPr="00653C89">
          <w:rPr>
            <w:rStyle w:val="af2"/>
            <w:rFonts w:ascii="Times New Roman" w:hAnsi="Times New Roman" w:hint="eastAsia"/>
            <w:noProof/>
          </w:rPr>
          <w:t xml:space="preserve">4.2.1 </w:t>
        </w:r>
        <w:r w:rsidRPr="00653C89">
          <w:rPr>
            <w:rStyle w:val="af2"/>
            <w:rFonts w:ascii="Times New Roman" w:hAnsi="Times New Roman" w:hint="eastAsia"/>
            <w:noProof/>
          </w:rPr>
          <w:t>工具变量法</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_Toc198286994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25</w:t>
        </w:r>
        <w:r w:rsidRPr="00653C89">
          <w:rPr>
            <w:rFonts w:ascii="Times New Roman" w:hAnsi="Times New Roman" w:hint="eastAsia"/>
            <w:noProof/>
            <w:webHidden/>
          </w:rPr>
          <w:fldChar w:fldCharType="end"/>
        </w:r>
      </w:hyperlink>
    </w:p>
    <w:p w14:paraId="1E365BB7" w14:textId="736B6C2F"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95" w:history="1">
        <w:r w:rsidRPr="00653C89">
          <w:rPr>
            <w:rStyle w:val="af2"/>
            <w:rFonts w:ascii="Times New Roman" w:hAnsi="Times New Roman" w:hint="eastAsia"/>
            <w:noProof/>
          </w:rPr>
          <w:t>4.2.2 Heckman</w:t>
        </w:r>
        <w:r w:rsidRPr="00653C89">
          <w:rPr>
            <w:rStyle w:val="af2"/>
            <w:rFonts w:ascii="Times New Roman" w:hAnsi="Times New Roman" w:hint="eastAsia"/>
            <w:noProof/>
          </w:rPr>
          <w:t>二阶段和</w:t>
        </w:r>
        <w:r w:rsidRPr="00653C89">
          <w:rPr>
            <w:rStyle w:val="af2"/>
            <w:rFonts w:ascii="Times New Roman" w:hAnsi="Times New Roman" w:hint="eastAsia"/>
            <w:noProof/>
          </w:rPr>
          <w:t>PSM</w:t>
        </w:r>
        <w:r w:rsidRPr="00653C89">
          <w:rPr>
            <w:rStyle w:val="af2"/>
            <w:rFonts w:ascii="Times New Roman" w:hAnsi="Times New Roman" w:hint="eastAsia"/>
            <w:noProof/>
          </w:rPr>
          <w:t>法</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_Toc198286995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27</w:t>
        </w:r>
        <w:r w:rsidRPr="00653C89">
          <w:rPr>
            <w:rFonts w:ascii="Times New Roman" w:hAnsi="Times New Roman" w:hint="eastAsia"/>
            <w:noProof/>
            <w:webHidden/>
          </w:rPr>
          <w:fldChar w:fldCharType="end"/>
        </w:r>
      </w:hyperlink>
    </w:p>
    <w:p w14:paraId="26694703" w14:textId="698EA925"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6996" w:history="1">
        <w:r w:rsidRPr="00653C89">
          <w:rPr>
            <w:rStyle w:val="af2"/>
            <w:rFonts w:ascii="Times New Roman" w:hAnsi="Times New Roman" w:hint="eastAsia"/>
            <w:noProof/>
          </w:rPr>
          <w:t xml:space="preserve">4.3 </w:t>
        </w:r>
        <w:r w:rsidRPr="00653C89">
          <w:rPr>
            <w:rStyle w:val="af2"/>
            <w:rFonts w:ascii="Times New Roman" w:hAnsi="Times New Roman" w:hint="eastAsia"/>
            <w:noProof/>
          </w:rPr>
          <w:t>机制检验</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_Toc198286996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30</w:t>
        </w:r>
        <w:r w:rsidRPr="00653C89">
          <w:rPr>
            <w:rFonts w:ascii="Times New Roman" w:hAnsi="Times New Roman" w:hint="eastAsia"/>
            <w:noProof/>
            <w:webHidden/>
          </w:rPr>
          <w:fldChar w:fldCharType="end"/>
        </w:r>
      </w:hyperlink>
    </w:p>
    <w:p w14:paraId="2FD5F52A" w14:textId="7BBC0214"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97" w:history="1">
        <w:r w:rsidRPr="00653C89">
          <w:rPr>
            <w:rStyle w:val="af2"/>
            <w:rFonts w:ascii="Times New Roman" w:hAnsi="Times New Roman" w:hint="eastAsia"/>
            <w:noProof/>
          </w:rPr>
          <w:t xml:space="preserve">4.3.1 </w:t>
        </w:r>
        <w:r w:rsidRPr="00653C89">
          <w:rPr>
            <w:rStyle w:val="af2"/>
            <w:rFonts w:ascii="Times New Roman" w:hAnsi="Times New Roman" w:hint="eastAsia"/>
            <w:noProof/>
          </w:rPr>
          <w:t>双重委托代理机制</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_Toc198286997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30</w:t>
        </w:r>
        <w:r w:rsidRPr="00653C89">
          <w:rPr>
            <w:rFonts w:ascii="Times New Roman" w:hAnsi="Times New Roman" w:hint="eastAsia"/>
            <w:noProof/>
            <w:webHidden/>
          </w:rPr>
          <w:fldChar w:fldCharType="end"/>
        </w:r>
      </w:hyperlink>
    </w:p>
    <w:p w14:paraId="3E2B1324" w14:textId="3E312CC3"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6998" w:history="1">
        <w:r w:rsidRPr="00653C89">
          <w:rPr>
            <w:rStyle w:val="af2"/>
            <w:rFonts w:ascii="Times New Roman" w:hAnsi="Times New Roman" w:hint="eastAsia"/>
            <w:noProof/>
          </w:rPr>
          <w:t xml:space="preserve">4.3.2 </w:t>
        </w:r>
        <w:r w:rsidRPr="00653C89">
          <w:rPr>
            <w:rStyle w:val="af2"/>
            <w:rFonts w:ascii="Times New Roman" w:hAnsi="Times New Roman" w:hint="eastAsia"/>
            <w:noProof/>
          </w:rPr>
          <w:t>投资者关注度机制</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_Toc198286998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33</w:t>
        </w:r>
        <w:r w:rsidRPr="00653C89">
          <w:rPr>
            <w:rFonts w:ascii="Times New Roman" w:hAnsi="Times New Roman" w:hint="eastAsia"/>
            <w:noProof/>
            <w:webHidden/>
          </w:rPr>
          <w:fldChar w:fldCharType="end"/>
        </w:r>
      </w:hyperlink>
    </w:p>
    <w:p w14:paraId="158A1F7A" w14:textId="2AC92233" w:rsidR="00653C89" w:rsidRPr="00653C89" w:rsidRDefault="00653C89" w:rsidP="00477FFD">
      <w:pPr>
        <w:pStyle w:val="TOC1"/>
        <w:rPr>
          <w:rFonts w:eastAsiaTheme="minorEastAsia" w:cstheme="minorBidi"/>
          <w:kern w:val="2"/>
          <w:sz w:val="22"/>
          <w:szCs w:val="24"/>
          <w14:ligatures w14:val="standardContextual"/>
        </w:rPr>
      </w:pPr>
      <w:hyperlink w:anchor="_Toc198286999" w:history="1">
        <w:r w:rsidRPr="00653C89">
          <w:rPr>
            <w:rStyle w:val="af2"/>
            <w:rFonts w:hint="eastAsia"/>
          </w:rPr>
          <w:t>第五章</w:t>
        </w:r>
        <w:r w:rsidRPr="00653C89">
          <w:rPr>
            <w:rStyle w:val="af2"/>
            <w:rFonts w:hint="eastAsia"/>
          </w:rPr>
          <w:t xml:space="preserve"> </w:t>
        </w:r>
        <w:r w:rsidRPr="00653C89">
          <w:rPr>
            <w:rStyle w:val="af2"/>
            <w:rFonts w:hint="eastAsia"/>
          </w:rPr>
          <w:t>进一步分析</w:t>
        </w:r>
        <w:r w:rsidRPr="00653C89">
          <w:rPr>
            <w:rFonts w:hint="eastAsia"/>
            <w:webHidden/>
          </w:rPr>
          <w:tab/>
        </w:r>
        <w:r w:rsidRPr="00653C89">
          <w:rPr>
            <w:rFonts w:hint="eastAsia"/>
            <w:webHidden/>
          </w:rPr>
          <w:fldChar w:fldCharType="begin"/>
        </w:r>
        <w:r w:rsidRPr="00653C89">
          <w:rPr>
            <w:rFonts w:hint="eastAsia"/>
            <w:webHidden/>
          </w:rPr>
          <w:instrText xml:space="preserve"> </w:instrText>
        </w:r>
        <w:r w:rsidRPr="00653C89">
          <w:rPr>
            <w:webHidden/>
          </w:rPr>
          <w:instrText>PAGEREF _Toc198286999 \h</w:instrText>
        </w:r>
        <w:r w:rsidRPr="00653C89">
          <w:rPr>
            <w:rFonts w:hint="eastAsia"/>
            <w:webHidden/>
          </w:rPr>
          <w:instrText xml:space="preserve"> </w:instrText>
        </w:r>
        <w:r w:rsidRPr="00653C89">
          <w:rPr>
            <w:rFonts w:hint="eastAsia"/>
            <w:webHidden/>
          </w:rPr>
        </w:r>
        <w:r w:rsidRPr="00653C89">
          <w:rPr>
            <w:rFonts w:hint="eastAsia"/>
            <w:webHidden/>
          </w:rPr>
          <w:fldChar w:fldCharType="separate"/>
        </w:r>
        <w:r w:rsidR="00AF2180">
          <w:rPr>
            <w:webHidden/>
          </w:rPr>
          <w:t>35</w:t>
        </w:r>
        <w:r w:rsidRPr="00653C89">
          <w:rPr>
            <w:rFonts w:hint="eastAsia"/>
            <w:webHidden/>
          </w:rPr>
          <w:fldChar w:fldCharType="end"/>
        </w:r>
      </w:hyperlink>
    </w:p>
    <w:p w14:paraId="6EE6452A" w14:textId="6E40F719"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7000" w:history="1">
        <w:r w:rsidRPr="00653C89">
          <w:rPr>
            <w:rStyle w:val="af2"/>
            <w:rFonts w:ascii="Times New Roman" w:hAnsi="Times New Roman" w:hint="eastAsia"/>
            <w:noProof/>
          </w:rPr>
          <w:t xml:space="preserve">5.1 </w:t>
        </w:r>
        <w:r w:rsidRPr="00653C89">
          <w:rPr>
            <w:rStyle w:val="af2"/>
            <w:rFonts w:ascii="Times New Roman" w:hAnsi="Times New Roman" w:hint="eastAsia"/>
            <w:noProof/>
          </w:rPr>
          <w:t>异质性分析</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_Toc198287000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35</w:t>
        </w:r>
        <w:r w:rsidRPr="00653C89">
          <w:rPr>
            <w:rFonts w:ascii="Times New Roman" w:hAnsi="Times New Roman" w:hint="eastAsia"/>
            <w:noProof/>
            <w:webHidden/>
          </w:rPr>
          <w:fldChar w:fldCharType="end"/>
        </w:r>
      </w:hyperlink>
    </w:p>
    <w:p w14:paraId="12F83ECB" w14:textId="39018C8E"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7001" w:history="1">
        <w:r w:rsidRPr="00653C89">
          <w:rPr>
            <w:rStyle w:val="af2"/>
            <w:rFonts w:ascii="Times New Roman" w:hAnsi="Times New Roman" w:hint="eastAsia"/>
            <w:noProof/>
          </w:rPr>
          <w:t xml:space="preserve">5.1.1 </w:t>
        </w:r>
        <w:r w:rsidRPr="00653C89">
          <w:rPr>
            <w:rStyle w:val="af2"/>
            <w:rFonts w:ascii="Times New Roman" w:hAnsi="Times New Roman" w:hint="eastAsia"/>
            <w:noProof/>
          </w:rPr>
          <w:t>按公司特征分析</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_Toc198287001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35</w:t>
        </w:r>
        <w:r w:rsidRPr="00653C89">
          <w:rPr>
            <w:rFonts w:ascii="Times New Roman" w:hAnsi="Times New Roman" w:hint="eastAsia"/>
            <w:noProof/>
            <w:webHidden/>
          </w:rPr>
          <w:fldChar w:fldCharType="end"/>
        </w:r>
      </w:hyperlink>
    </w:p>
    <w:p w14:paraId="588D9FD3" w14:textId="5E055DEC"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7002" w:history="1">
        <w:r w:rsidRPr="00653C89">
          <w:rPr>
            <w:rStyle w:val="af2"/>
            <w:rFonts w:ascii="Times New Roman" w:hAnsi="Times New Roman" w:hint="eastAsia"/>
            <w:noProof/>
          </w:rPr>
          <w:t xml:space="preserve">5.1.2 </w:t>
        </w:r>
        <w:r w:rsidRPr="00653C89">
          <w:rPr>
            <w:rStyle w:val="af2"/>
            <w:rFonts w:ascii="Times New Roman" w:hAnsi="Times New Roman" w:hint="eastAsia"/>
            <w:noProof/>
          </w:rPr>
          <w:t>按行业特征分析</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_Toc198287002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37</w:t>
        </w:r>
        <w:r w:rsidRPr="00653C89">
          <w:rPr>
            <w:rFonts w:ascii="Times New Roman" w:hAnsi="Times New Roman" w:hint="eastAsia"/>
            <w:noProof/>
            <w:webHidden/>
          </w:rPr>
          <w:fldChar w:fldCharType="end"/>
        </w:r>
      </w:hyperlink>
    </w:p>
    <w:p w14:paraId="4C3956B1" w14:textId="4E28BF27"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7003" w:history="1">
        <w:r w:rsidRPr="00653C89">
          <w:rPr>
            <w:rStyle w:val="af2"/>
            <w:rFonts w:ascii="Times New Roman" w:hAnsi="Times New Roman" w:hint="eastAsia"/>
            <w:noProof/>
          </w:rPr>
          <w:t xml:space="preserve">5.2 </w:t>
        </w:r>
        <w:r w:rsidRPr="00653C89">
          <w:rPr>
            <w:rStyle w:val="af2"/>
            <w:rFonts w:ascii="Times New Roman" w:hAnsi="Times New Roman" w:hint="eastAsia"/>
            <w:noProof/>
          </w:rPr>
          <w:t>稳健性检验</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_Toc198287003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39</w:t>
        </w:r>
        <w:r w:rsidRPr="00653C89">
          <w:rPr>
            <w:rFonts w:ascii="Times New Roman" w:hAnsi="Times New Roman" w:hint="eastAsia"/>
            <w:noProof/>
            <w:webHidden/>
          </w:rPr>
          <w:fldChar w:fldCharType="end"/>
        </w:r>
      </w:hyperlink>
    </w:p>
    <w:p w14:paraId="4EBF9380" w14:textId="2B7B5CF1"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7004" w:history="1">
        <w:r w:rsidRPr="00653C89">
          <w:rPr>
            <w:rStyle w:val="af2"/>
            <w:rFonts w:ascii="Times New Roman" w:hAnsi="Times New Roman" w:hint="eastAsia"/>
            <w:noProof/>
          </w:rPr>
          <w:t xml:space="preserve">5.2.1 </w:t>
        </w:r>
        <w:r w:rsidRPr="00653C89">
          <w:rPr>
            <w:rStyle w:val="af2"/>
            <w:rFonts w:ascii="Times New Roman" w:hAnsi="Times New Roman" w:hint="eastAsia"/>
            <w:noProof/>
          </w:rPr>
          <w:t>替换组织资本</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_Toc198287004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39</w:t>
        </w:r>
        <w:r w:rsidRPr="00653C89">
          <w:rPr>
            <w:rFonts w:ascii="Times New Roman" w:hAnsi="Times New Roman" w:hint="eastAsia"/>
            <w:noProof/>
            <w:webHidden/>
          </w:rPr>
          <w:fldChar w:fldCharType="end"/>
        </w:r>
      </w:hyperlink>
    </w:p>
    <w:p w14:paraId="268A6F1E" w14:textId="1B09287F" w:rsidR="00653C89" w:rsidRPr="00653C89" w:rsidRDefault="00653C89">
      <w:pPr>
        <w:pStyle w:val="TOC3"/>
        <w:tabs>
          <w:tab w:val="right" w:leader="dot" w:pos="8296"/>
        </w:tabs>
        <w:rPr>
          <w:rFonts w:ascii="Times New Roman" w:eastAsiaTheme="minorEastAsia" w:hAnsi="Times New Roman" w:cstheme="minorBidi"/>
          <w:noProof/>
          <w:kern w:val="2"/>
          <w:sz w:val="22"/>
          <w:szCs w:val="24"/>
          <w14:ligatures w14:val="standardContextual"/>
        </w:rPr>
      </w:pPr>
      <w:hyperlink w:anchor="_Toc198287005" w:history="1">
        <w:r w:rsidRPr="00653C89">
          <w:rPr>
            <w:rStyle w:val="af2"/>
            <w:rFonts w:ascii="Times New Roman" w:hAnsi="Times New Roman" w:hint="eastAsia"/>
            <w:noProof/>
          </w:rPr>
          <w:t xml:space="preserve">5.2.2 </w:t>
        </w:r>
        <w:r w:rsidRPr="00653C89">
          <w:rPr>
            <w:rStyle w:val="af2"/>
            <w:rFonts w:ascii="Times New Roman" w:hAnsi="Times New Roman" w:hint="eastAsia"/>
            <w:noProof/>
          </w:rPr>
          <w:t>替换董监高责任险</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_Toc198287005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41</w:t>
        </w:r>
        <w:r w:rsidRPr="00653C89">
          <w:rPr>
            <w:rFonts w:ascii="Times New Roman" w:hAnsi="Times New Roman" w:hint="eastAsia"/>
            <w:noProof/>
            <w:webHidden/>
          </w:rPr>
          <w:fldChar w:fldCharType="end"/>
        </w:r>
      </w:hyperlink>
    </w:p>
    <w:p w14:paraId="27D58EAB" w14:textId="7F81D713" w:rsidR="00653C89" w:rsidRPr="00653C89" w:rsidRDefault="00653C89" w:rsidP="00477FFD">
      <w:pPr>
        <w:pStyle w:val="TOC1"/>
        <w:rPr>
          <w:rFonts w:eastAsiaTheme="minorEastAsia" w:cstheme="minorBidi"/>
          <w:kern w:val="2"/>
          <w:sz w:val="22"/>
          <w:szCs w:val="24"/>
          <w14:ligatures w14:val="standardContextual"/>
        </w:rPr>
      </w:pPr>
      <w:hyperlink w:anchor="_Toc198287006" w:history="1">
        <w:r w:rsidRPr="00653C89">
          <w:rPr>
            <w:rStyle w:val="af2"/>
            <w:rFonts w:hint="eastAsia"/>
          </w:rPr>
          <w:t>第六章</w:t>
        </w:r>
        <w:r w:rsidRPr="00653C89">
          <w:rPr>
            <w:rStyle w:val="af2"/>
            <w:rFonts w:hint="eastAsia"/>
          </w:rPr>
          <w:t xml:space="preserve"> </w:t>
        </w:r>
        <w:r w:rsidRPr="00653C89">
          <w:rPr>
            <w:rStyle w:val="af2"/>
            <w:rFonts w:hint="eastAsia"/>
          </w:rPr>
          <w:t>结论与展望</w:t>
        </w:r>
        <w:r w:rsidRPr="00653C89">
          <w:rPr>
            <w:rFonts w:hint="eastAsia"/>
            <w:webHidden/>
          </w:rPr>
          <w:tab/>
        </w:r>
        <w:r w:rsidRPr="00653C89">
          <w:rPr>
            <w:rFonts w:hint="eastAsia"/>
            <w:webHidden/>
          </w:rPr>
          <w:fldChar w:fldCharType="begin"/>
        </w:r>
        <w:r w:rsidRPr="00653C89">
          <w:rPr>
            <w:rFonts w:hint="eastAsia"/>
            <w:webHidden/>
          </w:rPr>
          <w:instrText xml:space="preserve"> </w:instrText>
        </w:r>
        <w:r w:rsidRPr="00653C89">
          <w:rPr>
            <w:webHidden/>
          </w:rPr>
          <w:instrText>PAGEREF _Toc198287006 \h</w:instrText>
        </w:r>
        <w:r w:rsidRPr="00653C89">
          <w:rPr>
            <w:rFonts w:hint="eastAsia"/>
            <w:webHidden/>
          </w:rPr>
          <w:instrText xml:space="preserve"> </w:instrText>
        </w:r>
        <w:r w:rsidRPr="00653C89">
          <w:rPr>
            <w:rFonts w:hint="eastAsia"/>
            <w:webHidden/>
          </w:rPr>
        </w:r>
        <w:r w:rsidRPr="00653C89">
          <w:rPr>
            <w:rFonts w:hint="eastAsia"/>
            <w:webHidden/>
          </w:rPr>
          <w:fldChar w:fldCharType="separate"/>
        </w:r>
        <w:r w:rsidR="00AF2180">
          <w:rPr>
            <w:webHidden/>
          </w:rPr>
          <w:t>43</w:t>
        </w:r>
        <w:r w:rsidRPr="00653C89">
          <w:rPr>
            <w:rFonts w:hint="eastAsia"/>
            <w:webHidden/>
          </w:rPr>
          <w:fldChar w:fldCharType="end"/>
        </w:r>
      </w:hyperlink>
    </w:p>
    <w:p w14:paraId="46CEF583" w14:textId="2C595A1C"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7007" w:history="1">
        <w:r w:rsidRPr="00653C89">
          <w:rPr>
            <w:rStyle w:val="af2"/>
            <w:rFonts w:ascii="Times New Roman" w:hAnsi="Times New Roman" w:hint="eastAsia"/>
            <w:noProof/>
          </w:rPr>
          <w:t xml:space="preserve">6.1 </w:t>
        </w:r>
        <w:r w:rsidRPr="00653C89">
          <w:rPr>
            <w:rStyle w:val="af2"/>
            <w:rFonts w:ascii="Times New Roman" w:hAnsi="Times New Roman" w:hint="eastAsia"/>
            <w:noProof/>
          </w:rPr>
          <w:t>研究结论</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_Toc198287007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43</w:t>
        </w:r>
        <w:r w:rsidRPr="00653C89">
          <w:rPr>
            <w:rFonts w:ascii="Times New Roman" w:hAnsi="Times New Roman" w:hint="eastAsia"/>
            <w:noProof/>
            <w:webHidden/>
          </w:rPr>
          <w:fldChar w:fldCharType="end"/>
        </w:r>
      </w:hyperlink>
    </w:p>
    <w:p w14:paraId="0CAD6FB2" w14:textId="66D9F3AF" w:rsidR="00653C89" w:rsidRPr="00653C89" w:rsidRDefault="00653C89">
      <w:pPr>
        <w:pStyle w:val="TOC2"/>
        <w:tabs>
          <w:tab w:val="right" w:leader="dot" w:pos="8296"/>
        </w:tabs>
        <w:rPr>
          <w:rFonts w:ascii="Times New Roman" w:eastAsiaTheme="minorEastAsia" w:hAnsi="Times New Roman" w:cstheme="minorBidi"/>
          <w:b w:val="0"/>
          <w:noProof/>
          <w:kern w:val="2"/>
          <w:sz w:val="22"/>
          <w:szCs w:val="24"/>
          <w14:ligatures w14:val="standardContextual"/>
        </w:rPr>
      </w:pPr>
      <w:hyperlink w:anchor="_Toc198287008" w:history="1">
        <w:r w:rsidRPr="00653C89">
          <w:rPr>
            <w:rStyle w:val="af2"/>
            <w:rFonts w:ascii="Times New Roman" w:hAnsi="Times New Roman" w:hint="eastAsia"/>
            <w:noProof/>
          </w:rPr>
          <w:t xml:space="preserve">6.2 </w:t>
        </w:r>
        <w:r w:rsidRPr="00653C89">
          <w:rPr>
            <w:rStyle w:val="af2"/>
            <w:rFonts w:ascii="Times New Roman" w:hAnsi="Times New Roman" w:hint="eastAsia"/>
            <w:noProof/>
          </w:rPr>
          <w:t>启示与展望</w:t>
        </w:r>
        <w:r w:rsidRPr="00653C89">
          <w:rPr>
            <w:rFonts w:ascii="Times New Roman" w:hAnsi="Times New Roman" w:hint="eastAsia"/>
            <w:noProof/>
            <w:webHidden/>
          </w:rPr>
          <w:tab/>
        </w:r>
        <w:r w:rsidRPr="00653C89">
          <w:rPr>
            <w:rFonts w:ascii="Times New Roman" w:hAnsi="Times New Roman" w:hint="eastAsia"/>
            <w:noProof/>
            <w:webHidden/>
          </w:rPr>
          <w:fldChar w:fldCharType="begin"/>
        </w:r>
        <w:r w:rsidRPr="00653C89">
          <w:rPr>
            <w:rFonts w:ascii="Times New Roman" w:hAnsi="Times New Roman" w:hint="eastAsia"/>
            <w:noProof/>
            <w:webHidden/>
          </w:rPr>
          <w:instrText xml:space="preserve"> </w:instrText>
        </w:r>
        <w:r w:rsidRPr="00653C89">
          <w:rPr>
            <w:rFonts w:ascii="Times New Roman" w:hAnsi="Times New Roman"/>
            <w:noProof/>
            <w:webHidden/>
          </w:rPr>
          <w:instrText>PAGEREF _Toc198287008 \h</w:instrText>
        </w:r>
        <w:r w:rsidRPr="00653C89">
          <w:rPr>
            <w:rFonts w:ascii="Times New Roman" w:hAnsi="Times New Roman" w:hint="eastAsia"/>
            <w:noProof/>
            <w:webHidden/>
          </w:rPr>
          <w:instrText xml:space="preserve"> </w:instrText>
        </w:r>
        <w:r w:rsidRPr="00653C89">
          <w:rPr>
            <w:rFonts w:ascii="Times New Roman" w:hAnsi="Times New Roman" w:hint="eastAsia"/>
            <w:noProof/>
            <w:webHidden/>
          </w:rPr>
        </w:r>
        <w:r w:rsidRPr="00653C89">
          <w:rPr>
            <w:rFonts w:ascii="Times New Roman" w:hAnsi="Times New Roman" w:hint="eastAsia"/>
            <w:noProof/>
            <w:webHidden/>
          </w:rPr>
          <w:fldChar w:fldCharType="separate"/>
        </w:r>
        <w:r w:rsidR="00AF2180">
          <w:rPr>
            <w:rFonts w:ascii="Times New Roman" w:hAnsi="Times New Roman"/>
            <w:noProof/>
            <w:webHidden/>
          </w:rPr>
          <w:t>43</w:t>
        </w:r>
        <w:r w:rsidRPr="00653C89">
          <w:rPr>
            <w:rFonts w:ascii="Times New Roman" w:hAnsi="Times New Roman" w:hint="eastAsia"/>
            <w:noProof/>
            <w:webHidden/>
          </w:rPr>
          <w:fldChar w:fldCharType="end"/>
        </w:r>
      </w:hyperlink>
    </w:p>
    <w:p w14:paraId="74A2AF9E" w14:textId="3DF78B8A" w:rsidR="00653C89" w:rsidRPr="00653C89" w:rsidRDefault="00653C89" w:rsidP="00477FFD">
      <w:pPr>
        <w:pStyle w:val="TOC1"/>
        <w:rPr>
          <w:rFonts w:eastAsiaTheme="minorEastAsia" w:cstheme="minorBidi"/>
          <w:kern w:val="2"/>
          <w:sz w:val="22"/>
          <w:szCs w:val="24"/>
          <w14:ligatures w14:val="standardContextual"/>
        </w:rPr>
      </w:pPr>
      <w:hyperlink w:anchor="_Toc198287009" w:history="1">
        <w:r w:rsidRPr="00653C89">
          <w:rPr>
            <w:rStyle w:val="af2"/>
            <w:rFonts w:hint="eastAsia"/>
          </w:rPr>
          <w:t>参考文献</w:t>
        </w:r>
        <w:r w:rsidRPr="00653C89">
          <w:rPr>
            <w:rFonts w:hint="eastAsia"/>
            <w:webHidden/>
          </w:rPr>
          <w:tab/>
        </w:r>
        <w:r w:rsidRPr="00653C89">
          <w:rPr>
            <w:rFonts w:hint="eastAsia"/>
            <w:webHidden/>
          </w:rPr>
          <w:fldChar w:fldCharType="begin"/>
        </w:r>
        <w:r w:rsidRPr="00653C89">
          <w:rPr>
            <w:rFonts w:hint="eastAsia"/>
            <w:webHidden/>
          </w:rPr>
          <w:instrText xml:space="preserve"> </w:instrText>
        </w:r>
        <w:r w:rsidRPr="00653C89">
          <w:rPr>
            <w:webHidden/>
          </w:rPr>
          <w:instrText>PAGEREF _Toc198287009 \h</w:instrText>
        </w:r>
        <w:r w:rsidRPr="00653C89">
          <w:rPr>
            <w:rFonts w:hint="eastAsia"/>
            <w:webHidden/>
          </w:rPr>
          <w:instrText xml:space="preserve"> </w:instrText>
        </w:r>
        <w:r w:rsidRPr="00653C89">
          <w:rPr>
            <w:rFonts w:hint="eastAsia"/>
            <w:webHidden/>
          </w:rPr>
        </w:r>
        <w:r w:rsidRPr="00653C89">
          <w:rPr>
            <w:rFonts w:hint="eastAsia"/>
            <w:webHidden/>
          </w:rPr>
          <w:fldChar w:fldCharType="separate"/>
        </w:r>
        <w:r w:rsidR="00AF2180">
          <w:rPr>
            <w:webHidden/>
          </w:rPr>
          <w:t>46</w:t>
        </w:r>
        <w:r w:rsidRPr="00653C89">
          <w:rPr>
            <w:rFonts w:hint="eastAsia"/>
            <w:webHidden/>
          </w:rPr>
          <w:fldChar w:fldCharType="end"/>
        </w:r>
      </w:hyperlink>
    </w:p>
    <w:p w14:paraId="203823D5" w14:textId="0D965972" w:rsidR="00653C89" w:rsidRPr="00653C89" w:rsidRDefault="00653C89" w:rsidP="00477FFD">
      <w:pPr>
        <w:pStyle w:val="TOC1"/>
        <w:rPr>
          <w:rFonts w:eastAsiaTheme="minorEastAsia" w:cstheme="minorBidi"/>
          <w:kern w:val="2"/>
          <w:sz w:val="22"/>
          <w:szCs w:val="24"/>
          <w14:ligatures w14:val="standardContextual"/>
        </w:rPr>
      </w:pPr>
      <w:hyperlink w:anchor="_Toc198287010" w:history="1">
        <w:r w:rsidRPr="00653C89">
          <w:rPr>
            <w:rStyle w:val="af2"/>
            <w:rFonts w:hint="eastAsia"/>
          </w:rPr>
          <w:t>致谢</w:t>
        </w:r>
        <w:r w:rsidRPr="00653C89">
          <w:rPr>
            <w:rFonts w:hint="eastAsia"/>
            <w:webHidden/>
          </w:rPr>
          <w:tab/>
        </w:r>
        <w:r w:rsidRPr="00653C89">
          <w:rPr>
            <w:rFonts w:hint="eastAsia"/>
            <w:webHidden/>
          </w:rPr>
          <w:fldChar w:fldCharType="begin"/>
        </w:r>
        <w:r w:rsidRPr="00653C89">
          <w:rPr>
            <w:rFonts w:hint="eastAsia"/>
            <w:webHidden/>
          </w:rPr>
          <w:instrText xml:space="preserve"> </w:instrText>
        </w:r>
        <w:r w:rsidRPr="00653C89">
          <w:rPr>
            <w:webHidden/>
          </w:rPr>
          <w:instrText>PAGEREF _Toc198287010 \h</w:instrText>
        </w:r>
        <w:r w:rsidRPr="00653C89">
          <w:rPr>
            <w:rFonts w:hint="eastAsia"/>
            <w:webHidden/>
          </w:rPr>
          <w:instrText xml:space="preserve"> </w:instrText>
        </w:r>
        <w:r w:rsidRPr="00653C89">
          <w:rPr>
            <w:rFonts w:hint="eastAsia"/>
            <w:webHidden/>
          </w:rPr>
        </w:r>
        <w:r w:rsidRPr="00653C89">
          <w:rPr>
            <w:rFonts w:hint="eastAsia"/>
            <w:webHidden/>
          </w:rPr>
          <w:fldChar w:fldCharType="separate"/>
        </w:r>
        <w:r w:rsidR="00AF2180">
          <w:rPr>
            <w:webHidden/>
          </w:rPr>
          <w:t>51</w:t>
        </w:r>
        <w:r w:rsidRPr="00653C89">
          <w:rPr>
            <w:rFonts w:hint="eastAsia"/>
            <w:webHidden/>
          </w:rPr>
          <w:fldChar w:fldCharType="end"/>
        </w:r>
      </w:hyperlink>
    </w:p>
    <w:p w14:paraId="76D2B60D" w14:textId="24C3575B" w:rsidR="0007233B" w:rsidRDefault="00E14728" w:rsidP="0007233B">
      <w:pPr>
        <w:spacing w:line="360" w:lineRule="exact"/>
        <w:ind w:firstLine="560"/>
        <w:rPr>
          <w:rFonts w:eastAsia="黑体"/>
          <w:noProof/>
          <w:kern w:val="0"/>
          <w:sz w:val="28"/>
          <w:szCs w:val="22"/>
        </w:rPr>
      </w:pPr>
      <w:r w:rsidRPr="00653C89">
        <w:rPr>
          <w:rFonts w:eastAsia="黑体"/>
          <w:noProof/>
          <w:kern w:val="0"/>
          <w:sz w:val="28"/>
          <w:szCs w:val="22"/>
        </w:rPr>
        <w:fldChar w:fldCharType="end"/>
      </w:r>
      <w:bookmarkEnd w:id="0"/>
    </w:p>
    <w:p w14:paraId="71B2DCE0" w14:textId="77777777" w:rsidR="00B071EE" w:rsidRDefault="00B071EE" w:rsidP="00B071EE">
      <w:pPr>
        <w:ind w:firstLine="723"/>
        <w:jc w:val="center"/>
        <w:rPr>
          <w:b/>
          <w:bCs/>
          <w:sz w:val="36"/>
          <w:szCs w:val="36"/>
        </w:rPr>
      </w:pPr>
      <w:r>
        <w:rPr>
          <w:b/>
          <w:bCs/>
          <w:sz w:val="36"/>
          <w:szCs w:val="36"/>
        </w:rPr>
        <w:br w:type="page"/>
      </w:r>
    </w:p>
    <w:p w14:paraId="1AABF5BF" w14:textId="1E4EF07B" w:rsidR="00477FFD" w:rsidRPr="00477FFD" w:rsidRDefault="00B071EE" w:rsidP="00477FFD">
      <w:pPr>
        <w:spacing w:afterLines="200" w:after="624" w:line="720" w:lineRule="exact"/>
        <w:jc w:val="center"/>
        <w:rPr>
          <w:rFonts w:eastAsia="黑体"/>
          <w:b/>
          <w:bCs/>
          <w:sz w:val="36"/>
          <w:szCs w:val="36"/>
        </w:rPr>
      </w:pPr>
      <w:bookmarkStart w:id="1" w:name="_Hlk194856838"/>
      <w:r w:rsidRPr="00653C89">
        <w:rPr>
          <w:rFonts w:eastAsia="黑体"/>
          <w:b/>
          <w:bCs/>
          <w:sz w:val="36"/>
          <w:szCs w:val="36"/>
        </w:rPr>
        <w:lastRenderedPageBreak/>
        <w:t>T</w:t>
      </w:r>
      <w:r w:rsidRPr="00477FFD">
        <w:rPr>
          <w:rFonts w:eastAsia="黑体"/>
          <w:b/>
          <w:bCs/>
          <w:sz w:val="36"/>
          <w:szCs w:val="36"/>
        </w:rPr>
        <w:t>able of Contents</w:t>
      </w:r>
    </w:p>
    <w:p w14:paraId="227FE977" w14:textId="44FA5E42" w:rsidR="00477FFD" w:rsidRPr="00477FFD" w:rsidRDefault="0091542A" w:rsidP="00477FFD">
      <w:pPr>
        <w:pStyle w:val="TOC1"/>
        <w:rPr>
          <w:rFonts w:eastAsiaTheme="minorEastAsia"/>
          <w:kern w:val="2"/>
          <w:sz w:val="22"/>
          <w:szCs w:val="24"/>
          <w14:ligatures w14:val="standardContextual"/>
        </w:rPr>
      </w:pPr>
      <w:r w:rsidRPr="00477FFD">
        <w:fldChar w:fldCharType="begin"/>
      </w:r>
      <w:r w:rsidRPr="00477FFD">
        <w:instrText xml:space="preserve"> TOC \o "1-3" \h \z \u </w:instrText>
      </w:r>
      <w:r w:rsidRPr="00477FFD">
        <w:fldChar w:fldCharType="separate"/>
      </w:r>
      <w:r w:rsidR="00477FFD" w:rsidRPr="00477FFD">
        <w:fldChar w:fldCharType="begin"/>
      </w:r>
      <w:r w:rsidR="00477FFD" w:rsidRPr="00477FFD">
        <w:instrText xml:space="preserve"> TOC \o "1-3" \h \z \u </w:instrText>
      </w:r>
      <w:r w:rsidR="00477FFD" w:rsidRPr="00477FFD">
        <w:fldChar w:fldCharType="separate"/>
      </w:r>
      <w:hyperlink w:anchor="_Toc198286962" w:history="1">
        <w:r w:rsidR="00477FFD" w:rsidRPr="00477FFD">
          <w:rPr>
            <w:rStyle w:val="af2"/>
          </w:rPr>
          <w:t>Chapter 1 Introduction</w:t>
        </w:r>
        <w:r w:rsidR="00477FFD" w:rsidRPr="00477FFD">
          <w:rPr>
            <w:webHidden/>
          </w:rPr>
          <w:tab/>
        </w:r>
        <w:r w:rsidR="00477FFD" w:rsidRPr="00477FFD">
          <w:rPr>
            <w:webHidden/>
          </w:rPr>
          <w:fldChar w:fldCharType="begin"/>
        </w:r>
        <w:r w:rsidR="00477FFD" w:rsidRPr="00477FFD">
          <w:rPr>
            <w:webHidden/>
          </w:rPr>
          <w:instrText xml:space="preserve"> PAGEREF _Toc198286962 \h </w:instrText>
        </w:r>
        <w:r w:rsidR="00477FFD" w:rsidRPr="00477FFD">
          <w:rPr>
            <w:webHidden/>
          </w:rPr>
        </w:r>
        <w:r w:rsidR="00477FFD" w:rsidRPr="00477FFD">
          <w:rPr>
            <w:webHidden/>
          </w:rPr>
          <w:fldChar w:fldCharType="separate"/>
        </w:r>
        <w:r w:rsidR="00AF2180">
          <w:rPr>
            <w:webHidden/>
          </w:rPr>
          <w:t>1</w:t>
        </w:r>
        <w:r w:rsidR="00477FFD" w:rsidRPr="00477FFD">
          <w:rPr>
            <w:webHidden/>
          </w:rPr>
          <w:fldChar w:fldCharType="end"/>
        </w:r>
      </w:hyperlink>
    </w:p>
    <w:p w14:paraId="202C2CA9" w14:textId="75F7C944"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63" w:history="1">
        <w:r w:rsidRPr="00477FFD">
          <w:rPr>
            <w:rStyle w:val="af2"/>
            <w:rFonts w:ascii="Times New Roman" w:hAnsi="Times New Roman"/>
            <w:noProof/>
          </w:rPr>
          <w:t>1.1 Research Background</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_Toc198286963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w:t>
        </w:r>
        <w:r w:rsidRPr="00477FFD">
          <w:rPr>
            <w:rFonts w:ascii="Times New Roman" w:hAnsi="Times New Roman"/>
            <w:noProof/>
            <w:webHidden/>
          </w:rPr>
          <w:fldChar w:fldCharType="end"/>
        </w:r>
      </w:hyperlink>
    </w:p>
    <w:p w14:paraId="59BA0C3C" w14:textId="6757F1ED"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64" w:history="1">
        <w:r w:rsidRPr="00477FFD">
          <w:rPr>
            <w:rStyle w:val="af2"/>
            <w:rFonts w:ascii="Times New Roman" w:hAnsi="Times New Roman"/>
            <w:noProof/>
          </w:rPr>
          <w:t>1.2 Research Objectives and Framework</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_Toc198286964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w:t>
        </w:r>
        <w:r w:rsidRPr="00477FFD">
          <w:rPr>
            <w:rFonts w:ascii="Times New Roman" w:hAnsi="Times New Roman"/>
            <w:noProof/>
            <w:webHidden/>
          </w:rPr>
          <w:fldChar w:fldCharType="end"/>
        </w:r>
      </w:hyperlink>
    </w:p>
    <w:p w14:paraId="51744684" w14:textId="0C7DC8DA"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65" w:history="1">
        <w:r w:rsidRPr="00477FFD">
          <w:rPr>
            <w:rStyle w:val="af2"/>
            <w:rFonts w:ascii="Times New Roman" w:hAnsi="Times New Roman"/>
            <w:noProof/>
          </w:rPr>
          <w:t>1.3 Research Significance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_Toc198286965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w:t>
        </w:r>
        <w:r w:rsidRPr="00477FFD">
          <w:rPr>
            <w:rFonts w:ascii="Times New Roman" w:hAnsi="Times New Roman"/>
            <w:noProof/>
            <w:webHidden/>
          </w:rPr>
          <w:fldChar w:fldCharType="end"/>
        </w:r>
      </w:hyperlink>
    </w:p>
    <w:p w14:paraId="74C2254B" w14:textId="187BB79E"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66" w:history="1">
        <w:r w:rsidRPr="00477FFD">
          <w:rPr>
            <w:rStyle w:val="af2"/>
            <w:rFonts w:ascii="Times New Roman" w:hAnsi="Times New Roman"/>
            <w:noProof/>
          </w:rPr>
          <w:t>1.3.1 Theoretical Significance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_Toc198286966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w:t>
        </w:r>
        <w:r w:rsidRPr="00477FFD">
          <w:rPr>
            <w:rFonts w:ascii="Times New Roman" w:hAnsi="Times New Roman"/>
            <w:noProof/>
            <w:webHidden/>
          </w:rPr>
          <w:fldChar w:fldCharType="end"/>
        </w:r>
      </w:hyperlink>
    </w:p>
    <w:p w14:paraId="571DAB4D" w14:textId="78B47195"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67" w:history="1">
        <w:r w:rsidRPr="00477FFD">
          <w:rPr>
            <w:rStyle w:val="af2"/>
            <w:rFonts w:ascii="Times New Roman" w:hAnsi="Times New Roman"/>
            <w:noProof/>
          </w:rPr>
          <w:t>1.3.2 Practical Significance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_Toc198286967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4</w:t>
        </w:r>
        <w:r w:rsidRPr="00477FFD">
          <w:rPr>
            <w:rFonts w:ascii="Times New Roman" w:hAnsi="Times New Roman"/>
            <w:noProof/>
            <w:webHidden/>
          </w:rPr>
          <w:fldChar w:fldCharType="end"/>
        </w:r>
      </w:hyperlink>
    </w:p>
    <w:p w14:paraId="284188F5" w14:textId="01A629E0"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68" w:history="1">
        <w:r w:rsidRPr="00477FFD">
          <w:rPr>
            <w:rStyle w:val="af2"/>
            <w:rFonts w:ascii="Times New Roman" w:hAnsi="Times New Roman"/>
            <w:noProof/>
          </w:rPr>
          <w:t>1.4 Research Innovations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_Toc198286968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4</w:t>
        </w:r>
        <w:r w:rsidRPr="00477FFD">
          <w:rPr>
            <w:rFonts w:ascii="Times New Roman" w:hAnsi="Times New Roman"/>
            <w:noProof/>
            <w:webHidden/>
          </w:rPr>
          <w:fldChar w:fldCharType="end"/>
        </w:r>
      </w:hyperlink>
    </w:p>
    <w:p w14:paraId="752FECA0" w14:textId="65769CE5"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69" w:history="1">
        <w:r w:rsidRPr="00477FFD">
          <w:rPr>
            <w:rStyle w:val="af2"/>
            <w:rFonts w:ascii="Times New Roman" w:hAnsi="Times New Roman"/>
            <w:noProof/>
          </w:rPr>
          <w:t>1.4.1 Innovation in Research Perspective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_Toc198286969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4</w:t>
        </w:r>
        <w:r w:rsidRPr="00477FFD">
          <w:rPr>
            <w:rFonts w:ascii="Times New Roman" w:hAnsi="Times New Roman"/>
            <w:noProof/>
            <w:webHidden/>
          </w:rPr>
          <w:fldChar w:fldCharType="end"/>
        </w:r>
      </w:hyperlink>
    </w:p>
    <w:p w14:paraId="4A95BD38" w14:textId="1F1DAEB2"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70" w:history="1">
        <w:r w:rsidRPr="00477FFD">
          <w:rPr>
            <w:rStyle w:val="af2"/>
            <w:rFonts w:ascii="Times New Roman" w:hAnsi="Times New Roman"/>
            <w:noProof/>
          </w:rPr>
          <w:t>1.4.2 Innovation in Theoretical Mechanism</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_Toc198286970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4</w:t>
        </w:r>
        <w:r w:rsidRPr="00477FFD">
          <w:rPr>
            <w:rFonts w:ascii="Times New Roman" w:hAnsi="Times New Roman"/>
            <w:noProof/>
            <w:webHidden/>
          </w:rPr>
          <w:fldChar w:fldCharType="end"/>
        </w:r>
      </w:hyperlink>
    </w:p>
    <w:p w14:paraId="6D88FA5D" w14:textId="7C971B66"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71" w:history="1">
        <w:r w:rsidRPr="00477FFD">
          <w:rPr>
            <w:rStyle w:val="af2"/>
            <w:rFonts w:ascii="Times New Roman" w:hAnsi="Times New Roman"/>
            <w:noProof/>
          </w:rPr>
          <w:t>1.4.3 Innovation in Industry Differences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_Toc198286971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5</w:t>
        </w:r>
        <w:r w:rsidRPr="00477FFD">
          <w:rPr>
            <w:rFonts w:ascii="Times New Roman" w:hAnsi="Times New Roman"/>
            <w:noProof/>
            <w:webHidden/>
          </w:rPr>
          <w:fldChar w:fldCharType="end"/>
        </w:r>
      </w:hyperlink>
    </w:p>
    <w:p w14:paraId="24EB0FF4" w14:textId="2D64B21F" w:rsidR="00477FFD" w:rsidRPr="00477FFD" w:rsidRDefault="00477FFD" w:rsidP="00477FFD">
      <w:pPr>
        <w:pStyle w:val="TOC1"/>
        <w:rPr>
          <w:kern w:val="2"/>
          <w:sz w:val="22"/>
          <w:szCs w:val="24"/>
          <w14:ligatures w14:val="standardContextual"/>
        </w:rPr>
      </w:pPr>
      <w:hyperlink w:anchor="_Toc191574100" w:history="1">
        <w:r w:rsidRPr="00477FFD">
          <w:rPr>
            <w:rStyle w:val="af2"/>
            <w:rFonts w:eastAsia="宋体"/>
            <w:color w:val="auto"/>
            <w:u w:val="none"/>
          </w:rPr>
          <w:t>Chapter 2 Literature Review and Research Hypotheses</w:t>
        </w:r>
        <w:r w:rsidRPr="00477FFD">
          <w:rPr>
            <w:webHidden/>
          </w:rPr>
          <w:tab/>
        </w:r>
        <w:r w:rsidRPr="00477FFD">
          <w:rPr>
            <w:webHidden/>
          </w:rPr>
          <w:fldChar w:fldCharType="begin"/>
        </w:r>
        <w:r w:rsidRPr="00477FFD">
          <w:rPr>
            <w:webHidden/>
          </w:rPr>
          <w:instrText xml:space="preserve"> PAGEREF _Toc191574100 \h </w:instrText>
        </w:r>
        <w:r w:rsidRPr="00477FFD">
          <w:rPr>
            <w:webHidden/>
          </w:rPr>
        </w:r>
        <w:r w:rsidRPr="00477FFD">
          <w:rPr>
            <w:webHidden/>
          </w:rPr>
          <w:fldChar w:fldCharType="separate"/>
        </w:r>
        <w:r w:rsidR="00AF2180">
          <w:rPr>
            <w:webHidden/>
          </w:rPr>
          <w:t>6</w:t>
        </w:r>
        <w:r w:rsidRPr="00477FFD">
          <w:rPr>
            <w:webHidden/>
          </w:rPr>
          <w:fldChar w:fldCharType="end"/>
        </w:r>
      </w:hyperlink>
    </w:p>
    <w:p w14:paraId="167AA7F0" w14:textId="51BA07E3"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73" w:history="1">
        <w:r w:rsidRPr="00477FFD">
          <w:rPr>
            <w:rStyle w:val="af2"/>
            <w:rFonts w:ascii="Times New Roman" w:hAnsi="Times New Roman"/>
            <w:noProof/>
          </w:rPr>
          <w:t>2.1 Organizational Capital</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_Toc198286973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6</w:t>
        </w:r>
        <w:r w:rsidRPr="00477FFD">
          <w:rPr>
            <w:rFonts w:ascii="Times New Roman" w:hAnsi="Times New Roman"/>
            <w:noProof/>
            <w:webHidden/>
          </w:rPr>
          <w:fldChar w:fldCharType="end"/>
        </w:r>
      </w:hyperlink>
    </w:p>
    <w:p w14:paraId="7A896B2A" w14:textId="29F1D6A8"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74" w:history="1">
        <w:r w:rsidRPr="00477FFD">
          <w:rPr>
            <w:rStyle w:val="af2"/>
            <w:rFonts w:ascii="Times New Roman" w:hAnsi="Times New Roman"/>
            <w:noProof/>
          </w:rPr>
          <w:t>2.1.1 Definition and Understanding of Organizational Capital</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_Toc198286974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6</w:t>
        </w:r>
        <w:r w:rsidRPr="00477FFD">
          <w:rPr>
            <w:rFonts w:ascii="Times New Roman" w:hAnsi="Times New Roman"/>
            <w:noProof/>
            <w:webHidden/>
          </w:rPr>
          <w:fldChar w:fldCharType="end"/>
        </w:r>
      </w:hyperlink>
    </w:p>
    <w:p w14:paraId="04E12751" w14:textId="40AD5197"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75" w:history="1">
        <w:r w:rsidRPr="00477FFD">
          <w:rPr>
            <w:rStyle w:val="af2"/>
            <w:rFonts w:ascii="Times New Roman" w:hAnsi="Times New Roman"/>
            <w:noProof/>
          </w:rPr>
          <w:t>2.1.2 Measurement of Organizational Capital</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_Toc198286975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8</w:t>
        </w:r>
        <w:r w:rsidRPr="00477FFD">
          <w:rPr>
            <w:rFonts w:ascii="Times New Roman" w:hAnsi="Times New Roman"/>
            <w:noProof/>
            <w:webHidden/>
          </w:rPr>
          <w:fldChar w:fldCharType="end"/>
        </w:r>
      </w:hyperlink>
    </w:p>
    <w:p w14:paraId="4CAE080C" w14:textId="658A1A89"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76" w:history="1">
        <w:r w:rsidRPr="00477FFD">
          <w:rPr>
            <w:rStyle w:val="af2"/>
            <w:rFonts w:ascii="Times New Roman" w:hAnsi="Times New Roman"/>
            <w:noProof/>
          </w:rPr>
          <w:t>2.1.3 The Impact of Organizational Capital on Firms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_Toc198286976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9</w:t>
        </w:r>
        <w:r w:rsidRPr="00477FFD">
          <w:rPr>
            <w:rFonts w:ascii="Times New Roman" w:hAnsi="Times New Roman"/>
            <w:noProof/>
            <w:webHidden/>
          </w:rPr>
          <w:fldChar w:fldCharType="end"/>
        </w:r>
      </w:hyperlink>
    </w:p>
    <w:p w14:paraId="4B7781FC" w14:textId="00E0271D"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77" w:history="1">
        <w:r w:rsidRPr="00477FFD">
          <w:rPr>
            <w:rStyle w:val="af2"/>
            <w:rFonts w:ascii="Times New Roman" w:hAnsi="Times New Roman"/>
            <w:noProof/>
          </w:rPr>
          <w:t>2.2 Directors’ and Officers’ Liability Insurance (D&amp;O Insurance)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_Toc198286977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11</w:t>
        </w:r>
        <w:r w:rsidRPr="00477FFD">
          <w:rPr>
            <w:rFonts w:ascii="Times New Roman" w:hAnsi="Times New Roman"/>
            <w:noProof/>
            <w:webHidden/>
          </w:rPr>
          <w:fldChar w:fldCharType="end"/>
        </w:r>
      </w:hyperlink>
    </w:p>
    <w:p w14:paraId="42C28148" w14:textId="3CEA4A1C"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78" w:history="1">
        <w:r w:rsidRPr="00477FFD">
          <w:rPr>
            <w:rStyle w:val="af2"/>
            <w:rFonts w:ascii="Times New Roman" w:hAnsi="Times New Roman"/>
            <w:noProof/>
          </w:rPr>
          <w:t>2.2.1 Benefits of Configuring D&amp;O Insurance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_Toc198286978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11</w:t>
        </w:r>
        <w:r w:rsidRPr="00477FFD">
          <w:rPr>
            <w:rFonts w:ascii="Times New Roman" w:hAnsi="Times New Roman"/>
            <w:noProof/>
            <w:webHidden/>
          </w:rPr>
          <w:fldChar w:fldCharType="end"/>
        </w:r>
      </w:hyperlink>
    </w:p>
    <w:p w14:paraId="3AE66DBD" w14:textId="79EED29F"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79" w:history="1">
        <w:r w:rsidRPr="00477FFD">
          <w:rPr>
            <w:rStyle w:val="af2"/>
            <w:rFonts w:ascii="Times New Roman" w:hAnsi="Times New Roman"/>
            <w:noProof/>
          </w:rPr>
          <w:t>2.2.2 Motives for Configuring D&amp;O Insurance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_Toc198286979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12</w:t>
        </w:r>
        <w:r w:rsidRPr="00477FFD">
          <w:rPr>
            <w:rFonts w:ascii="Times New Roman" w:hAnsi="Times New Roman"/>
            <w:noProof/>
            <w:webHidden/>
          </w:rPr>
          <w:fldChar w:fldCharType="end"/>
        </w:r>
      </w:hyperlink>
    </w:p>
    <w:p w14:paraId="350CC98C" w14:textId="28049157"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80" w:history="1">
        <w:r w:rsidRPr="00477FFD">
          <w:rPr>
            <w:rStyle w:val="af2"/>
            <w:rFonts w:ascii="Times New Roman" w:hAnsi="Times New Roman"/>
            <w:noProof/>
          </w:rPr>
          <w:t>2.3 Theoretical Foundations and Research Hypotheses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_Toc198286980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13</w:t>
        </w:r>
        <w:r w:rsidRPr="00477FFD">
          <w:rPr>
            <w:rFonts w:ascii="Times New Roman" w:hAnsi="Times New Roman"/>
            <w:noProof/>
            <w:webHidden/>
          </w:rPr>
          <w:fldChar w:fldCharType="end"/>
        </w:r>
      </w:hyperlink>
    </w:p>
    <w:p w14:paraId="469CCA30" w14:textId="44981A0F"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81" w:history="1">
        <w:r w:rsidRPr="00477FFD">
          <w:rPr>
            <w:rStyle w:val="af2"/>
            <w:rFonts w:ascii="Times New Roman" w:hAnsi="Times New Roman"/>
            <w:noProof/>
          </w:rPr>
          <w:t>2.3.1 Theoretical Foundation</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_Toc198286981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13</w:t>
        </w:r>
        <w:r w:rsidRPr="00477FFD">
          <w:rPr>
            <w:rFonts w:ascii="Times New Roman" w:hAnsi="Times New Roman"/>
            <w:noProof/>
            <w:webHidden/>
          </w:rPr>
          <w:fldChar w:fldCharType="end"/>
        </w:r>
      </w:hyperlink>
    </w:p>
    <w:p w14:paraId="08057479" w14:textId="3C8BE92A"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82" w:history="1">
        <w:r w:rsidRPr="00477FFD">
          <w:rPr>
            <w:rStyle w:val="af2"/>
            <w:rFonts w:ascii="Times New Roman" w:hAnsi="Times New Roman"/>
            <w:noProof/>
          </w:rPr>
          <w:t>2.3.2 Research Hypotheses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_Toc198286982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14</w:t>
        </w:r>
        <w:r w:rsidRPr="00477FFD">
          <w:rPr>
            <w:rFonts w:ascii="Times New Roman" w:hAnsi="Times New Roman"/>
            <w:noProof/>
            <w:webHidden/>
          </w:rPr>
          <w:fldChar w:fldCharType="end"/>
        </w:r>
      </w:hyperlink>
    </w:p>
    <w:p w14:paraId="5452020C" w14:textId="72E963B1" w:rsidR="00477FFD" w:rsidRPr="00477FFD" w:rsidRDefault="00477FFD" w:rsidP="00477FFD">
      <w:pPr>
        <w:pStyle w:val="TOC1"/>
        <w:rPr>
          <w:rStyle w:val="af2"/>
        </w:rPr>
      </w:pPr>
      <w:r w:rsidRPr="00477FFD">
        <w:rPr>
          <w:rStyle w:val="af2"/>
        </w:rPr>
        <w:t>C</w:t>
      </w:r>
      <w:hyperlink w:anchor="_Toc198286983" w:history="1">
        <w:r w:rsidRPr="00477FFD">
          <w:rPr>
            <w:rStyle w:val="af2"/>
          </w:rPr>
          <w:t>hapter 3 Research Design</w:t>
        </w:r>
        <w:r w:rsidRPr="00477FFD">
          <w:rPr>
            <w:rStyle w:val="af2"/>
            <w:webHidden/>
          </w:rPr>
          <w:tab/>
        </w:r>
        <w:r w:rsidRPr="00477FFD">
          <w:rPr>
            <w:rStyle w:val="af2"/>
            <w:webHidden/>
          </w:rPr>
          <w:fldChar w:fldCharType="begin"/>
        </w:r>
        <w:r w:rsidRPr="00477FFD">
          <w:rPr>
            <w:rStyle w:val="af2"/>
            <w:webHidden/>
          </w:rPr>
          <w:instrText xml:space="preserve"> PAGEREF _Toc198286983 \h </w:instrText>
        </w:r>
        <w:r w:rsidRPr="00477FFD">
          <w:rPr>
            <w:rStyle w:val="af2"/>
            <w:webHidden/>
          </w:rPr>
        </w:r>
        <w:r w:rsidRPr="00477FFD">
          <w:rPr>
            <w:rStyle w:val="af2"/>
            <w:webHidden/>
          </w:rPr>
          <w:fldChar w:fldCharType="separate"/>
        </w:r>
        <w:r w:rsidR="00AF2180">
          <w:rPr>
            <w:rStyle w:val="af2"/>
            <w:webHidden/>
          </w:rPr>
          <w:t>18</w:t>
        </w:r>
        <w:r w:rsidRPr="00477FFD">
          <w:rPr>
            <w:rStyle w:val="af2"/>
            <w:webHidden/>
          </w:rPr>
          <w:fldChar w:fldCharType="end"/>
        </w:r>
      </w:hyperlink>
    </w:p>
    <w:p w14:paraId="69257A1F" w14:textId="3B0EABAD"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84" w:history="1">
        <w:r w:rsidRPr="00477FFD">
          <w:rPr>
            <w:rStyle w:val="af2"/>
            <w:rFonts w:ascii="Times New Roman" w:hAnsi="Times New Roman"/>
            <w:noProof/>
          </w:rPr>
          <w:t>3.1 Sample Selection and Variable Definition</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_Toc198286984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18</w:t>
        </w:r>
        <w:r w:rsidRPr="00477FFD">
          <w:rPr>
            <w:rFonts w:ascii="Times New Roman" w:hAnsi="Times New Roman"/>
            <w:noProof/>
            <w:webHidden/>
          </w:rPr>
          <w:fldChar w:fldCharType="end"/>
        </w:r>
      </w:hyperlink>
    </w:p>
    <w:p w14:paraId="5DCAE973" w14:textId="0186E110"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85" w:history="1">
        <w:r w:rsidRPr="00477FFD">
          <w:rPr>
            <w:rStyle w:val="af2"/>
            <w:rFonts w:ascii="Times New Roman" w:hAnsi="Times New Roman"/>
            <w:noProof/>
          </w:rPr>
          <w:t>3.1.1 Sample Selection</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_Toc198286985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18</w:t>
        </w:r>
        <w:r w:rsidRPr="00477FFD">
          <w:rPr>
            <w:rFonts w:ascii="Times New Roman" w:hAnsi="Times New Roman"/>
            <w:noProof/>
            <w:webHidden/>
          </w:rPr>
          <w:fldChar w:fldCharType="end"/>
        </w:r>
      </w:hyperlink>
    </w:p>
    <w:p w14:paraId="4C6ADA16" w14:textId="5192FA79"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86" w:history="1">
        <w:r w:rsidRPr="00477FFD">
          <w:rPr>
            <w:rStyle w:val="af2"/>
            <w:rFonts w:ascii="Times New Roman" w:hAnsi="Times New Roman"/>
            <w:noProof/>
          </w:rPr>
          <w:t>3.1.2 Organizational Capital Definitions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_Toc198286986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18</w:t>
        </w:r>
        <w:r w:rsidRPr="00477FFD">
          <w:rPr>
            <w:rFonts w:ascii="Times New Roman" w:hAnsi="Times New Roman"/>
            <w:noProof/>
            <w:webHidden/>
          </w:rPr>
          <w:fldChar w:fldCharType="end"/>
        </w:r>
      </w:hyperlink>
    </w:p>
    <w:p w14:paraId="3A3D5AC1" w14:textId="22AE3802"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87" w:history="1">
        <w:r w:rsidRPr="00477FFD">
          <w:rPr>
            <w:rStyle w:val="af2"/>
            <w:rFonts w:ascii="Times New Roman" w:hAnsi="Times New Roman"/>
            <w:noProof/>
          </w:rPr>
          <w:t>3.1.3 D&amp;O Liability Insurance Definitions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_Toc198286987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19</w:t>
        </w:r>
        <w:r w:rsidRPr="00477FFD">
          <w:rPr>
            <w:rFonts w:ascii="Times New Roman" w:hAnsi="Times New Roman"/>
            <w:noProof/>
            <w:webHidden/>
          </w:rPr>
          <w:fldChar w:fldCharType="end"/>
        </w:r>
      </w:hyperlink>
    </w:p>
    <w:p w14:paraId="5ECF7301" w14:textId="0111BBFF"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88" w:history="1">
        <w:r w:rsidRPr="00477FFD">
          <w:rPr>
            <w:rStyle w:val="af2"/>
            <w:rFonts w:ascii="Times New Roman" w:hAnsi="Times New Roman"/>
            <w:noProof/>
          </w:rPr>
          <w:t>3.1.4 Control Variables Definitions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_Toc198286988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20</w:t>
        </w:r>
        <w:r w:rsidRPr="00477FFD">
          <w:rPr>
            <w:rFonts w:ascii="Times New Roman" w:hAnsi="Times New Roman"/>
            <w:noProof/>
            <w:webHidden/>
          </w:rPr>
          <w:fldChar w:fldCharType="end"/>
        </w:r>
      </w:hyperlink>
    </w:p>
    <w:p w14:paraId="577BE5D9" w14:textId="7BDA1B24"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89" w:history="1">
        <w:r w:rsidRPr="00477FFD">
          <w:rPr>
            <w:rStyle w:val="af2"/>
            <w:rFonts w:ascii="Times New Roman" w:hAnsi="Times New Roman"/>
            <w:noProof/>
          </w:rPr>
          <w:t>3.2 Model Construction</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_Toc198286989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21</w:t>
        </w:r>
        <w:r w:rsidRPr="00477FFD">
          <w:rPr>
            <w:rFonts w:ascii="Times New Roman" w:hAnsi="Times New Roman"/>
            <w:noProof/>
            <w:webHidden/>
          </w:rPr>
          <w:fldChar w:fldCharType="end"/>
        </w:r>
      </w:hyperlink>
    </w:p>
    <w:p w14:paraId="472D92AB" w14:textId="1205B1A2"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90" w:history="1">
        <w:r w:rsidRPr="00477FFD">
          <w:rPr>
            <w:rStyle w:val="af2"/>
            <w:rFonts w:ascii="Times New Roman" w:hAnsi="Times New Roman"/>
            <w:noProof/>
          </w:rPr>
          <w:t>3.3 Descriptive Statistics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_Toc198286990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22</w:t>
        </w:r>
        <w:r w:rsidRPr="00477FFD">
          <w:rPr>
            <w:rFonts w:ascii="Times New Roman" w:hAnsi="Times New Roman"/>
            <w:noProof/>
            <w:webHidden/>
          </w:rPr>
          <w:fldChar w:fldCharType="end"/>
        </w:r>
      </w:hyperlink>
    </w:p>
    <w:p w14:paraId="3A6085FC" w14:textId="5F3362E4" w:rsidR="00477FFD" w:rsidRPr="00477FFD" w:rsidRDefault="00477FFD" w:rsidP="00477FFD">
      <w:pPr>
        <w:pStyle w:val="TOC1"/>
        <w:rPr>
          <w:rFonts w:eastAsiaTheme="minorEastAsia"/>
          <w:kern w:val="2"/>
          <w:sz w:val="22"/>
          <w:szCs w:val="24"/>
          <w14:ligatures w14:val="standardContextual"/>
        </w:rPr>
      </w:pPr>
      <w:r w:rsidRPr="00477FFD">
        <w:t>C</w:t>
      </w:r>
      <w:hyperlink w:anchor="_Toc198286991" w:history="1">
        <w:r w:rsidRPr="00477FFD">
          <w:rPr>
            <w:rStyle w:val="af2"/>
          </w:rPr>
          <w:t>hapter 4 Empirical Analysis</w:t>
        </w:r>
        <w:r w:rsidRPr="00477FFD">
          <w:rPr>
            <w:webHidden/>
          </w:rPr>
          <w:tab/>
        </w:r>
        <w:r w:rsidRPr="00477FFD">
          <w:rPr>
            <w:webHidden/>
          </w:rPr>
          <w:fldChar w:fldCharType="begin"/>
        </w:r>
        <w:r w:rsidRPr="00477FFD">
          <w:rPr>
            <w:webHidden/>
          </w:rPr>
          <w:instrText xml:space="preserve"> PAGEREF _Toc198286991 \h </w:instrText>
        </w:r>
        <w:r w:rsidRPr="00477FFD">
          <w:rPr>
            <w:webHidden/>
          </w:rPr>
        </w:r>
        <w:r w:rsidRPr="00477FFD">
          <w:rPr>
            <w:webHidden/>
          </w:rPr>
          <w:fldChar w:fldCharType="separate"/>
        </w:r>
        <w:r w:rsidR="00AF2180">
          <w:rPr>
            <w:webHidden/>
          </w:rPr>
          <w:t>23</w:t>
        </w:r>
        <w:r w:rsidRPr="00477FFD">
          <w:rPr>
            <w:webHidden/>
          </w:rPr>
          <w:fldChar w:fldCharType="end"/>
        </w:r>
      </w:hyperlink>
    </w:p>
    <w:p w14:paraId="2400E28D" w14:textId="451FB9CA"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92" w:history="1">
        <w:r w:rsidRPr="00477FFD">
          <w:rPr>
            <w:rStyle w:val="af2"/>
            <w:rFonts w:ascii="Times New Roman" w:hAnsi="Times New Roman"/>
            <w:noProof/>
          </w:rPr>
          <w:t>4.1 Baseline Results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_Toc198286992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23</w:t>
        </w:r>
        <w:r w:rsidRPr="00477FFD">
          <w:rPr>
            <w:rFonts w:ascii="Times New Roman" w:hAnsi="Times New Roman"/>
            <w:noProof/>
            <w:webHidden/>
          </w:rPr>
          <w:fldChar w:fldCharType="end"/>
        </w:r>
      </w:hyperlink>
    </w:p>
    <w:p w14:paraId="50FFF212" w14:textId="19389BFC"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93" w:history="1">
        <w:r w:rsidRPr="00477FFD">
          <w:rPr>
            <w:rStyle w:val="af2"/>
            <w:rFonts w:ascii="Times New Roman" w:hAnsi="Times New Roman"/>
            <w:noProof/>
          </w:rPr>
          <w:t>4.2 Addressing Endogeneity Issues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_Toc198286993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25</w:t>
        </w:r>
        <w:r w:rsidRPr="00477FFD">
          <w:rPr>
            <w:rFonts w:ascii="Times New Roman" w:hAnsi="Times New Roman"/>
            <w:noProof/>
            <w:webHidden/>
          </w:rPr>
          <w:fldChar w:fldCharType="end"/>
        </w:r>
      </w:hyperlink>
    </w:p>
    <w:p w14:paraId="05F674E2" w14:textId="38DC0F9C"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94" w:history="1">
        <w:r w:rsidRPr="00477FFD">
          <w:rPr>
            <w:rStyle w:val="af2"/>
            <w:rFonts w:ascii="Times New Roman" w:hAnsi="Times New Roman"/>
            <w:noProof/>
          </w:rPr>
          <w:t>4.2.1 Instrumental Variables Approach</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_Toc198286994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25</w:t>
        </w:r>
        <w:r w:rsidRPr="00477FFD">
          <w:rPr>
            <w:rFonts w:ascii="Times New Roman" w:hAnsi="Times New Roman"/>
            <w:noProof/>
            <w:webHidden/>
          </w:rPr>
          <w:fldChar w:fldCharType="end"/>
        </w:r>
      </w:hyperlink>
    </w:p>
    <w:p w14:paraId="5AEEBB7F" w14:textId="21F1AC98"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95" w:history="1">
        <w:r w:rsidRPr="00477FFD">
          <w:rPr>
            <w:rStyle w:val="af2"/>
            <w:rFonts w:ascii="Times New Roman" w:hAnsi="Times New Roman"/>
            <w:noProof/>
          </w:rPr>
          <w:t>4.2.2 Heckman Two-Stage Model and PSM</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_Toc198286995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27</w:t>
        </w:r>
        <w:r w:rsidRPr="00477FFD">
          <w:rPr>
            <w:rFonts w:ascii="Times New Roman" w:hAnsi="Times New Roman"/>
            <w:noProof/>
            <w:webHidden/>
          </w:rPr>
          <w:fldChar w:fldCharType="end"/>
        </w:r>
      </w:hyperlink>
    </w:p>
    <w:p w14:paraId="139BD639" w14:textId="26BCA478"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6996" w:history="1">
        <w:r w:rsidRPr="00477FFD">
          <w:rPr>
            <w:rStyle w:val="af2"/>
            <w:rFonts w:ascii="Times New Roman" w:hAnsi="Times New Roman"/>
            <w:noProof/>
          </w:rPr>
          <w:t>4.3 Mechanism Testing</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_Toc198286996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30</w:t>
        </w:r>
        <w:r w:rsidRPr="00477FFD">
          <w:rPr>
            <w:rFonts w:ascii="Times New Roman" w:hAnsi="Times New Roman"/>
            <w:noProof/>
            <w:webHidden/>
          </w:rPr>
          <w:fldChar w:fldCharType="end"/>
        </w:r>
      </w:hyperlink>
    </w:p>
    <w:p w14:paraId="5C760F70" w14:textId="11B874AD"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97" w:history="1">
        <w:r w:rsidRPr="00477FFD">
          <w:rPr>
            <w:rStyle w:val="af2"/>
            <w:rFonts w:ascii="Times New Roman" w:hAnsi="Times New Roman"/>
            <w:noProof/>
          </w:rPr>
          <w:t>4.3.1 Dual Agency Mechanism</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_Toc198286997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30</w:t>
        </w:r>
        <w:r w:rsidRPr="00477FFD">
          <w:rPr>
            <w:rFonts w:ascii="Times New Roman" w:hAnsi="Times New Roman"/>
            <w:noProof/>
            <w:webHidden/>
          </w:rPr>
          <w:fldChar w:fldCharType="end"/>
        </w:r>
      </w:hyperlink>
    </w:p>
    <w:p w14:paraId="383B2783" w14:textId="5735F760"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6998" w:history="1">
        <w:r w:rsidRPr="00477FFD">
          <w:rPr>
            <w:rStyle w:val="af2"/>
            <w:rFonts w:ascii="Times New Roman" w:hAnsi="Times New Roman"/>
            <w:noProof/>
          </w:rPr>
          <w:t>4.3.2 Investor Attention Mechanism</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_Toc198286998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33</w:t>
        </w:r>
        <w:r w:rsidRPr="00477FFD">
          <w:rPr>
            <w:rFonts w:ascii="Times New Roman" w:hAnsi="Times New Roman"/>
            <w:noProof/>
            <w:webHidden/>
          </w:rPr>
          <w:fldChar w:fldCharType="end"/>
        </w:r>
      </w:hyperlink>
    </w:p>
    <w:p w14:paraId="50678EAD" w14:textId="1A4CE688" w:rsidR="00477FFD" w:rsidRPr="00477FFD" w:rsidRDefault="00477FFD" w:rsidP="00477FFD">
      <w:pPr>
        <w:pStyle w:val="TOC1"/>
        <w:rPr>
          <w:rFonts w:eastAsiaTheme="minorEastAsia"/>
          <w:kern w:val="2"/>
          <w:sz w:val="22"/>
          <w:szCs w:val="24"/>
          <w14:ligatures w14:val="standardContextual"/>
        </w:rPr>
      </w:pPr>
      <w:r w:rsidRPr="00477FFD">
        <w:t>C</w:t>
      </w:r>
      <w:r w:rsidRPr="00477FFD">
        <w:t>h</w:t>
      </w:r>
      <w:r w:rsidRPr="00477FFD">
        <w:t>apter 5 Further Analysis</w:t>
      </w:r>
      <w:hyperlink w:anchor="_Toc198286999" w:history="1">
        <w:r w:rsidRPr="00477FFD">
          <w:rPr>
            <w:webHidden/>
          </w:rPr>
          <w:tab/>
        </w:r>
        <w:r w:rsidRPr="00477FFD">
          <w:rPr>
            <w:webHidden/>
          </w:rPr>
          <w:fldChar w:fldCharType="begin"/>
        </w:r>
        <w:r w:rsidRPr="00477FFD">
          <w:rPr>
            <w:webHidden/>
          </w:rPr>
          <w:instrText xml:space="preserve"> PAGEREF _Toc198286999 \h </w:instrText>
        </w:r>
        <w:r w:rsidRPr="00477FFD">
          <w:rPr>
            <w:webHidden/>
          </w:rPr>
        </w:r>
        <w:r w:rsidRPr="00477FFD">
          <w:rPr>
            <w:webHidden/>
          </w:rPr>
          <w:fldChar w:fldCharType="separate"/>
        </w:r>
        <w:r w:rsidR="00AF2180">
          <w:rPr>
            <w:webHidden/>
          </w:rPr>
          <w:t>35</w:t>
        </w:r>
        <w:r w:rsidRPr="00477FFD">
          <w:rPr>
            <w:webHidden/>
          </w:rPr>
          <w:fldChar w:fldCharType="end"/>
        </w:r>
      </w:hyperlink>
    </w:p>
    <w:p w14:paraId="2FD964A1" w14:textId="6856275F"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7000" w:history="1">
        <w:r w:rsidRPr="00477FFD">
          <w:rPr>
            <w:rStyle w:val="af2"/>
            <w:rFonts w:ascii="Times New Roman" w:hAnsi="Times New Roman"/>
            <w:noProof/>
          </w:rPr>
          <w:t>5.1 Heterogeneity Analysis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_Toc198287000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35</w:t>
        </w:r>
        <w:r w:rsidRPr="00477FFD">
          <w:rPr>
            <w:rFonts w:ascii="Times New Roman" w:hAnsi="Times New Roman"/>
            <w:noProof/>
            <w:webHidden/>
          </w:rPr>
          <w:fldChar w:fldCharType="end"/>
        </w:r>
      </w:hyperlink>
    </w:p>
    <w:p w14:paraId="41F64FE7" w14:textId="1B064FF4"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7001" w:history="1">
        <w:r w:rsidRPr="00477FFD">
          <w:rPr>
            <w:rStyle w:val="af2"/>
            <w:rFonts w:ascii="Times New Roman" w:hAnsi="Times New Roman"/>
            <w:noProof/>
          </w:rPr>
          <w:t>5.1.1 Firm-Level Analysis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_Toc198287001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35</w:t>
        </w:r>
        <w:r w:rsidRPr="00477FFD">
          <w:rPr>
            <w:rFonts w:ascii="Times New Roman" w:hAnsi="Times New Roman"/>
            <w:noProof/>
            <w:webHidden/>
          </w:rPr>
          <w:fldChar w:fldCharType="end"/>
        </w:r>
      </w:hyperlink>
    </w:p>
    <w:p w14:paraId="21641B79" w14:textId="1E923D59"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7002" w:history="1">
        <w:r w:rsidRPr="00477FFD">
          <w:rPr>
            <w:rStyle w:val="af2"/>
            <w:rFonts w:ascii="Times New Roman" w:hAnsi="Times New Roman"/>
            <w:noProof/>
          </w:rPr>
          <w:t>5.1.2 Industry-Level Analysis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_Toc198287002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37</w:t>
        </w:r>
        <w:r w:rsidRPr="00477FFD">
          <w:rPr>
            <w:rFonts w:ascii="Times New Roman" w:hAnsi="Times New Roman"/>
            <w:noProof/>
            <w:webHidden/>
          </w:rPr>
          <w:fldChar w:fldCharType="end"/>
        </w:r>
      </w:hyperlink>
    </w:p>
    <w:p w14:paraId="187EC089" w14:textId="4CCEF57D"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7003" w:history="1">
        <w:r w:rsidRPr="00477FFD">
          <w:rPr>
            <w:rStyle w:val="af2"/>
            <w:rFonts w:ascii="Times New Roman" w:hAnsi="Times New Roman"/>
            <w:noProof/>
          </w:rPr>
          <w:t>5.2 Robustness Checks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_Toc198287003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39</w:t>
        </w:r>
        <w:r w:rsidRPr="00477FFD">
          <w:rPr>
            <w:rFonts w:ascii="Times New Roman" w:hAnsi="Times New Roman"/>
            <w:noProof/>
            <w:webHidden/>
          </w:rPr>
          <w:fldChar w:fldCharType="end"/>
        </w:r>
      </w:hyperlink>
    </w:p>
    <w:p w14:paraId="51ACF780" w14:textId="0D26433B"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7004" w:history="1">
        <w:r w:rsidRPr="00477FFD">
          <w:rPr>
            <w:rStyle w:val="af2"/>
            <w:rFonts w:ascii="Times New Roman" w:hAnsi="Times New Roman"/>
            <w:noProof/>
          </w:rPr>
          <w:t>5.2.1 Replacement of Organizational Capital</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_Toc198287004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39</w:t>
        </w:r>
        <w:r w:rsidRPr="00477FFD">
          <w:rPr>
            <w:rFonts w:ascii="Times New Roman" w:hAnsi="Times New Roman"/>
            <w:noProof/>
            <w:webHidden/>
          </w:rPr>
          <w:fldChar w:fldCharType="end"/>
        </w:r>
      </w:hyperlink>
    </w:p>
    <w:p w14:paraId="739FB806" w14:textId="35F4A2D1" w:rsidR="00477FFD" w:rsidRPr="00477FFD" w:rsidRDefault="00477FFD" w:rsidP="00477FFD">
      <w:pPr>
        <w:pStyle w:val="TOC3"/>
        <w:tabs>
          <w:tab w:val="right" w:leader="dot" w:pos="8296"/>
        </w:tabs>
        <w:rPr>
          <w:rFonts w:ascii="Times New Roman" w:eastAsiaTheme="minorEastAsia" w:hAnsi="Times New Roman"/>
          <w:noProof/>
          <w:kern w:val="2"/>
          <w:sz w:val="22"/>
          <w:szCs w:val="24"/>
          <w14:ligatures w14:val="standardContextual"/>
        </w:rPr>
      </w:pPr>
      <w:hyperlink w:anchor="_Toc198287005" w:history="1">
        <w:r w:rsidRPr="00477FFD">
          <w:rPr>
            <w:rStyle w:val="af2"/>
            <w:rFonts w:ascii="Times New Roman" w:hAnsi="Times New Roman"/>
            <w:noProof/>
          </w:rPr>
          <w:t>5.2.2 Replacement of D&amp;O Insurance</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_Toc198287005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41</w:t>
        </w:r>
        <w:r w:rsidRPr="00477FFD">
          <w:rPr>
            <w:rFonts w:ascii="Times New Roman" w:hAnsi="Times New Roman"/>
            <w:noProof/>
            <w:webHidden/>
          </w:rPr>
          <w:fldChar w:fldCharType="end"/>
        </w:r>
      </w:hyperlink>
    </w:p>
    <w:p w14:paraId="5163A5CE" w14:textId="5B3A306E" w:rsidR="00477FFD" w:rsidRPr="00477FFD" w:rsidRDefault="00477FFD" w:rsidP="00477FFD">
      <w:pPr>
        <w:pStyle w:val="TOC1"/>
        <w:rPr>
          <w:rFonts w:eastAsiaTheme="minorEastAsia"/>
          <w:kern w:val="2"/>
          <w:sz w:val="22"/>
          <w:szCs w:val="24"/>
          <w14:ligatures w14:val="standardContextual"/>
        </w:rPr>
      </w:pPr>
      <w:hyperlink w:anchor="_Toc198287006" w:history="1">
        <w:r w:rsidRPr="00477FFD">
          <w:rPr>
            <w:rStyle w:val="af2"/>
            <w:color w:val="auto"/>
            <w:u w:val="none"/>
          </w:rPr>
          <w:t>Chapter 6 Conclusions and Future Outlook</w:t>
        </w:r>
        <w:r w:rsidRPr="00477FFD">
          <w:rPr>
            <w:webHidden/>
          </w:rPr>
          <w:tab/>
        </w:r>
        <w:r w:rsidRPr="00477FFD">
          <w:rPr>
            <w:webHidden/>
          </w:rPr>
          <w:fldChar w:fldCharType="begin"/>
        </w:r>
        <w:r w:rsidRPr="00477FFD">
          <w:rPr>
            <w:webHidden/>
          </w:rPr>
          <w:instrText xml:space="preserve"> PAGEREF _Toc198287006 \h </w:instrText>
        </w:r>
        <w:r w:rsidRPr="00477FFD">
          <w:rPr>
            <w:webHidden/>
          </w:rPr>
        </w:r>
        <w:r w:rsidRPr="00477FFD">
          <w:rPr>
            <w:webHidden/>
          </w:rPr>
          <w:fldChar w:fldCharType="separate"/>
        </w:r>
        <w:r w:rsidR="00AF2180">
          <w:rPr>
            <w:webHidden/>
          </w:rPr>
          <w:t>43</w:t>
        </w:r>
        <w:r w:rsidRPr="00477FFD">
          <w:rPr>
            <w:webHidden/>
          </w:rPr>
          <w:fldChar w:fldCharType="end"/>
        </w:r>
      </w:hyperlink>
    </w:p>
    <w:p w14:paraId="76DCB1C4" w14:textId="395CAF6F"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7007" w:history="1">
        <w:r w:rsidRPr="00477FFD">
          <w:rPr>
            <w:rStyle w:val="af2"/>
            <w:rFonts w:ascii="Times New Roman" w:hAnsi="Times New Roman"/>
            <w:noProof/>
          </w:rPr>
          <w:t>6.1 Research Conclusions</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_Toc198287007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43</w:t>
        </w:r>
        <w:r w:rsidRPr="00477FFD">
          <w:rPr>
            <w:rFonts w:ascii="Times New Roman" w:hAnsi="Times New Roman"/>
            <w:noProof/>
            <w:webHidden/>
          </w:rPr>
          <w:fldChar w:fldCharType="end"/>
        </w:r>
      </w:hyperlink>
    </w:p>
    <w:p w14:paraId="0B9C958E" w14:textId="5B522523" w:rsidR="00477FFD" w:rsidRPr="00477FFD" w:rsidRDefault="00477FFD" w:rsidP="00477FFD">
      <w:pPr>
        <w:pStyle w:val="TOC2"/>
        <w:tabs>
          <w:tab w:val="right" w:leader="dot" w:pos="8296"/>
        </w:tabs>
        <w:rPr>
          <w:rFonts w:ascii="Times New Roman" w:eastAsiaTheme="minorEastAsia" w:hAnsi="Times New Roman"/>
          <w:b w:val="0"/>
          <w:noProof/>
          <w:kern w:val="2"/>
          <w:sz w:val="22"/>
          <w:szCs w:val="24"/>
          <w14:ligatures w14:val="standardContextual"/>
        </w:rPr>
      </w:pPr>
      <w:hyperlink w:anchor="_Toc198287008" w:history="1">
        <w:r w:rsidRPr="00477FFD">
          <w:rPr>
            <w:rStyle w:val="af2"/>
            <w:rFonts w:ascii="Times New Roman" w:hAnsi="Times New Roman"/>
            <w:noProof/>
          </w:rPr>
          <w:t>6.2 Future Outlook</w:t>
        </w:r>
        <w:r w:rsidRPr="00477FFD">
          <w:rPr>
            <w:rFonts w:ascii="Times New Roman" w:hAnsi="Times New Roman"/>
            <w:noProof/>
            <w:webHidden/>
          </w:rPr>
          <w:tab/>
        </w:r>
        <w:r w:rsidRPr="00477FFD">
          <w:rPr>
            <w:rFonts w:ascii="Times New Roman" w:hAnsi="Times New Roman"/>
            <w:noProof/>
            <w:webHidden/>
          </w:rPr>
          <w:fldChar w:fldCharType="begin"/>
        </w:r>
        <w:r w:rsidRPr="00477FFD">
          <w:rPr>
            <w:rFonts w:ascii="Times New Roman" w:hAnsi="Times New Roman"/>
            <w:noProof/>
            <w:webHidden/>
          </w:rPr>
          <w:instrText xml:space="preserve"> PAGEREF _Toc198287008 \h </w:instrText>
        </w:r>
        <w:r w:rsidRPr="00477FFD">
          <w:rPr>
            <w:rFonts w:ascii="Times New Roman" w:hAnsi="Times New Roman"/>
            <w:noProof/>
            <w:webHidden/>
          </w:rPr>
        </w:r>
        <w:r w:rsidRPr="00477FFD">
          <w:rPr>
            <w:rFonts w:ascii="Times New Roman" w:hAnsi="Times New Roman"/>
            <w:noProof/>
            <w:webHidden/>
          </w:rPr>
          <w:fldChar w:fldCharType="separate"/>
        </w:r>
        <w:r w:rsidR="00AF2180">
          <w:rPr>
            <w:rFonts w:ascii="Times New Roman" w:hAnsi="Times New Roman"/>
            <w:noProof/>
            <w:webHidden/>
          </w:rPr>
          <w:t>43</w:t>
        </w:r>
        <w:r w:rsidRPr="00477FFD">
          <w:rPr>
            <w:rFonts w:ascii="Times New Roman" w:hAnsi="Times New Roman"/>
            <w:noProof/>
            <w:webHidden/>
          </w:rPr>
          <w:fldChar w:fldCharType="end"/>
        </w:r>
      </w:hyperlink>
    </w:p>
    <w:p w14:paraId="11222B0D" w14:textId="178FF62B" w:rsidR="00477FFD" w:rsidRPr="00477FFD" w:rsidRDefault="00477FFD" w:rsidP="00477FFD">
      <w:pPr>
        <w:pStyle w:val="TOC1"/>
        <w:rPr>
          <w:rFonts w:eastAsiaTheme="minorEastAsia"/>
          <w:kern w:val="2"/>
          <w:sz w:val="22"/>
          <w:szCs w:val="24"/>
          <w14:ligatures w14:val="standardContextual"/>
        </w:rPr>
      </w:pPr>
      <w:r w:rsidRPr="00477FFD">
        <w:t>R</w:t>
      </w:r>
      <w:hyperlink w:anchor="_Toc198287009" w:history="1">
        <w:r w:rsidRPr="00477FFD">
          <w:rPr>
            <w:rStyle w:val="af2"/>
          </w:rPr>
          <w:t>eferences</w:t>
        </w:r>
        <w:r w:rsidRPr="00477FFD">
          <w:rPr>
            <w:webHidden/>
          </w:rPr>
          <w:tab/>
        </w:r>
        <w:r w:rsidRPr="00477FFD">
          <w:rPr>
            <w:webHidden/>
          </w:rPr>
          <w:fldChar w:fldCharType="begin"/>
        </w:r>
        <w:r w:rsidRPr="00477FFD">
          <w:rPr>
            <w:webHidden/>
          </w:rPr>
          <w:instrText xml:space="preserve"> PAGEREF _Toc198287009 \h </w:instrText>
        </w:r>
        <w:r w:rsidRPr="00477FFD">
          <w:rPr>
            <w:webHidden/>
          </w:rPr>
        </w:r>
        <w:r w:rsidRPr="00477FFD">
          <w:rPr>
            <w:webHidden/>
          </w:rPr>
          <w:fldChar w:fldCharType="separate"/>
        </w:r>
        <w:r w:rsidR="00AF2180">
          <w:rPr>
            <w:webHidden/>
          </w:rPr>
          <w:t>46</w:t>
        </w:r>
        <w:r w:rsidRPr="00477FFD">
          <w:rPr>
            <w:webHidden/>
          </w:rPr>
          <w:fldChar w:fldCharType="end"/>
        </w:r>
      </w:hyperlink>
    </w:p>
    <w:p w14:paraId="66DA499E" w14:textId="1F1CFA3C" w:rsidR="00477FFD" w:rsidRPr="00477FFD" w:rsidRDefault="00477FFD" w:rsidP="00477FFD">
      <w:pPr>
        <w:pStyle w:val="TOC1"/>
        <w:rPr>
          <w:rFonts w:eastAsiaTheme="minorEastAsia"/>
          <w:kern w:val="2"/>
          <w:sz w:val="22"/>
          <w:szCs w:val="24"/>
          <w14:ligatures w14:val="standardContextual"/>
        </w:rPr>
      </w:pPr>
      <w:hyperlink w:anchor="_Toc198287010" w:history="1">
        <w:r w:rsidRPr="00477FFD">
          <w:rPr>
            <w:rStyle w:val="af2"/>
            <w:color w:val="auto"/>
            <w:u w:val="none"/>
          </w:rPr>
          <w:t>Acknowledgements</w:t>
        </w:r>
        <w:r w:rsidRPr="00477FFD">
          <w:rPr>
            <w:webHidden/>
          </w:rPr>
          <w:tab/>
        </w:r>
        <w:r w:rsidRPr="00477FFD">
          <w:rPr>
            <w:webHidden/>
          </w:rPr>
          <w:fldChar w:fldCharType="begin"/>
        </w:r>
        <w:r w:rsidRPr="00477FFD">
          <w:rPr>
            <w:webHidden/>
          </w:rPr>
          <w:instrText xml:space="preserve"> PAGEREF _Toc198287010 \h </w:instrText>
        </w:r>
        <w:r w:rsidRPr="00477FFD">
          <w:rPr>
            <w:webHidden/>
          </w:rPr>
        </w:r>
        <w:r w:rsidRPr="00477FFD">
          <w:rPr>
            <w:webHidden/>
          </w:rPr>
          <w:fldChar w:fldCharType="separate"/>
        </w:r>
        <w:r w:rsidR="00AF2180">
          <w:rPr>
            <w:webHidden/>
          </w:rPr>
          <w:t>51</w:t>
        </w:r>
        <w:r w:rsidRPr="00477FFD">
          <w:rPr>
            <w:webHidden/>
          </w:rPr>
          <w:fldChar w:fldCharType="end"/>
        </w:r>
      </w:hyperlink>
    </w:p>
    <w:p w14:paraId="720D05FF" w14:textId="5F471F91" w:rsidR="00653C89" w:rsidRPr="00477FFD" w:rsidRDefault="00477FFD" w:rsidP="00477FFD">
      <w:pPr>
        <w:pStyle w:val="TOC1"/>
        <w:rPr>
          <w:rFonts w:eastAsiaTheme="minorEastAsia"/>
          <w:kern w:val="2"/>
          <w:sz w:val="22"/>
          <w:szCs w:val="24"/>
          <w14:ligatures w14:val="standardContextual"/>
        </w:rPr>
      </w:pPr>
      <w:r w:rsidRPr="00477FFD">
        <w:fldChar w:fldCharType="end"/>
      </w:r>
    </w:p>
    <w:p w14:paraId="63C1F1C8" w14:textId="78AC0810" w:rsidR="0091542A" w:rsidRPr="00477FFD" w:rsidRDefault="0091542A" w:rsidP="00477FFD">
      <w:pPr>
        <w:pStyle w:val="TOC1"/>
      </w:pPr>
    </w:p>
    <w:p w14:paraId="1BE0E167" w14:textId="1D67E5E2" w:rsidR="0091542A" w:rsidRPr="0091542A" w:rsidRDefault="0091542A" w:rsidP="00477FFD">
      <w:pPr>
        <w:pStyle w:val="TOC1"/>
        <w:rPr>
          <w:rFonts w:hint="eastAsia"/>
        </w:rPr>
      </w:pPr>
      <w:r w:rsidRPr="00477FFD">
        <w:fldChar w:fldCharType="end"/>
      </w:r>
      <w:bookmarkEnd w:id="1"/>
      <w:r w:rsidRPr="0091542A">
        <w:t xml:space="preserve"> </w:t>
      </w:r>
    </w:p>
    <w:p w14:paraId="2E07CB98" w14:textId="455C610D" w:rsidR="00B071EE" w:rsidRPr="00D140D1" w:rsidRDefault="00B071EE" w:rsidP="00B071EE">
      <w:pPr>
        <w:spacing w:line="360" w:lineRule="exact"/>
        <w:ind w:firstLine="560"/>
        <w:rPr>
          <w:noProof/>
          <w:kern w:val="0"/>
          <w:sz w:val="28"/>
          <w:szCs w:val="22"/>
        </w:rPr>
      </w:pPr>
    </w:p>
    <w:p w14:paraId="1640C689" w14:textId="77777777" w:rsidR="00B071EE" w:rsidRPr="00D140D1" w:rsidRDefault="00B071EE" w:rsidP="0007233B">
      <w:pPr>
        <w:spacing w:line="360" w:lineRule="exact"/>
        <w:ind w:firstLine="560"/>
        <w:rPr>
          <w:noProof/>
          <w:kern w:val="0"/>
          <w:sz w:val="28"/>
          <w:szCs w:val="22"/>
        </w:rPr>
      </w:pPr>
    </w:p>
    <w:p w14:paraId="6BFF5005" w14:textId="77777777" w:rsidR="00B071EE" w:rsidRDefault="00B071EE" w:rsidP="0007233B">
      <w:pPr>
        <w:spacing w:line="360" w:lineRule="exact"/>
        <w:ind w:firstLine="560"/>
        <w:rPr>
          <w:rFonts w:eastAsia="黑体"/>
          <w:noProof/>
          <w:kern w:val="0"/>
          <w:sz w:val="28"/>
          <w:szCs w:val="22"/>
        </w:rPr>
      </w:pPr>
    </w:p>
    <w:p w14:paraId="6FD646CE" w14:textId="77777777" w:rsidR="00B071EE" w:rsidRDefault="00B071EE" w:rsidP="0007233B">
      <w:pPr>
        <w:spacing w:line="360" w:lineRule="exact"/>
        <w:ind w:firstLine="560"/>
        <w:rPr>
          <w:rFonts w:eastAsia="黑体"/>
          <w:noProof/>
          <w:kern w:val="0"/>
          <w:sz w:val="28"/>
          <w:szCs w:val="22"/>
        </w:rPr>
      </w:pPr>
    </w:p>
    <w:p w14:paraId="38A16358" w14:textId="77777777" w:rsidR="00B071EE" w:rsidRDefault="00B071EE" w:rsidP="0007233B">
      <w:pPr>
        <w:spacing w:line="360" w:lineRule="exact"/>
        <w:ind w:firstLine="560"/>
        <w:rPr>
          <w:rFonts w:eastAsia="黑体"/>
          <w:noProof/>
          <w:kern w:val="0"/>
          <w:sz w:val="28"/>
          <w:szCs w:val="22"/>
        </w:rPr>
      </w:pPr>
    </w:p>
    <w:p w14:paraId="47919BBB" w14:textId="77777777" w:rsidR="00B071EE" w:rsidRDefault="00B071EE" w:rsidP="0007233B">
      <w:pPr>
        <w:spacing w:line="360" w:lineRule="exact"/>
        <w:ind w:firstLine="560"/>
        <w:rPr>
          <w:rFonts w:eastAsia="黑体"/>
          <w:noProof/>
          <w:kern w:val="0"/>
          <w:sz w:val="28"/>
          <w:szCs w:val="22"/>
        </w:rPr>
      </w:pPr>
    </w:p>
    <w:p w14:paraId="5D97ADDA" w14:textId="77777777" w:rsidR="00B071EE" w:rsidRDefault="00B071EE" w:rsidP="0007233B">
      <w:pPr>
        <w:spacing w:line="360" w:lineRule="exact"/>
        <w:ind w:firstLine="560"/>
        <w:rPr>
          <w:rFonts w:eastAsia="黑体"/>
          <w:noProof/>
          <w:kern w:val="0"/>
          <w:sz w:val="28"/>
          <w:szCs w:val="22"/>
        </w:rPr>
      </w:pPr>
    </w:p>
    <w:p w14:paraId="4AB73C4E" w14:textId="77777777" w:rsidR="00B071EE" w:rsidRDefault="00B071EE" w:rsidP="0007233B">
      <w:pPr>
        <w:spacing w:line="360" w:lineRule="exact"/>
        <w:ind w:firstLine="560"/>
        <w:rPr>
          <w:rFonts w:eastAsia="黑体"/>
          <w:noProof/>
          <w:kern w:val="0"/>
          <w:sz w:val="28"/>
          <w:szCs w:val="22"/>
        </w:rPr>
      </w:pPr>
    </w:p>
    <w:p w14:paraId="4E2D9C4D" w14:textId="77777777" w:rsidR="00B071EE" w:rsidRDefault="00B071EE" w:rsidP="0007233B">
      <w:pPr>
        <w:spacing w:line="360" w:lineRule="exact"/>
        <w:ind w:firstLine="560"/>
        <w:rPr>
          <w:rFonts w:eastAsia="黑体"/>
          <w:noProof/>
          <w:kern w:val="0"/>
          <w:sz w:val="28"/>
          <w:szCs w:val="22"/>
        </w:rPr>
      </w:pPr>
    </w:p>
    <w:p w14:paraId="0547DE22" w14:textId="77777777" w:rsidR="00B071EE" w:rsidRDefault="00B071EE" w:rsidP="0007233B">
      <w:pPr>
        <w:spacing w:line="360" w:lineRule="exact"/>
        <w:ind w:firstLine="560"/>
        <w:rPr>
          <w:rFonts w:eastAsia="黑体"/>
          <w:noProof/>
          <w:kern w:val="0"/>
          <w:sz w:val="28"/>
          <w:szCs w:val="22"/>
        </w:rPr>
      </w:pPr>
    </w:p>
    <w:p w14:paraId="6ACDE70C" w14:textId="77777777" w:rsidR="00B071EE" w:rsidRDefault="00B071EE" w:rsidP="0007233B">
      <w:pPr>
        <w:spacing w:line="360" w:lineRule="exact"/>
        <w:ind w:firstLine="560"/>
        <w:rPr>
          <w:rFonts w:eastAsia="黑体"/>
          <w:noProof/>
          <w:kern w:val="0"/>
          <w:sz w:val="28"/>
          <w:szCs w:val="22"/>
        </w:rPr>
      </w:pPr>
    </w:p>
    <w:p w14:paraId="58BDEF8B" w14:textId="77777777" w:rsidR="00B071EE" w:rsidRDefault="00B071EE" w:rsidP="0007233B">
      <w:pPr>
        <w:spacing w:line="360" w:lineRule="exact"/>
        <w:ind w:firstLine="560"/>
        <w:rPr>
          <w:rFonts w:eastAsia="黑体"/>
          <w:noProof/>
          <w:kern w:val="0"/>
          <w:sz w:val="28"/>
          <w:szCs w:val="22"/>
        </w:rPr>
      </w:pPr>
    </w:p>
    <w:p w14:paraId="2EE88477" w14:textId="77777777" w:rsidR="00B071EE" w:rsidRDefault="00B071EE" w:rsidP="0007233B">
      <w:pPr>
        <w:spacing w:line="360" w:lineRule="exact"/>
        <w:ind w:firstLine="560"/>
        <w:rPr>
          <w:rFonts w:eastAsia="黑体"/>
          <w:noProof/>
          <w:kern w:val="0"/>
          <w:sz w:val="28"/>
          <w:szCs w:val="22"/>
        </w:rPr>
      </w:pPr>
    </w:p>
    <w:p w14:paraId="7C24875D" w14:textId="77777777" w:rsidR="00B071EE" w:rsidRDefault="00B071EE" w:rsidP="0007233B">
      <w:pPr>
        <w:spacing w:line="360" w:lineRule="exact"/>
        <w:ind w:firstLine="560"/>
        <w:rPr>
          <w:rFonts w:eastAsia="黑体"/>
          <w:noProof/>
          <w:kern w:val="0"/>
          <w:sz w:val="28"/>
          <w:szCs w:val="22"/>
        </w:rPr>
      </w:pPr>
    </w:p>
    <w:p w14:paraId="1D4D07F8" w14:textId="77777777" w:rsidR="00B071EE" w:rsidRDefault="00B071EE" w:rsidP="0007233B">
      <w:pPr>
        <w:spacing w:line="360" w:lineRule="exact"/>
        <w:ind w:firstLine="560"/>
        <w:rPr>
          <w:rFonts w:eastAsia="黑体"/>
          <w:noProof/>
          <w:kern w:val="0"/>
          <w:sz w:val="28"/>
          <w:szCs w:val="22"/>
        </w:rPr>
      </w:pPr>
    </w:p>
    <w:p w14:paraId="7E3FFD5A" w14:textId="77777777" w:rsidR="00B071EE" w:rsidRDefault="00B071EE" w:rsidP="0007233B">
      <w:pPr>
        <w:spacing w:line="360" w:lineRule="exact"/>
        <w:ind w:firstLine="560"/>
        <w:rPr>
          <w:rFonts w:eastAsia="黑体"/>
          <w:noProof/>
          <w:kern w:val="0"/>
          <w:sz w:val="28"/>
          <w:szCs w:val="22"/>
        </w:rPr>
      </w:pPr>
    </w:p>
    <w:p w14:paraId="00F5747C" w14:textId="77777777" w:rsidR="00B071EE" w:rsidRDefault="00B071EE" w:rsidP="0007233B">
      <w:pPr>
        <w:spacing w:line="360" w:lineRule="exact"/>
        <w:ind w:firstLine="560"/>
        <w:rPr>
          <w:rFonts w:eastAsia="黑体"/>
          <w:noProof/>
          <w:kern w:val="0"/>
          <w:sz w:val="28"/>
          <w:szCs w:val="22"/>
        </w:rPr>
      </w:pPr>
    </w:p>
    <w:p w14:paraId="1C5F2FCE" w14:textId="77777777" w:rsidR="00B071EE" w:rsidRDefault="00B071EE" w:rsidP="0007233B">
      <w:pPr>
        <w:spacing w:line="360" w:lineRule="exact"/>
        <w:ind w:firstLine="560"/>
        <w:rPr>
          <w:rFonts w:eastAsia="黑体"/>
          <w:noProof/>
          <w:kern w:val="0"/>
          <w:sz w:val="28"/>
          <w:szCs w:val="22"/>
        </w:rPr>
      </w:pPr>
    </w:p>
    <w:p w14:paraId="11AB4159" w14:textId="77777777" w:rsidR="00B071EE" w:rsidRDefault="00B071EE" w:rsidP="0007233B">
      <w:pPr>
        <w:spacing w:line="360" w:lineRule="exact"/>
        <w:ind w:firstLine="560"/>
        <w:rPr>
          <w:rFonts w:eastAsia="黑体"/>
          <w:noProof/>
          <w:kern w:val="0"/>
          <w:sz w:val="28"/>
          <w:szCs w:val="22"/>
        </w:rPr>
      </w:pPr>
    </w:p>
    <w:p w14:paraId="1CF195D1" w14:textId="77777777" w:rsidR="00B071EE" w:rsidRDefault="00B071EE" w:rsidP="0007233B">
      <w:pPr>
        <w:spacing w:line="360" w:lineRule="exact"/>
        <w:ind w:firstLine="560"/>
        <w:rPr>
          <w:rFonts w:eastAsia="黑体"/>
          <w:noProof/>
          <w:kern w:val="0"/>
          <w:sz w:val="28"/>
          <w:szCs w:val="22"/>
        </w:rPr>
      </w:pPr>
    </w:p>
    <w:p w14:paraId="42E30AF4" w14:textId="77777777" w:rsidR="00B071EE" w:rsidRDefault="00B071EE" w:rsidP="0007233B">
      <w:pPr>
        <w:spacing w:line="360" w:lineRule="exact"/>
        <w:ind w:firstLine="560"/>
        <w:rPr>
          <w:rFonts w:eastAsia="黑体"/>
          <w:noProof/>
          <w:kern w:val="0"/>
          <w:sz w:val="28"/>
          <w:szCs w:val="22"/>
        </w:rPr>
      </w:pPr>
    </w:p>
    <w:p w14:paraId="67E439D7" w14:textId="77777777" w:rsidR="00B071EE" w:rsidRDefault="00B071EE" w:rsidP="0007233B">
      <w:pPr>
        <w:spacing w:line="360" w:lineRule="exact"/>
        <w:ind w:firstLine="560"/>
        <w:rPr>
          <w:rFonts w:eastAsia="黑体"/>
          <w:noProof/>
          <w:kern w:val="0"/>
          <w:sz w:val="28"/>
          <w:szCs w:val="22"/>
        </w:rPr>
      </w:pPr>
    </w:p>
    <w:p w14:paraId="451F23C6" w14:textId="77777777" w:rsidR="00B071EE" w:rsidRDefault="00B071EE" w:rsidP="0007233B">
      <w:pPr>
        <w:spacing w:line="360" w:lineRule="exact"/>
        <w:ind w:firstLine="560"/>
        <w:rPr>
          <w:rFonts w:eastAsia="黑体"/>
          <w:noProof/>
          <w:kern w:val="0"/>
          <w:sz w:val="28"/>
          <w:szCs w:val="22"/>
        </w:rPr>
      </w:pPr>
    </w:p>
    <w:p w14:paraId="26204036" w14:textId="77777777" w:rsidR="00B071EE" w:rsidRDefault="00B071EE" w:rsidP="0007233B">
      <w:pPr>
        <w:spacing w:line="360" w:lineRule="exact"/>
        <w:ind w:firstLine="560"/>
        <w:rPr>
          <w:rFonts w:eastAsia="黑体"/>
          <w:noProof/>
          <w:kern w:val="0"/>
          <w:sz w:val="28"/>
          <w:szCs w:val="22"/>
        </w:rPr>
      </w:pPr>
    </w:p>
    <w:p w14:paraId="069D2608" w14:textId="77777777" w:rsidR="00B071EE" w:rsidRDefault="00B071EE" w:rsidP="0007233B">
      <w:pPr>
        <w:spacing w:line="360" w:lineRule="exact"/>
        <w:ind w:firstLine="560"/>
        <w:rPr>
          <w:rFonts w:eastAsia="黑体"/>
          <w:noProof/>
          <w:kern w:val="0"/>
          <w:sz w:val="28"/>
          <w:szCs w:val="22"/>
        </w:rPr>
      </w:pPr>
    </w:p>
    <w:p w14:paraId="10DC5858" w14:textId="77777777" w:rsidR="00B071EE" w:rsidRDefault="00B071EE" w:rsidP="0007233B">
      <w:pPr>
        <w:spacing w:line="360" w:lineRule="exact"/>
        <w:ind w:firstLine="560"/>
        <w:rPr>
          <w:rFonts w:eastAsia="黑体"/>
          <w:noProof/>
          <w:kern w:val="0"/>
          <w:sz w:val="28"/>
          <w:szCs w:val="22"/>
        </w:rPr>
      </w:pPr>
    </w:p>
    <w:p w14:paraId="5E9AA5CA" w14:textId="77777777" w:rsidR="00B071EE" w:rsidRDefault="00B071EE" w:rsidP="0007233B">
      <w:pPr>
        <w:spacing w:line="360" w:lineRule="exact"/>
        <w:ind w:firstLine="560"/>
        <w:rPr>
          <w:rFonts w:eastAsia="黑体"/>
          <w:noProof/>
          <w:kern w:val="0"/>
          <w:sz w:val="28"/>
          <w:szCs w:val="22"/>
        </w:rPr>
      </w:pPr>
    </w:p>
    <w:p w14:paraId="57F8077D" w14:textId="6718932B" w:rsidR="00D16D61" w:rsidRPr="00086241" w:rsidRDefault="00D16D61" w:rsidP="00B9596C">
      <w:pPr>
        <w:spacing w:line="360" w:lineRule="exact"/>
        <w:rPr>
          <w:rFonts w:hint="eastAsia"/>
          <w:sz w:val="24"/>
        </w:rPr>
        <w:sectPr w:rsidR="00D16D61" w:rsidRPr="00086241" w:rsidSect="0007233B">
          <w:pgSz w:w="11906" w:h="16838"/>
          <w:pgMar w:top="1440" w:right="1800" w:bottom="1440" w:left="1800" w:header="851" w:footer="992" w:gutter="0"/>
          <w:pgNumType w:fmt="upperRoman"/>
          <w:cols w:space="425"/>
          <w:titlePg/>
          <w:docGrid w:type="lines" w:linePitch="312"/>
        </w:sectPr>
      </w:pPr>
    </w:p>
    <w:p w14:paraId="1E118EFE" w14:textId="687F5341" w:rsidR="00F7781D" w:rsidRPr="00C0628E" w:rsidRDefault="00C0628E" w:rsidP="00C0628E">
      <w:pPr>
        <w:pStyle w:val="1"/>
        <w:rPr>
          <w:rFonts w:hint="eastAsia"/>
        </w:rPr>
      </w:pPr>
      <w:bookmarkStart w:id="2" w:name="_Toc191420719"/>
      <w:bookmarkStart w:id="3" w:name="_Toc191574090"/>
      <w:bookmarkStart w:id="4" w:name="_Toc198286962"/>
      <w:r w:rsidRPr="00C74EB6">
        <w:rPr>
          <w:rFonts w:hint="eastAsia"/>
        </w:rPr>
        <w:lastRenderedPageBreak/>
        <w:t>引言</w:t>
      </w:r>
      <w:bookmarkEnd w:id="2"/>
      <w:bookmarkEnd w:id="3"/>
      <w:bookmarkEnd w:id="4"/>
      <w:r w:rsidRPr="00C74EB6">
        <w:rPr>
          <w:rFonts w:hint="eastAsia"/>
        </w:rPr>
        <w:t xml:space="preserve">  </w:t>
      </w:r>
    </w:p>
    <w:p w14:paraId="64C20B6C" w14:textId="574293DD" w:rsidR="009C2603" w:rsidRPr="00C74EB6" w:rsidRDefault="009C2603" w:rsidP="00C74EB6">
      <w:pPr>
        <w:pStyle w:val="2"/>
      </w:pPr>
      <w:bookmarkStart w:id="5" w:name="_Toc191420720"/>
      <w:bookmarkStart w:id="6" w:name="_Toc191574091"/>
      <w:bookmarkStart w:id="7" w:name="_Toc198286963"/>
      <w:r w:rsidRPr="00C74EB6">
        <w:rPr>
          <w:rFonts w:hint="eastAsia"/>
        </w:rPr>
        <w:t>研究背景</w:t>
      </w:r>
      <w:bookmarkEnd w:id="5"/>
      <w:bookmarkEnd w:id="6"/>
      <w:bookmarkEnd w:id="7"/>
    </w:p>
    <w:p w14:paraId="50D47B4F" w14:textId="77777777" w:rsidR="006B2D50" w:rsidRDefault="006B2D50" w:rsidP="006B2D50">
      <w:pPr>
        <w:spacing w:line="360" w:lineRule="auto"/>
        <w:ind w:firstLineChars="200" w:firstLine="480"/>
        <w:rPr>
          <w:sz w:val="24"/>
        </w:rPr>
      </w:pPr>
      <w:bookmarkStart w:id="8" w:name="_Hlk185462533"/>
      <w:bookmarkStart w:id="9" w:name="_Toc500839020"/>
      <w:r>
        <w:rPr>
          <w:rFonts w:hint="eastAsia"/>
          <w:sz w:val="24"/>
        </w:rPr>
        <w:t>近年来，监管部门愈发强调资本市场的投资功能，投资者的热情得以提升。</w:t>
      </w:r>
      <w:r>
        <w:rPr>
          <w:rFonts w:hint="eastAsia"/>
          <w:sz w:val="24"/>
        </w:rPr>
        <w:t>2024</w:t>
      </w:r>
      <w:r>
        <w:rPr>
          <w:rFonts w:hint="eastAsia"/>
          <w:sz w:val="24"/>
        </w:rPr>
        <w:t>年</w:t>
      </w:r>
      <w:r>
        <w:rPr>
          <w:rFonts w:hint="eastAsia"/>
          <w:sz w:val="24"/>
        </w:rPr>
        <w:t>4</w:t>
      </w:r>
      <w:r>
        <w:rPr>
          <w:rFonts w:hint="eastAsia"/>
          <w:sz w:val="24"/>
        </w:rPr>
        <w:t>月国务院发布的《关于加强监管防范风险推动资本市场高质量发展的若干意见》强调推动中长期资金入市、提高上市标准、加大退市监管力度，优化投资质量。</w:t>
      </w:r>
      <w:r>
        <w:rPr>
          <w:rFonts w:hint="eastAsia"/>
          <w:sz w:val="24"/>
        </w:rPr>
        <w:t>2024</w:t>
      </w:r>
      <w:r>
        <w:rPr>
          <w:rFonts w:hint="eastAsia"/>
          <w:sz w:val="24"/>
        </w:rPr>
        <w:t>年</w:t>
      </w:r>
      <w:r>
        <w:rPr>
          <w:rFonts w:hint="eastAsia"/>
          <w:sz w:val="24"/>
        </w:rPr>
        <w:t>9</w:t>
      </w:r>
      <w:r>
        <w:rPr>
          <w:rFonts w:hint="eastAsia"/>
          <w:sz w:val="24"/>
        </w:rPr>
        <w:t>月</w:t>
      </w:r>
      <w:r>
        <w:rPr>
          <w:rFonts w:hint="eastAsia"/>
          <w:sz w:val="24"/>
        </w:rPr>
        <w:t>24</w:t>
      </w:r>
      <w:r>
        <w:rPr>
          <w:rFonts w:hint="eastAsia"/>
          <w:sz w:val="24"/>
        </w:rPr>
        <w:t>日，国新办举办的新闻发布会提出股票回购增持专项再贷款和证券基金保险互换便利等新工具，进一步推动长期资金入市，提升市场信心。</w:t>
      </w:r>
    </w:p>
    <w:p w14:paraId="4F7206C9" w14:textId="1E71D47C" w:rsidR="00D41641" w:rsidRDefault="00D41641" w:rsidP="00C40FB9">
      <w:pPr>
        <w:spacing w:line="360" w:lineRule="auto"/>
        <w:ind w:firstLineChars="200" w:firstLine="480"/>
        <w:rPr>
          <w:sz w:val="24"/>
        </w:rPr>
      </w:pPr>
      <w:r>
        <w:rPr>
          <w:rFonts w:hint="eastAsia"/>
          <w:sz w:val="24"/>
        </w:rPr>
        <w:t>我国资本市场中小股东占比极高，投资</w:t>
      </w:r>
      <w:r w:rsidR="00BB4C72">
        <w:rPr>
          <w:rFonts w:hint="eastAsia"/>
          <w:sz w:val="24"/>
        </w:rPr>
        <w:t>者</w:t>
      </w:r>
      <w:r>
        <w:rPr>
          <w:rFonts w:hint="eastAsia"/>
          <w:sz w:val="24"/>
        </w:rPr>
        <w:t>保护机制的完善成为重点。上交</w:t>
      </w:r>
      <w:proofErr w:type="gramStart"/>
      <w:r>
        <w:rPr>
          <w:rFonts w:hint="eastAsia"/>
          <w:sz w:val="24"/>
        </w:rPr>
        <w:t>所数据</w:t>
      </w:r>
      <w:proofErr w:type="gramEnd"/>
      <w:r>
        <w:rPr>
          <w:rFonts w:hint="eastAsia"/>
          <w:sz w:val="24"/>
        </w:rPr>
        <w:t>显示，</w:t>
      </w:r>
      <w:r>
        <w:rPr>
          <w:rFonts w:hint="eastAsia"/>
          <w:sz w:val="24"/>
        </w:rPr>
        <w:t>2024</w:t>
      </w:r>
      <w:r>
        <w:rPr>
          <w:rFonts w:hint="eastAsia"/>
          <w:sz w:val="24"/>
        </w:rPr>
        <w:t>年我国散户占比高达</w:t>
      </w:r>
      <w:r>
        <w:rPr>
          <w:rFonts w:hint="eastAsia"/>
          <w:sz w:val="24"/>
        </w:rPr>
        <w:t>99.7%</w:t>
      </w:r>
      <w:r>
        <w:rPr>
          <w:rFonts w:hint="eastAsia"/>
          <w:sz w:val="24"/>
        </w:rPr>
        <w:t>。为保护投资者权益，新《公司法》扩大了中小股东查阅公司文件的权限，并引入双重股东代表诉讼制度。新《证券法》明确引入中国特色的集体诉讼制度，</w:t>
      </w:r>
      <w:r w:rsidR="00B9596C">
        <w:rPr>
          <w:rFonts w:hint="eastAsia"/>
          <w:sz w:val="24"/>
        </w:rPr>
        <w:t>该制度框架下，</w:t>
      </w:r>
      <w:r>
        <w:rPr>
          <w:rFonts w:hint="eastAsia"/>
          <w:sz w:val="24"/>
        </w:rPr>
        <w:t>投资者保护机构可作为代表发起诉讼，降低投资者的维权成本；</w:t>
      </w:r>
      <w:proofErr w:type="gramStart"/>
      <w:r>
        <w:rPr>
          <w:rFonts w:hint="eastAsia"/>
          <w:sz w:val="24"/>
        </w:rPr>
        <w:t>董监高违法行为</w:t>
      </w:r>
      <w:proofErr w:type="gramEnd"/>
      <w:r>
        <w:rPr>
          <w:rFonts w:hint="eastAsia"/>
          <w:sz w:val="24"/>
        </w:rPr>
        <w:t>的处罚力度大幅提升，例如欺诈发行的行政罚款金额高达</w:t>
      </w:r>
      <w:r>
        <w:rPr>
          <w:rFonts w:hint="eastAsia"/>
          <w:sz w:val="24"/>
        </w:rPr>
        <w:t>1000</w:t>
      </w:r>
      <w:r>
        <w:rPr>
          <w:rFonts w:hint="eastAsia"/>
          <w:sz w:val="24"/>
        </w:rPr>
        <w:t>万元。</w:t>
      </w:r>
    </w:p>
    <w:p w14:paraId="2D9351AB" w14:textId="715FAFF7" w:rsidR="00D41641" w:rsidRPr="006B2D50" w:rsidRDefault="00D41641" w:rsidP="00D41641">
      <w:pPr>
        <w:spacing w:line="360" w:lineRule="auto"/>
        <w:ind w:firstLineChars="200" w:firstLine="480"/>
        <w:rPr>
          <w:b/>
          <w:bCs/>
          <w:sz w:val="24"/>
        </w:rPr>
      </w:pPr>
      <w:r>
        <w:rPr>
          <w:rFonts w:hint="eastAsia"/>
          <w:sz w:val="24"/>
        </w:rPr>
        <w:t>在资本市场快速发展、投资者权益保护增强、董</w:t>
      </w:r>
      <w:proofErr w:type="gramStart"/>
      <w:r>
        <w:rPr>
          <w:rFonts w:hint="eastAsia"/>
          <w:sz w:val="24"/>
        </w:rPr>
        <w:t>监高责任</w:t>
      </w:r>
      <w:proofErr w:type="gramEnd"/>
      <w:r>
        <w:rPr>
          <w:rFonts w:hint="eastAsia"/>
          <w:sz w:val="24"/>
        </w:rPr>
        <w:t>加重的背景下，公司及</w:t>
      </w:r>
      <w:proofErr w:type="gramStart"/>
      <w:r>
        <w:rPr>
          <w:rFonts w:hint="eastAsia"/>
          <w:sz w:val="24"/>
        </w:rPr>
        <w:t>董监高面临</w:t>
      </w:r>
      <w:proofErr w:type="gramEnd"/>
      <w:r>
        <w:rPr>
          <w:rFonts w:hint="eastAsia"/>
          <w:sz w:val="24"/>
        </w:rPr>
        <w:t>前所未有的诉讼风险。因此，董</w:t>
      </w:r>
      <w:proofErr w:type="gramStart"/>
      <w:r>
        <w:rPr>
          <w:rFonts w:hint="eastAsia"/>
          <w:sz w:val="24"/>
        </w:rPr>
        <w:t>监高责任</w:t>
      </w:r>
      <w:proofErr w:type="gramEnd"/>
      <w:r>
        <w:rPr>
          <w:rFonts w:hint="eastAsia"/>
          <w:sz w:val="24"/>
        </w:rPr>
        <w:t>险</w:t>
      </w:r>
      <w:r w:rsidR="00BB4C72">
        <w:rPr>
          <w:rFonts w:hint="eastAsia"/>
          <w:sz w:val="24"/>
        </w:rPr>
        <w:t>，作为证券行业发展的</w:t>
      </w:r>
      <w:r w:rsidR="00D54ED0">
        <w:rPr>
          <w:rFonts w:hint="eastAsia"/>
          <w:sz w:val="24"/>
        </w:rPr>
        <w:t>关键</w:t>
      </w:r>
      <w:r w:rsidR="00BB4C72">
        <w:rPr>
          <w:rFonts w:hint="eastAsia"/>
          <w:sz w:val="24"/>
        </w:rPr>
        <w:t>配套措施，</w:t>
      </w:r>
      <w:r>
        <w:rPr>
          <w:rFonts w:hint="eastAsia"/>
          <w:sz w:val="24"/>
        </w:rPr>
        <w:t>受到</w:t>
      </w:r>
      <w:r w:rsidR="00BB4C72">
        <w:rPr>
          <w:rFonts w:hint="eastAsia"/>
          <w:sz w:val="24"/>
        </w:rPr>
        <w:t>广泛</w:t>
      </w:r>
      <w:r>
        <w:rPr>
          <w:rFonts w:hint="eastAsia"/>
          <w:sz w:val="24"/>
        </w:rPr>
        <w:t>关注</w:t>
      </w:r>
      <w:r w:rsidR="001240A5">
        <w:rPr>
          <w:rFonts w:hint="eastAsia"/>
          <w:sz w:val="24"/>
        </w:rPr>
        <w:t>。</w:t>
      </w:r>
    </w:p>
    <w:p w14:paraId="570AD3C1" w14:textId="5D2F0F02" w:rsidR="006B2D50" w:rsidRDefault="006B2D50" w:rsidP="006B2D50">
      <w:pPr>
        <w:spacing w:line="360" w:lineRule="auto"/>
        <w:ind w:firstLineChars="200" w:firstLine="480"/>
        <w:rPr>
          <w:sz w:val="24"/>
        </w:rPr>
      </w:pPr>
      <w:r>
        <w:rPr>
          <w:rFonts w:hint="eastAsia"/>
          <w:sz w:val="24"/>
        </w:rPr>
        <w:t>董</w:t>
      </w:r>
      <w:proofErr w:type="gramStart"/>
      <w:r>
        <w:rPr>
          <w:rFonts w:hint="eastAsia"/>
          <w:sz w:val="24"/>
        </w:rPr>
        <w:t>监高责任</w:t>
      </w:r>
      <w:proofErr w:type="gramEnd"/>
      <w:r>
        <w:rPr>
          <w:rFonts w:hint="eastAsia"/>
          <w:sz w:val="24"/>
        </w:rPr>
        <w:t>险是企业进行风险转移的新型保险手段。公司可为董事、监事、高管和公司本身投保，当公司面临民事诉讼时，保险公司会根据被保险人的依法表现进行理赔。以财务造假为例，若被保险人参与造假过程，则保司</w:t>
      </w:r>
      <w:proofErr w:type="gramStart"/>
      <w:r>
        <w:rPr>
          <w:rFonts w:hint="eastAsia"/>
          <w:sz w:val="24"/>
        </w:rPr>
        <w:t>不</w:t>
      </w:r>
      <w:proofErr w:type="gramEnd"/>
      <w:r>
        <w:rPr>
          <w:rFonts w:hint="eastAsia"/>
          <w:sz w:val="24"/>
        </w:rPr>
        <w:t>理赔；若被保险人毫不知情，且依法证明自己已尽勤勉业务，则保司可向被保险人赔偿抗辩费用。由此可见，董</w:t>
      </w:r>
      <w:proofErr w:type="gramStart"/>
      <w:r>
        <w:rPr>
          <w:rFonts w:hint="eastAsia"/>
          <w:sz w:val="24"/>
        </w:rPr>
        <w:t>监高责任险能够</w:t>
      </w:r>
      <w:proofErr w:type="gramEnd"/>
      <w:r>
        <w:rPr>
          <w:rFonts w:hint="eastAsia"/>
          <w:sz w:val="24"/>
        </w:rPr>
        <w:t>减少已尽</w:t>
      </w:r>
      <w:proofErr w:type="gramStart"/>
      <w:r>
        <w:rPr>
          <w:rFonts w:hint="eastAsia"/>
          <w:sz w:val="24"/>
        </w:rPr>
        <w:t>勤勉业务</w:t>
      </w:r>
      <w:proofErr w:type="gramEnd"/>
      <w:r>
        <w:rPr>
          <w:rFonts w:hint="eastAsia"/>
          <w:sz w:val="24"/>
        </w:rPr>
        <w:t>的</w:t>
      </w:r>
      <w:proofErr w:type="gramStart"/>
      <w:r>
        <w:rPr>
          <w:rFonts w:hint="eastAsia"/>
          <w:sz w:val="24"/>
        </w:rPr>
        <w:t>董监高因</w:t>
      </w:r>
      <w:proofErr w:type="gramEnd"/>
      <w:r>
        <w:rPr>
          <w:rFonts w:hint="eastAsia"/>
          <w:sz w:val="24"/>
        </w:rPr>
        <w:t>疏忽或不知情被投资者诉讼而带来的损失，缓解个人和公司现金流的压力。</w:t>
      </w:r>
      <w:r w:rsidRPr="006B2D50">
        <w:rPr>
          <w:rFonts w:hint="eastAsia"/>
          <w:sz w:val="24"/>
        </w:rPr>
        <w:t>在中国，购买董</w:t>
      </w:r>
      <w:proofErr w:type="gramStart"/>
      <w:r w:rsidRPr="006B2D50">
        <w:rPr>
          <w:rFonts w:hint="eastAsia"/>
          <w:sz w:val="24"/>
        </w:rPr>
        <w:t>监高责任险需要</w:t>
      </w:r>
      <w:proofErr w:type="gramEnd"/>
      <w:r w:rsidRPr="006B2D50">
        <w:rPr>
          <w:rFonts w:hint="eastAsia"/>
          <w:sz w:val="24"/>
        </w:rPr>
        <w:t>股东大会批准。</w:t>
      </w:r>
    </w:p>
    <w:p w14:paraId="109698F0" w14:textId="0A5D7C4E" w:rsidR="006B2D50" w:rsidRDefault="006B2D50" w:rsidP="006B2D50">
      <w:pPr>
        <w:spacing w:line="360" w:lineRule="auto"/>
        <w:ind w:firstLineChars="200" w:firstLine="480"/>
        <w:rPr>
          <w:sz w:val="24"/>
        </w:rPr>
      </w:pPr>
      <w:r w:rsidRPr="00C525C8">
        <w:rPr>
          <w:rFonts w:hint="eastAsia"/>
          <w:sz w:val="24"/>
        </w:rPr>
        <w:t>董</w:t>
      </w:r>
      <w:proofErr w:type="gramStart"/>
      <w:r w:rsidRPr="00C525C8">
        <w:rPr>
          <w:rFonts w:hint="eastAsia"/>
          <w:sz w:val="24"/>
        </w:rPr>
        <w:t>监高责任</w:t>
      </w:r>
      <w:proofErr w:type="gramEnd"/>
      <w:r w:rsidRPr="00C525C8">
        <w:rPr>
          <w:rFonts w:hint="eastAsia"/>
          <w:sz w:val="24"/>
        </w:rPr>
        <w:t>险最早</w:t>
      </w:r>
      <w:r>
        <w:rPr>
          <w:rFonts w:hint="eastAsia"/>
          <w:sz w:val="24"/>
        </w:rPr>
        <w:t>由</w:t>
      </w:r>
      <w:r w:rsidRPr="00C525C8">
        <w:rPr>
          <w:rFonts w:hint="eastAsia"/>
          <w:sz w:val="24"/>
        </w:rPr>
        <w:t>英国伦敦劳合社</w:t>
      </w:r>
      <w:r>
        <w:rPr>
          <w:rFonts w:hint="eastAsia"/>
          <w:sz w:val="24"/>
        </w:rPr>
        <w:t>于</w:t>
      </w:r>
      <w:r>
        <w:rPr>
          <w:rFonts w:hint="eastAsia"/>
          <w:sz w:val="24"/>
        </w:rPr>
        <w:t>1934</w:t>
      </w:r>
      <w:r>
        <w:rPr>
          <w:rFonts w:hint="eastAsia"/>
          <w:sz w:val="24"/>
        </w:rPr>
        <w:t>年推出，旨在应对后金融危机时代下</w:t>
      </w:r>
      <w:r w:rsidRPr="00C525C8">
        <w:rPr>
          <w:rFonts w:hint="eastAsia"/>
          <w:sz w:val="24"/>
        </w:rPr>
        <w:t>金融从业者</w:t>
      </w:r>
      <w:r>
        <w:rPr>
          <w:rFonts w:hint="eastAsia"/>
          <w:sz w:val="24"/>
        </w:rPr>
        <w:t>骤升的执业风险。董</w:t>
      </w:r>
      <w:proofErr w:type="gramStart"/>
      <w:r>
        <w:rPr>
          <w:rFonts w:hint="eastAsia"/>
          <w:sz w:val="24"/>
        </w:rPr>
        <w:t>监高责任</w:t>
      </w:r>
      <w:proofErr w:type="gramEnd"/>
      <w:r>
        <w:rPr>
          <w:rFonts w:hint="eastAsia"/>
          <w:sz w:val="24"/>
        </w:rPr>
        <w:t>险于</w:t>
      </w:r>
      <w:r>
        <w:rPr>
          <w:rFonts w:hint="eastAsia"/>
          <w:sz w:val="24"/>
        </w:rPr>
        <w:t>2001</w:t>
      </w:r>
      <w:r>
        <w:rPr>
          <w:rFonts w:hint="eastAsia"/>
          <w:sz w:val="24"/>
        </w:rPr>
        <w:t>年进入中国大陆市场，但近几年才迎来增长。</w:t>
      </w:r>
      <w:proofErr w:type="gramStart"/>
      <w:r>
        <w:rPr>
          <w:rFonts w:hint="eastAsia"/>
          <w:sz w:val="24"/>
        </w:rPr>
        <w:t>瑞幸咖啡</w:t>
      </w:r>
      <w:proofErr w:type="gramEnd"/>
      <w:r>
        <w:rPr>
          <w:rFonts w:hint="eastAsia"/>
          <w:sz w:val="24"/>
        </w:rPr>
        <w:t>造假案让董</w:t>
      </w:r>
      <w:proofErr w:type="gramStart"/>
      <w:r>
        <w:rPr>
          <w:rFonts w:hint="eastAsia"/>
          <w:sz w:val="24"/>
        </w:rPr>
        <w:t>监高责任</w:t>
      </w:r>
      <w:proofErr w:type="gramEnd"/>
      <w:r>
        <w:rPr>
          <w:rFonts w:hint="eastAsia"/>
          <w:sz w:val="24"/>
        </w:rPr>
        <w:t>险走入大众视野、成为行业焦点。</w:t>
      </w:r>
      <w:r w:rsidRPr="00C525C8">
        <w:rPr>
          <w:rFonts w:hint="eastAsia"/>
          <w:sz w:val="24"/>
        </w:rPr>
        <w:t xml:space="preserve">2020 </w:t>
      </w:r>
      <w:r w:rsidRPr="00C525C8">
        <w:rPr>
          <w:rFonts w:hint="eastAsia"/>
          <w:sz w:val="24"/>
        </w:rPr>
        <w:t>年</w:t>
      </w:r>
      <w:r w:rsidR="0082633F">
        <w:rPr>
          <w:rFonts w:hint="eastAsia"/>
          <w:sz w:val="24"/>
        </w:rPr>
        <w:t>，</w:t>
      </w:r>
      <w:proofErr w:type="gramStart"/>
      <w:r w:rsidRPr="00C525C8">
        <w:rPr>
          <w:rFonts w:hint="eastAsia"/>
          <w:sz w:val="24"/>
        </w:rPr>
        <w:t>瑞幸咖啡</w:t>
      </w:r>
      <w:proofErr w:type="gramEnd"/>
      <w:r w:rsidR="00134B21">
        <w:rPr>
          <w:rFonts w:hint="eastAsia"/>
          <w:sz w:val="24"/>
        </w:rPr>
        <w:t>承认虚假交易</w:t>
      </w:r>
      <w:r w:rsidR="00134B21">
        <w:rPr>
          <w:rFonts w:hint="eastAsia"/>
          <w:sz w:val="24"/>
        </w:rPr>
        <w:t>22</w:t>
      </w:r>
      <w:r w:rsidR="00134B21">
        <w:rPr>
          <w:rFonts w:hint="eastAsia"/>
          <w:sz w:val="24"/>
        </w:rPr>
        <w:t>亿元，</w:t>
      </w:r>
      <w:r w:rsidR="0082633F">
        <w:rPr>
          <w:rFonts w:hint="eastAsia"/>
          <w:sz w:val="24"/>
        </w:rPr>
        <w:t>而内部调查也显示公司交易编造始于</w:t>
      </w:r>
      <w:r w:rsidR="0082633F">
        <w:rPr>
          <w:rFonts w:hint="eastAsia"/>
          <w:sz w:val="24"/>
        </w:rPr>
        <w:t>2019</w:t>
      </w:r>
      <w:r w:rsidR="0082633F">
        <w:rPr>
          <w:rFonts w:hint="eastAsia"/>
          <w:sz w:val="24"/>
        </w:rPr>
        <w:t>年</w:t>
      </w:r>
      <w:r w:rsidR="0082633F">
        <w:rPr>
          <w:rFonts w:hint="eastAsia"/>
          <w:sz w:val="24"/>
        </w:rPr>
        <w:t>4</w:t>
      </w:r>
      <w:r w:rsidR="0082633F">
        <w:rPr>
          <w:rFonts w:hint="eastAsia"/>
          <w:sz w:val="24"/>
        </w:rPr>
        <w:t>月，当年</w:t>
      </w:r>
      <w:r w:rsidR="00065A76">
        <w:rPr>
          <w:rFonts w:hint="eastAsia"/>
          <w:sz w:val="24"/>
        </w:rPr>
        <w:t>年</w:t>
      </w:r>
      <w:r w:rsidR="0082633F">
        <w:rPr>
          <w:rFonts w:hint="eastAsia"/>
          <w:sz w:val="24"/>
        </w:rPr>
        <w:t>收入被夸大</w:t>
      </w:r>
      <w:r w:rsidR="0082633F">
        <w:rPr>
          <w:rFonts w:hint="eastAsia"/>
          <w:sz w:val="24"/>
        </w:rPr>
        <w:t>21.2</w:t>
      </w:r>
      <w:r w:rsidR="0082633F">
        <w:rPr>
          <w:rFonts w:hint="eastAsia"/>
          <w:sz w:val="24"/>
        </w:rPr>
        <w:t>亿元。前首席执行官钱治亚女</w:t>
      </w:r>
      <w:r w:rsidR="0082633F">
        <w:rPr>
          <w:rFonts w:hint="eastAsia"/>
          <w:sz w:val="24"/>
        </w:rPr>
        <w:lastRenderedPageBreak/>
        <w:t>士、前首席运营官刘剑先生和向其汇报的某些员工参与这些伪造交易。</w:t>
      </w:r>
      <w:r w:rsidR="00134B21">
        <w:rPr>
          <w:rFonts w:hint="eastAsia"/>
          <w:sz w:val="24"/>
        </w:rPr>
        <w:t>此</w:t>
      </w:r>
      <w:r w:rsidRPr="00C525C8">
        <w:rPr>
          <w:rFonts w:hint="eastAsia"/>
          <w:sz w:val="24"/>
        </w:rPr>
        <w:t>财务造假引发大量投资者索赔</w:t>
      </w:r>
      <w:r w:rsidR="00134B21">
        <w:rPr>
          <w:rFonts w:hint="eastAsia"/>
          <w:sz w:val="24"/>
        </w:rPr>
        <w:t>。公司与</w:t>
      </w:r>
      <w:r w:rsidR="00134B21">
        <w:rPr>
          <w:rFonts w:hint="eastAsia"/>
          <w:sz w:val="24"/>
        </w:rPr>
        <w:t>SEC</w:t>
      </w:r>
      <w:r w:rsidR="00134B21">
        <w:rPr>
          <w:rFonts w:hint="eastAsia"/>
          <w:sz w:val="24"/>
        </w:rPr>
        <w:t>协商后，同意支付</w:t>
      </w:r>
      <w:r w:rsidR="00134B21">
        <w:rPr>
          <w:rFonts w:hint="eastAsia"/>
          <w:sz w:val="24"/>
        </w:rPr>
        <w:t>1.8</w:t>
      </w:r>
      <w:r w:rsidR="00134B21">
        <w:rPr>
          <w:rFonts w:hint="eastAsia"/>
          <w:sz w:val="24"/>
        </w:rPr>
        <w:t>亿美元罚金</w:t>
      </w:r>
      <w:r w:rsidR="00065A76">
        <w:rPr>
          <w:rFonts w:hint="eastAsia"/>
          <w:sz w:val="24"/>
        </w:rPr>
        <w:t>。不过，值得注意的是，其他未直接参与财务造假的高管无需支付罚金，这是</w:t>
      </w:r>
      <w:proofErr w:type="gramStart"/>
      <w:r w:rsidR="00065A76">
        <w:rPr>
          <w:rFonts w:hint="eastAsia"/>
          <w:sz w:val="24"/>
        </w:rPr>
        <w:t>因为</w:t>
      </w:r>
      <w:r w:rsidR="00134B21">
        <w:rPr>
          <w:rFonts w:hint="eastAsia"/>
          <w:sz w:val="24"/>
        </w:rPr>
        <w:t>瑞幸咖啡</w:t>
      </w:r>
      <w:proofErr w:type="gramEnd"/>
      <w:r w:rsidR="00134B21">
        <w:rPr>
          <w:rFonts w:hint="eastAsia"/>
          <w:sz w:val="24"/>
        </w:rPr>
        <w:t>在上市前投保了总保额为</w:t>
      </w:r>
      <w:r w:rsidR="00134B21">
        <w:rPr>
          <w:rFonts w:hint="eastAsia"/>
          <w:sz w:val="24"/>
        </w:rPr>
        <w:t>2500</w:t>
      </w:r>
      <w:r w:rsidR="00134B21">
        <w:rPr>
          <w:rFonts w:hint="eastAsia"/>
          <w:sz w:val="24"/>
        </w:rPr>
        <w:t>万美元（基础层保单保额为</w:t>
      </w:r>
      <w:r w:rsidR="00134B21">
        <w:rPr>
          <w:rFonts w:hint="eastAsia"/>
          <w:sz w:val="24"/>
        </w:rPr>
        <w:t>1000</w:t>
      </w:r>
      <w:r w:rsidR="00134B21">
        <w:rPr>
          <w:rFonts w:hint="eastAsia"/>
          <w:sz w:val="24"/>
        </w:rPr>
        <w:t>万美元）的董</w:t>
      </w:r>
      <w:proofErr w:type="gramStart"/>
      <w:r w:rsidR="00134B21">
        <w:rPr>
          <w:rFonts w:hint="eastAsia"/>
          <w:sz w:val="24"/>
        </w:rPr>
        <w:t>监高责任</w:t>
      </w:r>
      <w:proofErr w:type="gramEnd"/>
      <w:r w:rsidR="00134B21">
        <w:rPr>
          <w:rFonts w:hint="eastAsia"/>
          <w:sz w:val="24"/>
        </w:rPr>
        <w:t>险</w:t>
      </w:r>
      <w:r w:rsidR="0082633F">
        <w:rPr>
          <w:rFonts w:hint="eastAsia"/>
          <w:sz w:val="24"/>
        </w:rPr>
        <w:t>，</w:t>
      </w:r>
      <w:r w:rsidRPr="00C525C8">
        <w:rPr>
          <w:rFonts w:hint="eastAsia"/>
          <w:sz w:val="24"/>
        </w:rPr>
        <w:t xml:space="preserve">2024 </w:t>
      </w:r>
      <w:r w:rsidRPr="00C525C8">
        <w:rPr>
          <w:rFonts w:hint="eastAsia"/>
          <w:sz w:val="24"/>
        </w:rPr>
        <w:t>年</w:t>
      </w:r>
      <w:r>
        <w:rPr>
          <w:rFonts w:hint="eastAsia"/>
          <w:sz w:val="24"/>
        </w:rPr>
        <w:t>裁决书宣布</w:t>
      </w:r>
      <w:r w:rsidRPr="00C525C8">
        <w:rPr>
          <w:rFonts w:hint="eastAsia"/>
          <w:sz w:val="24"/>
        </w:rPr>
        <w:t>共保</w:t>
      </w:r>
      <w:proofErr w:type="gramStart"/>
      <w:r w:rsidRPr="00C525C8">
        <w:rPr>
          <w:rFonts w:hint="eastAsia"/>
          <w:sz w:val="24"/>
        </w:rPr>
        <w:t>体</w:t>
      </w:r>
      <w:r>
        <w:rPr>
          <w:rFonts w:hint="eastAsia"/>
          <w:sz w:val="24"/>
        </w:rPr>
        <w:t>负责</w:t>
      </w:r>
      <w:proofErr w:type="gramEnd"/>
      <w:r w:rsidRPr="00C525C8">
        <w:rPr>
          <w:rFonts w:hint="eastAsia"/>
          <w:sz w:val="24"/>
        </w:rPr>
        <w:t>赔付</w:t>
      </w:r>
      <w:r w:rsidRPr="00C525C8">
        <w:rPr>
          <w:rFonts w:hint="eastAsia"/>
          <w:sz w:val="24"/>
        </w:rPr>
        <w:t xml:space="preserve"> 700 </w:t>
      </w:r>
      <w:r w:rsidRPr="00C525C8">
        <w:rPr>
          <w:rFonts w:hint="eastAsia"/>
          <w:sz w:val="24"/>
        </w:rPr>
        <w:t>万美元，</w:t>
      </w:r>
      <w:r w:rsidR="0082633F">
        <w:rPr>
          <w:rFonts w:hint="eastAsia"/>
          <w:sz w:val="24"/>
        </w:rPr>
        <w:t>这能避免其他未直接参与财务造假的高管的个人财产被连带追偿。这种精准切割风险的形式能够保护道德人才、缓冲危机</w:t>
      </w:r>
      <w:r w:rsidR="00275548">
        <w:rPr>
          <w:rFonts w:hint="eastAsia"/>
          <w:sz w:val="24"/>
        </w:rPr>
        <w:t>、减少公司的损失。同时，投保该险种的公司会定期受到保险公司的审查监督，</w:t>
      </w:r>
      <w:r w:rsidR="0082633F">
        <w:rPr>
          <w:rFonts w:hint="eastAsia"/>
          <w:sz w:val="24"/>
        </w:rPr>
        <w:t>这也</w:t>
      </w:r>
      <w:r w:rsidRPr="00C525C8">
        <w:rPr>
          <w:rFonts w:hint="eastAsia"/>
          <w:sz w:val="24"/>
        </w:rPr>
        <w:t>让更多公司重新审视董</w:t>
      </w:r>
      <w:proofErr w:type="gramStart"/>
      <w:r w:rsidRPr="00C525C8">
        <w:rPr>
          <w:rFonts w:hint="eastAsia"/>
          <w:sz w:val="24"/>
        </w:rPr>
        <w:t>监高责任</w:t>
      </w:r>
      <w:proofErr w:type="gramEnd"/>
      <w:r w:rsidRPr="00C525C8">
        <w:rPr>
          <w:rFonts w:hint="eastAsia"/>
          <w:sz w:val="24"/>
        </w:rPr>
        <w:t>险价值。</w:t>
      </w:r>
      <w:r w:rsidR="0082633F">
        <w:rPr>
          <w:rFonts w:hint="eastAsia"/>
          <w:sz w:val="24"/>
        </w:rPr>
        <w:t>不过</w:t>
      </w:r>
      <w:r>
        <w:rPr>
          <w:rFonts w:hint="eastAsia"/>
          <w:sz w:val="24"/>
        </w:rPr>
        <w:t>根据金融时报，</w:t>
      </w:r>
      <w:r w:rsidR="0082633F">
        <w:rPr>
          <w:rFonts w:hint="eastAsia"/>
          <w:sz w:val="24"/>
        </w:rPr>
        <w:t>截至</w:t>
      </w:r>
      <w:r w:rsidR="0082633F">
        <w:rPr>
          <w:rFonts w:hint="eastAsia"/>
          <w:sz w:val="24"/>
        </w:rPr>
        <w:t>2024</w:t>
      </w:r>
      <w:r w:rsidR="0082633F">
        <w:rPr>
          <w:rFonts w:hint="eastAsia"/>
          <w:sz w:val="24"/>
        </w:rPr>
        <w:t>年，</w:t>
      </w:r>
      <w:r>
        <w:rPr>
          <w:rFonts w:hint="eastAsia"/>
          <w:sz w:val="24"/>
        </w:rPr>
        <w:t>仅有</w:t>
      </w:r>
      <w:r>
        <w:rPr>
          <w:rFonts w:hint="eastAsia"/>
          <w:sz w:val="24"/>
        </w:rPr>
        <w:t>23.7%</w:t>
      </w:r>
      <w:r>
        <w:rPr>
          <w:rFonts w:hint="eastAsia"/>
          <w:sz w:val="24"/>
        </w:rPr>
        <w:t>的</w:t>
      </w:r>
      <w:r>
        <w:rPr>
          <w:rFonts w:hint="eastAsia"/>
          <w:sz w:val="24"/>
        </w:rPr>
        <w:t>A</w:t>
      </w:r>
      <w:r>
        <w:rPr>
          <w:rFonts w:hint="eastAsia"/>
          <w:sz w:val="24"/>
        </w:rPr>
        <w:t>股上市公司</w:t>
      </w:r>
      <w:r w:rsidR="0082633F">
        <w:rPr>
          <w:rFonts w:hint="eastAsia"/>
          <w:sz w:val="24"/>
        </w:rPr>
        <w:t>投保</w:t>
      </w:r>
      <w:r>
        <w:rPr>
          <w:rFonts w:hint="eastAsia"/>
          <w:sz w:val="24"/>
        </w:rPr>
        <w:t>董</w:t>
      </w:r>
      <w:proofErr w:type="gramStart"/>
      <w:r>
        <w:rPr>
          <w:rFonts w:hint="eastAsia"/>
          <w:sz w:val="24"/>
        </w:rPr>
        <w:t>监高责任</w:t>
      </w:r>
      <w:proofErr w:type="gramEnd"/>
      <w:r>
        <w:rPr>
          <w:rFonts w:hint="eastAsia"/>
          <w:sz w:val="24"/>
        </w:rPr>
        <w:t>险，而截至</w:t>
      </w:r>
      <w:r>
        <w:rPr>
          <w:rFonts w:hint="eastAsia"/>
          <w:sz w:val="24"/>
        </w:rPr>
        <w:t>2021</w:t>
      </w:r>
      <w:r>
        <w:rPr>
          <w:rFonts w:hint="eastAsia"/>
          <w:sz w:val="24"/>
        </w:rPr>
        <w:t>年</w:t>
      </w:r>
      <w:r>
        <w:rPr>
          <w:rFonts w:hint="eastAsia"/>
          <w:sz w:val="24"/>
        </w:rPr>
        <w:t>10</w:t>
      </w:r>
      <w:r>
        <w:rPr>
          <w:rFonts w:hint="eastAsia"/>
          <w:sz w:val="24"/>
        </w:rPr>
        <w:t>月，美国和加拿大投保渗透率分别高达</w:t>
      </w:r>
      <w:r>
        <w:rPr>
          <w:rFonts w:hint="eastAsia"/>
          <w:sz w:val="24"/>
        </w:rPr>
        <w:t>99%</w:t>
      </w:r>
      <w:r>
        <w:rPr>
          <w:rFonts w:hint="eastAsia"/>
          <w:sz w:val="24"/>
        </w:rPr>
        <w:t>和</w:t>
      </w:r>
      <w:r>
        <w:rPr>
          <w:rFonts w:hint="eastAsia"/>
          <w:sz w:val="24"/>
        </w:rPr>
        <w:t>90%</w:t>
      </w:r>
      <w:r>
        <w:rPr>
          <w:rFonts w:hint="eastAsia"/>
          <w:sz w:val="24"/>
        </w:rPr>
        <w:t>（</w:t>
      </w:r>
      <w:r>
        <w:rPr>
          <w:rFonts w:hint="eastAsia"/>
          <w:sz w:val="24"/>
        </w:rPr>
        <w:t>Kong</w:t>
      </w:r>
      <w:r>
        <w:rPr>
          <w:rFonts w:hint="eastAsia"/>
          <w:sz w:val="24"/>
        </w:rPr>
        <w:t>等，</w:t>
      </w:r>
      <w:r>
        <w:rPr>
          <w:rFonts w:hint="eastAsia"/>
          <w:sz w:val="24"/>
        </w:rPr>
        <w:t>2023</w:t>
      </w:r>
      <w:r>
        <w:rPr>
          <w:rFonts w:hint="eastAsia"/>
          <w:sz w:val="24"/>
        </w:rPr>
        <w:t>），这表明我国市场仍有较大</w:t>
      </w:r>
      <w:r w:rsidR="0082633F">
        <w:rPr>
          <w:rFonts w:hint="eastAsia"/>
          <w:sz w:val="24"/>
        </w:rPr>
        <w:t>进步</w:t>
      </w:r>
      <w:r>
        <w:rPr>
          <w:rFonts w:hint="eastAsia"/>
          <w:sz w:val="24"/>
        </w:rPr>
        <w:t>空间。</w:t>
      </w:r>
    </w:p>
    <w:p w14:paraId="67E51F9A" w14:textId="5704CD65" w:rsidR="00D41641" w:rsidRDefault="00D41641" w:rsidP="00482672">
      <w:pPr>
        <w:spacing w:line="360" w:lineRule="auto"/>
        <w:ind w:firstLineChars="200" w:firstLine="480"/>
        <w:jc w:val="left"/>
        <w:rPr>
          <w:sz w:val="24"/>
        </w:rPr>
      </w:pPr>
      <w:r>
        <w:rPr>
          <w:rFonts w:hint="eastAsia"/>
          <w:sz w:val="24"/>
        </w:rPr>
        <w:t>当前</w:t>
      </w:r>
      <w:r w:rsidR="007E10FB">
        <w:rPr>
          <w:rFonts w:hint="eastAsia"/>
          <w:sz w:val="24"/>
        </w:rPr>
        <w:t>，</w:t>
      </w:r>
      <w:r>
        <w:rPr>
          <w:rFonts w:hint="eastAsia"/>
          <w:sz w:val="24"/>
        </w:rPr>
        <w:t>我国董</w:t>
      </w:r>
      <w:proofErr w:type="gramStart"/>
      <w:r>
        <w:rPr>
          <w:rFonts w:hint="eastAsia"/>
          <w:sz w:val="24"/>
        </w:rPr>
        <w:t>监高责任</w:t>
      </w:r>
      <w:proofErr w:type="gramEnd"/>
      <w:r>
        <w:rPr>
          <w:rFonts w:hint="eastAsia"/>
          <w:sz w:val="24"/>
        </w:rPr>
        <w:t>险的投保率仍然较低，</w:t>
      </w:r>
      <w:r w:rsidR="007E10FB">
        <w:rPr>
          <w:rFonts w:hint="eastAsia"/>
          <w:sz w:val="24"/>
        </w:rPr>
        <w:t>那么</w:t>
      </w:r>
      <w:r>
        <w:rPr>
          <w:rFonts w:hint="eastAsia"/>
          <w:sz w:val="24"/>
        </w:rPr>
        <w:t>究竟什么原因会影响</w:t>
      </w:r>
      <w:r w:rsidR="00641423">
        <w:rPr>
          <w:rFonts w:hint="eastAsia"/>
          <w:sz w:val="24"/>
        </w:rPr>
        <w:t>公司对</w:t>
      </w:r>
      <w:r>
        <w:rPr>
          <w:rFonts w:hint="eastAsia"/>
          <w:sz w:val="24"/>
        </w:rPr>
        <w:t>董</w:t>
      </w:r>
      <w:proofErr w:type="gramStart"/>
      <w:r>
        <w:rPr>
          <w:rFonts w:hint="eastAsia"/>
          <w:sz w:val="24"/>
        </w:rPr>
        <w:t>监高责任</w:t>
      </w:r>
      <w:proofErr w:type="gramEnd"/>
      <w:r>
        <w:rPr>
          <w:rFonts w:hint="eastAsia"/>
          <w:sz w:val="24"/>
        </w:rPr>
        <w:t>险的</w:t>
      </w:r>
      <w:r w:rsidR="00D473F8">
        <w:rPr>
          <w:rFonts w:hint="eastAsia"/>
          <w:sz w:val="24"/>
        </w:rPr>
        <w:t>投保意向</w:t>
      </w:r>
      <w:r>
        <w:rPr>
          <w:rFonts w:hint="eastAsia"/>
          <w:sz w:val="24"/>
        </w:rPr>
        <w:t>？</w:t>
      </w:r>
      <w:r w:rsidR="00434C1B">
        <w:rPr>
          <w:rFonts w:hint="eastAsia"/>
          <w:sz w:val="24"/>
        </w:rPr>
        <w:t>最新</w:t>
      </w:r>
      <w:r w:rsidR="007E10FB">
        <w:rPr>
          <w:rFonts w:hint="eastAsia"/>
          <w:sz w:val="24"/>
        </w:rPr>
        <w:t>研究</w:t>
      </w:r>
      <w:r w:rsidR="000C7E43">
        <w:rPr>
          <w:rFonts w:hint="eastAsia"/>
          <w:sz w:val="24"/>
        </w:rPr>
        <w:t>更多</w:t>
      </w:r>
      <w:r w:rsidR="007E10FB">
        <w:rPr>
          <w:rFonts w:hint="eastAsia"/>
          <w:sz w:val="24"/>
        </w:rPr>
        <w:t>关注</w:t>
      </w:r>
      <w:r w:rsidR="000C7E43">
        <w:rPr>
          <w:rFonts w:hint="eastAsia"/>
          <w:sz w:val="24"/>
        </w:rPr>
        <w:t>于</w:t>
      </w:r>
      <w:r w:rsidR="007E10FB">
        <w:rPr>
          <w:rFonts w:hint="eastAsia"/>
          <w:sz w:val="24"/>
        </w:rPr>
        <w:t>董</w:t>
      </w:r>
      <w:proofErr w:type="gramStart"/>
      <w:r w:rsidR="007E10FB">
        <w:rPr>
          <w:rFonts w:hint="eastAsia"/>
          <w:sz w:val="24"/>
        </w:rPr>
        <w:t>监高责任</w:t>
      </w:r>
      <w:proofErr w:type="gramEnd"/>
      <w:r w:rsidR="007E10FB">
        <w:rPr>
          <w:rFonts w:hint="eastAsia"/>
          <w:sz w:val="24"/>
        </w:rPr>
        <w:t>险的配置效益</w:t>
      </w:r>
      <w:r w:rsidR="00482672">
        <w:rPr>
          <w:rFonts w:hint="eastAsia"/>
          <w:sz w:val="24"/>
        </w:rPr>
        <w:t>，</w:t>
      </w:r>
      <w:proofErr w:type="gramStart"/>
      <w:r w:rsidR="00482672">
        <w:rPr>
          <w:rFonts w:hint="eastAsia"/>
          <w:sz w:val="24"/>
        </w:rPr>
        <w:t>且</w:t>
      </w:r>
      <w:r w:rsidR="001240A5">
        <w:rPr>
          <w:rFonts w:hint="eastAsia"/>
          <w:sz w:val="24"/>
        </w:rPr>
        <w:t>治理</w:t>
      </w:r>
      <w:proofErr w:type="gramEnd"/>
      <w:r w:rsidR="00641423">
        <w:rPr>
          <w:rFonts w:hint="eastAsia"/>
          <w:sz w:val="24"/>
        </w:rPr>
        <w:t>作用</w:t>
      </w:r>
      <w:r w:rsidR="001240A5">
        <w:rPr>
          <w:rFonts w:hint="eastAsia"/>
          <w:sz w:val="24"/>
        </w:rPr>
        <w:t>引来争议</w:t>
      </w:r>
      <w:r w:rsidR="000C7E43">
        <w:rPr>
          <w:rFonts w:hint="eastAsia"/>
          <w:sz w:val="24"/>
        </w:rPr>
        <w:t>（</w:t>
      </w:r>
      <w:r w:rsidR="000C7E43" w:rsidRPr="00C13291">
        <w:rPr>
          <w:rFonts w:hint="eastAsia"/>
          <w:sz w:val="24"/>
        </w:rPr>
        <w:t>彭韶兵</w:t>
      </w:r>
      <w:r w:rsidR="000C7E43">
        <w:rPr>
          <w:rFonts w:hint="eastAsia"/>
          <w:sz w:val="24"/>
        </w:rPr>
        <w:t>等，</w:t>
      </w:r>
      <w:r w:rsidR="000C7E43">
        <w:rPr>
          <w:rFonts w:hint="eastAsia"/>
          <w:sz w:val="24"/>
        </w:rPr>
        <w:t>2018</w:t>
      </w:r>
      <w:r w:rsidR="000C7E43">
        <w:rPr>
          <w:rFonts w:hint="eastAsia"/>
          <w:sz w:val="24"/>
        </w:rPr>
        <w:t>；</w:t>
      </w:r>
      <w:r w:rsidR="000C7E43">
        <w:rPr>
          <w:rFonts w:hint="eastAsia"/>
          <w:sz w:val="24"/>
        </w:rPr>
        <w:t>Li</w:t>
      </w:r>
      <w:r w:rsidR="000C7E43">
        <w:rPr>
          <w:rFonts w:hint="eastAsia"/>
          <w:sz w:val="24"/>
        </w:rPr>
        <w:t>等，</w:t>
      </w:r>
      <w:r w:rsidR="000C7E43">
        <w:rPr>
          <w:rFonts w:hint="eastAsia"/>
          <w:sz w:val="24"/>
        </w:rPr>
        <w:t>2022</w:t>
      </w:r>
      <w:r w:rsidR="000C7E43">
        <w:rPr>
          <w:rFonts w:hint="eastAsia"/>
          <w:sz w:val="24"/>
        </w:rPr>
        <w:t>；</w:t>
      </w:r>
      <w:r w:rsidR="000C7E43">
        <w:rPr>
          <w:rFonts w:hint="eastAsia"/>
          <w:sz w:val="24"/>
        </w:rPr>
        <w:t>Nguyen</w:t>
      </w:r>
      <w:r w:rsidR="000C7E43">
        <w:rPr>
          <w:rFonts w:hint="eastAsia"/>
          <w:sz w:val="24"/>
        </w:rPr>
        <w:t>等，</w:t>
      </w:r>
      <w:r w:rsidR="000C7E43">
        <w:rPr>
          <w:rFonts w:hint="eastAsia"/>
          <w:sz w:val="24"/>
        </w:rPr>
        <w:t>2024</w:t>
      </w:r>
      <w:r w:rsidR="000C7E43">
        <w:rPr>
          <w:rFonts w:hint="eastAsia"/>
          <w:sz w:val="24"/>
        </w:rPr>
        <w:t>）</w:t>
      </w:r>
      <w:r w:rsidR="007E10FB">
        <w:rPr>
          <w:rFonts w:hint="eastAsia"/>
          <w:sz w:val="24"/>
        </w:rPr>
        <w:t>，</w:t>
      </w:r>
      <w:r w:rsidR="000C7E43">
        <w:rPr>
          <w:rFonts w:hint="eastAsia"/>
          <w:sz w:val="24"/>
        </w:rPr>
        <w:t>较少的研究从代理冲突、政治关联</w:t>
      </w:r>
      <w:r w:rsidR="00482672">
        <w:rPr>
          <w:rFonts w:hint="eastAsia"/>
          <w:sz w:val="24"/>
        </w:rPr>
        <w:t>、社会关系</w:t>
      </w:r>
      <w:r w:rsidR="000C7E43">
        <w:rPr>
          <w:rFonts w:hint="eastAsia"/>
          <w:sz w:val="24"/>
        </w:rPr>
        <w:t>等</w:t>
      </w:r>
      <w:r w:rsidR="00C0628E">
        <w:rPr>
          <w:rFonts w:hint="eastAsia"/>
          <w:sz w:val="24"/>
        </w:rPr>
        <w:t>视角</w:t>
      </w:r>
      <w:r w:rsidR="000C7E43">
        <w:rPr>
          <w:rFonts w:hint="eastAsia"/>
          <w:sz w:val="24"/>
        </w:rPr>
        <w:t>研究</w:t>
      </w:r>
      <w:r w:rsidR="00C0628E">
        <w:rPr>
          <w:rFonts w:hint="eastAsia"/>
          <w:sz w:val="24"/>
        </w:rPr>
        <w:t>投保</w:t>
      </w:r>
      <w:r w:rsidR="000C7E43">
        <w:rPr>
          <w:rFonts w:hint="eastAsia"/>
          <w:sz w:val="24"/>
        </w:rPr>
        <w:t>动机（</w:t>
      </w:r>
      <w:r w:rsidR="000C7E43">
        <w:rPr>
          <w:rFonts w:hint="eastAsia"/>
          <w:sz w:val="24"/>
        </w:rPr>
        <w:t>Zou</w:t>
      </w:r>
      <w:r w:rsidR="000C7E43">
        <w:rPr>
          <w:rFonts w:hint="eastAsia"/>
          <w:sz w:val="24"/>
        </w:rPr>
        <w:t>等，</w:t>
      </w:r>
      <w:r w:rsidR="000C7E43">
        <w:rPr>
          <w:rFonts w:hint="eastAsia"/>
          <w:sz w:val="24"/>
        </w:rPr>
        <w:t>20</w:t>
      </w:r>
      <w:r w:rsidR="00026DC9">
        <w:rPr>
          <w:rFonts w:hint="eastAsia"/>
          <w:sz w:val="24"/>
        </w:rPr>
        <w:t>0</w:t>
      </w:r>
      <w:r w:rsidR="000C7E43">
        <w:rPr>
          <w:rFonts w:hint="eastAsia"/>
          <w:sz w:val="24"/>
        </w:rPr>
        <w:t>8</w:t>
      </w:r>
      <w:r w:rsidR="000C7E43">
        <w:rPr>
          <w:rFonts w:hint="eastAsia"/>
          <w:sz w:val="24"/>
        </w:rPr>
        <w:t>；</w:t>
      </w:r>
      <w:r w:rsidR="00482672">
        <w:rPr>
          <w:rFonts w:hint="eastAsia"/>
          <w:sz w:val="24"/>
        </w:rPr>
        <w:t>Jia</w:t>
      </w:r>
      <w:r w:rsidR="00482672">
        <w:rPr>
          <w:rFonts w:hint="eastAsia"/>
          <w:sz w:val="24"/>
        </w:rPr>
        <w:t>等，</w:t>
      </w:r>
      <w:r w:rsidR="00482672">
        <w:rPr>
          <w:rFonts w:hint="eastAsia"/>
          <w:sz w:val="24"/>
        </w:rPr>
        <w:t>2019</w:t>
      </w:r>
      <w:r w:rsidR="00482672">
        <w:rPr>
          <w:rFonts w:hint="eastAsia"/>
          <w:sz w:val="24"/>
        </w:rPr>
        <w:t>；</w:t>
      </w:r>
      <w:r w:rsidR="00482672">
        <w:rPr>
          <w:rFonts w:hint="eastAsia"/>
          <w:sz w:val="24"/>
        </w:rPr>
        <w:t xml:space="preserve"> Hu</w:t>
      </w:r>
      <w:r w:rsidR="00482672">
        <w:rPr>
          <w:rFonts w:hint="eastAsia"/>
          <w:sz w:val="24"/>
        </w:rPr>
        <w:t>和</w:t>
      </w:r>
      <w:r w:rsidR="00482672">
        <w:rPr>
          <w:rFonts w:hint="eastAsia"/>
          <w:sz w:val="24"/>
        </w:rPr>
        <w:t>Fang</w:t>
      </w:r>
      <w:r w:rsidR="00482672">
        <w:rPr>
          <w:rFonts w:hint="eastAsia"/>
          <w:sz w:val="24"/>
        </w:rPr>
        <w:t>，</w:t>
      </w:r>
      <w:r w:rsidR="00482672">
        <w:rPr>
          <w:rFonts w:hint="eastAsia"/>
          <w:sz w:val="24"/>
        </w:rPr>
        <w:t>2022</w:t>
      </w:r>
      <w:r w:rsidR="00482672">
        <w:rPr>
          <w:rFonts w:hint="eastAsia"/>
          <w:sz w:val="24"/>
        </w:rPr>
        <w:t>）</w:t>
      </w:r>
      <w:r w:rsidR="000C7E43">
        <w:rPr>
          <w:rFonts w:hint="eastAsia"/>
          <w:sz w:val="24"/>
        </w:rPr>
        <w:t>。</w:t>
      </w:r>
      <w:r w:rsidR="001240A5">
        <w:rPr>
          <w:rFonts w:hint="eastAsia"/>
          <w:sz w:val="24"/>
        </w:rPr>
        <w:t>研究</w:t>
      </w:r>
      <w:r w:rsidR="00C0628E">
        <w:rPr>
          <w:rFonts w:hint="eastAsia"/>
          <w:sz w:val="24"/>
        </w:rPr>
        <w:t>投保</w:t>
      </w:r>
      <w:r w:rsidR="001240A5">
        <w:rPr>
          <w:rFonts w:hint="eastAsia"/>
          <w:sz w:val="24"/>
        </w:rPr>
        <w:t>动机能优化保险设计，促进其发挥效能。因此，</w:t>
      </w:r>
      <w:r w:rsidR="007E10FB">
        <w:rPr>
          <w:rFonts w:hint="eastAsia"/>
          <w:sz w:val="24"/>
        </w:rPr>
        <w:t>本文从组织资本视角切入，补充新研究</w:t>
      </w:r>
      <w:r w:rsidR="000C7E43">
        <w:rPr>
          <w:rFonts w:hint="eastAsia"/>
          <w:sz w:val="24"/>
        </w:rPr>
        <w:t>方向</w:t>
      </w:r>
      <w:r w:rsidR="007E10FB">
        <w:rPr>
          <w:rFonts w:hint="eastAsia"/>
          <w:sz w:val="24"/>
        </w:rPr>
        <w:t>。</w:t>
      </w:r>
    </w:p>
    <w:p w14:paraId="5BFA4CF5" w14:textId="71AAA815" w:rsidR="00D41641" w:rsidRDefault="007E10FB" w:rsidP="00F46281">
      <w:pPr>
        <w:spacing w:line="360" w:lineRule="auto"/>
        <w:ind w:firstLineChars="200" w:firstLine="480"/>
        <w:rPr>
          <w:sz w:val="24"/>
        </w:rPr>
      </w:pPr>
      <w:r>
        <w:rPr>
          <w:rFonts w:hint="eastAsia"/>
          <w:sz w:val="24"/>
        </w:rPr>
        <w:t>组织资本是</w:t>
      </w:r>
      <w:r w:rsidR="00D41641">
        <w:rPr>
          <w:rFonts w:hint="eastAsia"/>
          <w:sz w:val="24"/>
        </w:rPr>
        <w:t>企业通过组织能力合理配置和转化生产要素，</w:t>
      </w:r>
      <w:r w:rsidR="000C7E43">
        <w:rPr>
          <w:rFonts w:hint="eastAsia"/>
          <w:sz w:val="24"/>
        </w:rPr>
        <w:t>在未来持续创造现金流的无形资产的组合</w:t>
      </w:r>
      <w:r w:rsidR="00D41641">
        <w:rPr>
          <w:rFonts w:hint="eastAsia"/>
          <w:sz w:val="24"/>
        </w:rPr>
        <w:t>（金</w:t>
      </w:r>
      <w:proofErr w:type="gramStart"/>
      <w:r w:rsidR="00D41641">
        <w:rPr>
          <w:rFonts w:hint="eastAsia"/>
          <w:sz w:val="24"/>
        </w:rPr>
        <w:t>碚</w:t>
      </w:r>
      <w:proofErr w:type="gramEnd"/>
      <w:r w:rsidR="00D41641">
        <w:rPr>
          <w:rFonts w:hint="eastAsia"/>
          <w:sz w:val="24"/>
        </w:rPr>
        <w:t>，</w:t>
      </w:r>
      <w:r w:rsidR="00D41641">
        <w:rPr>
          <w:rFonts w:hint="eastAsia"/>
          <w:sz w:val="24"/>
        </w:rPr>
        <w:t>2020</w:t>
      </w:r>
      <w:r w:rsidR="00D41641">
        <w:rPr>
          <w:rFonts w:hint="eastAsia"/>
          <w:sz w:val="24"/>
        </w:rPr>
        <w:t>）。</w:t>
      </w:r>
      <w:r>
        <w:rPr>
          <w:rFonts w:hint="eastAsia"/>
          <w:sz w:val="24"/>
        </w:rPr>
        <w:t>传统经济学</w:t>
      </w:r>
      <w:r w:rsidR="00D41641">
        <w:rPr>
          <w:rFonts w:hint="eastAsia"/>
          <w:sz w:val="24"/>
        </w:rPr>
        <w:t>将经济增长简化为劳动力、物质资本、技术资本、金融资本等要素的生产函数组合。</w:t>
      </w:r>
      <w:r w:rsidR="000C7E43">
        <w:rPr>
          <w:rFonts w:hint="eastAsia"/>
          <w:sz w:val="24"/>
        </w:rPr>
        <w:t>但在</w:t>
      </w:r>
      <w:r w:rsidR="00D41641">
        <w:rPr>
          <w:rFonts w:hint="eastAsia"/>
          <w:sz w:val="24"/>
        </w:rPr>
        <w:t>现实中，生产要素的简单堆砌无法形成经济主体的核心竞争力，</w:t>
      </w:r>
      <w:r w:rsidR="000C7E43">
        <w:rPr>
          <w:rFonts w:hint="eastAsia"/>
          <w:sz w:val="24"/>
        </w:rPr>
        <w:t>唯有</w:t>
      </w:r>
      <w:r>
        <w:rPr>
          <w:rFonts w:hint="eastAsia"/>
          <w:sz w:val="24"/>
        </w:rPr>
        <w:t>组织</w:t>
      </w:r>
      <w:r w:rsidR="00D54ED0">
        <w:rPr>
          <w:rFonts w:hint="eastAsia"/>
          <w:sz w:val="24"/>
        </w:rPr>
        <w:t>资本</w:t>
      </w:r>
      <w:r w:rsidR="0088211F">
        <w:rPr>
          <w:rFonts w:hint="eastAsia"/>
          <w:sz w:val="24"/>
        </w:rPr>
        <w:t>的参与</w:t>
      </w:r>
      <w:r>
        <w:rPr>
          <w:rFonts w:hint="eastAsia"/>
          <w:sz w:val="24"/>
        </w:rPr>
        <w:t>才能形成</w:t>
      </w:r>
      <w:r w:rsidR="00D41641">
        <w:rPr>
          <w:rFonts w:hint="eastAsia"/>
          <w:sz w:val="24"/>
        </w:rPr>
        <w:t>差异化的产出。这也解释了为何要素禀赋</w:t>
      </w:r>
      <w:r w:rsidR="00D54ED0">
        <w:rPr>
          <w:rFonts w:hint="eastAsia"/>
          <w:sz w:val="24"/>
        </w:rPr>
        <w:t>相似</w:t>
      </w:r>
      <w:r w:rsidR="00D41641">
        <w:rPr>
          <w:rFonts w:hint="eastAsia"/>
          <w:sz w:val="24"/>
        </w:rPr>
        <w:t>的企业</w:t>
      </w:r>
      <w:r w:rsidR="001240A5">
        <w:rPr>
          <w:rFonts w:hint="eastAsia"/>
          <w:sz w:val="24"/>
        </w:rPr>
        <w:t>会</w:t>
      </w:r>
      <w:r w:rsidR="00D41641">
        <w:rPr>
          <w:rFonts w:hint="eastAsia"/>
          <w:sz w:val="24"/>
        </w:rPr>
        <w:t>做出差异化</w:t>
      </w:r>
      <w:r w:rsidR="00D54ED0">
        <w:rPr>
          <w:rFonts w:hint="eastAsia"/>
          <w:sz w:val="24"/>
        </w:rPr>
        <w:t>的</w:t>
      </w:r>
      <w:r w:rsidR="00D41641">
        <w:rPr>
          <w:rFonts w:hint="eastAsia"/>
          <w:sz w:val="24"/>
        </w:rPr>
        <w:t>决策或创造不同的经济价值。因此，探讨</w:t>
      </w:r>
      <w:r>
        <w:rPr>
          <w:rFonts w:hint="eastAsia"/>
          <w:sz w:val="24"/>
        </w:rPr>
        <w:t>企业</w:t>
      </w:r>
      <w:r w:rsidR="00D41641">
        <w:rPr>
          <w:rFonts w:hint="eastAsia"/>
          <w:sz w:val="24"/>
        </w:rPr>
        <w:t>行为时，</w:t>
      </w:r>
      <w:r>
        <w:rPr>
          <w:rFonts w:hint="eastAsia"/>
          <w:sz w:val="24"/>
        </w:rPr>
        <w:t>组织资本是不可忽视的</w:t>
      </w:r>
      <w:r w:rsidR="001240A5">
        <w:rPr>
          <w:rFonts w:hint="eastAsia"/>
          <w:sz w:val="24"/>
        </w:rPr>
        <w:t>关键</w:t>
      </w:r>
      <w:r>
        <w:rPr>
          <w:rFonts w:hint="eastAsia"/>
          <w:sz w:val="24"/>
        </w:rPr>
        <w:t>变量。</w:t>
      </w:r>
    </w:p>
    <w:p w14:paraId="2C673011" w14:textId="7DE1E029" w:rsidR="00D41641" w:rsidRPr="00086241" w:rsidRDefault="00D41641" w:rsidP="006C5618">
      <w:pPr>
        <w:spacing w:line="360" w:lineRule="auto"/>
        <w:ind w:firstLineChars="200" w:firstLine="480"/>
        <w:rPr>
          <w:sz w:val="24"/>
        </w:rPr>
      </w:pPr>
      <w:bookmarkStart w:id="10" w:name="_Hlk185463098"/>
      <w:r w:rsidRPr="00086241">
        <w:rPr>
          <w:rFonts w:hint="eastAsia"/>
          <w:sz w:val="24"/>
        </w:rPr>
        <w:t>组织资本的建设与优化也与国家经济发展战略高度契合</w:t>
      </w:r>
      <w:bookmarkEnd w:id="10"/>
      <w:r w:rsidRPr="00086241">
        <w:rPr>
          <w:rFonts w:hint="eastAsia"/>
          <w:sz w:val="24"/>
        </w:rPr>
        <w:t>。</w:t>
      </w:r>
      <w:r w:rsidR="000C7E43">
        <w:rPr>
          <w:rFonts w:hint="eastAsia"/>
          <w:sz w:val="24"/>
        </w:rPr>
        <w:t>例如，</w:t>
      </w:r>
      <w:r w:rsidRPr="00086241">
        <w:rPr>
          <w:rFonts w:hint="eastAsia"/>
          <w:sz w:val="24"/>
        </w:rPr>
        <w:t>《“十四五”规划纲要》强调推动科技成果转化，促进知识产权、数据等无形资产入股</w:t>
      </w:r>
      <w:r w:rsidR="007E10FB">
        <w:rPr>
          <w:rFonts w:hint="eastAsia"/>
          <w:sz w:val="24"/>
        </w:rPr>
        <w:t>，优化新型生产要素配置，</w:t>
      </w:r>
      <w:r w:rsidR="00D54ED0">
        <w:rPr>
          <w:rFonts w:hint="eastAsia"/>
          <w:sz w:val="24"/>
        </w:rPr>
        <w:t>激活人才创新活力、深入推进人才分配制度改革等，这</w:t>
      </w:r>
      <w:r w:rsidR="007E10FB">
        <w:rPr>
          <w:rFonts w:hint="eastAsia"/>
          <w:sz w:val="24"/>
        </w:rPr>
        <w:t>均与组织资本的知识管理体系和关键人才价值密切相关</w:t>
      </w:r>
      <w:r w:rsidRPr="00086241">
        <w:rPr>
          <w:rFonts w:hint="eastAsia"/>
          <w:sz w:val="24"/>
        </w:rPr>
        <w:t>。</w:t>
      </w:r>
    </w:p>
    <w:p w14:paraId="0DFF5B5D" w14:textId="08D5E0C6" w:rsidR="007E10FB" w:rsidRDefault="000C7E43" w:rsidP="00F46281">
      <w:pPr>
        <w:spacing w:line="360" w:lineRule="auto"/>
        <w:ind w:firstLineChars="200" w:firstLine="480"/>
        <w:rPr>
          <w:sz w:val="24"/>
        </w:rPr>
      </w:pPr>
      <w:r>
        <w:rPr>
          <w:rFonts w:hint="eastAsia"/>
          <w:sz w:val="24"/>
        </w:rPr>
        <w:t>不过</w:t>
      </w:r>
      <w:r w:rsidR="007E10FB">
        <w:rPr>
          <w:rFonts w:hint="eastAsia"/>
          <w:sz w:val="24"/>
        </w:rPr>
        <w:t>，组织资本的提升并非单向利好，其</w:t>
      </w:r>
      <w:r w:rsidR="001240A5">
        <w:rPr>
          <w:rFonts w:hint="eastAsia"/>
          <w:sz w:val="24"/>
        </w:rPr>
        <w:t>带来的</w:t>
      </w:r>
      <w:r w:rsidR="007E10FB">
        <w:rPr>
          <w:rFonts w:hint="eastAsia"/>
          <w:sz w:val="24"/>
        </w:rPr>
        <w:t>复杂性值得关注。</w:t>
      </w:r>
      <w:r>
        <w:rPr>
          <w:rFonts w:hint="eastAsia"/>
          <w:sz w:val="24"/>
        </w:rPr>
        <w:t>一方面</w:t>
      </w:r>
      <w:r w:rsidR="007E10FB">
        <w:rPr>
          <w:rFonts w:hint="eastAsia"/>
          <w:sz w:val="24"/>
        </w:rPr>
        <w:t>，组织资本提升后，</w:t>
      </w:r>
      <w:r>
        <w:rPr>
          <w:rFonts w:hint="eastAsia"/>
          <w:sz w:val="24"/>
        </w:rPr>
        <w:t>股东现金流减少，</w:t>
      </w:r>
      <w:r w:rsidR="007E10FB">
        <w:rPr>
          <w:rFonts w:hint="eastAsia"/>
          <w:sz w:val="24"/>
        </w:rPr>
        <w:t>可能加剧委托代理冲突</w:t>
      </w:r>
      <w:r w:rsidR="001240A5">
        <w:rPr>
          <w:rFonts w:hint="eastAsia"/>
          <w:sz w:val="24"/>
        </w:rPr>
        <w:t>（</w:t>
      </w:r>
      <w:r w:rsidR="00026DC9">
        <w:rPr>
          <w:sz w:val="24"/>
        </w:rPr>
        <w:t>Eisfeldt</w:t>
      </w:r>
      <w:r w:rsidR="001240A5" w:rsidRPr="00086241">
        <w:rPr>
          <w:sz w:val="24"/>
        </w:rPr>
        <w:t xml:space="preserve"> </w:t>
      </w:r>
      <w:r w:rsidR="001240A5" w:rsidRPr="00086241">
        <w:rPr>
          <w:sz w:val="24"/>
        </w:rPr>
        <w:t>和</w:t>
      </w:r>
      <w:r w:rsidR="001240A5" w:rsidRPr="00086241">
        <w:rPr>
          <w:sz w:val="24"/>
        </w:rPr>
        <w:lastRenderedPageBreak/>
        <w:t>Papanikolaou</w:t>
      </w:r>
      <w:r w:rsidR="001240A5">
        <w:rPr>
          <w:rFonts w:hint="eastAsia"/>
          <w:sz w:val="24"/>
        </w:rPr>
        <w:t>，</w:t>
      </w:r>
      <w:r w:rsidR="001240A5" w:rsidRPr="00086241">
        <w:rPr>
          <w:sz w:val="24"/>
        </w:rPr>
        <w:t>2013</w:t>
      </w:r>
      <w:r w:rsidR="001240A5">
        <w:rPr>
          <w:rFonts w:hint="eastAsia"/>
          <w:sz w:val="24"/>
        </w:rPr>
        <w:t>）</w:t>
      </w:r>
      <w:r w:rsidR="007E10FB">
        <w:rPr>
          <w:rFonts w:hint="eastAsia"/>
          <w:sz w:val="24"/>
        </w:rPr>
        <w:t>，股东可能采取法律手段维权</w:t>
      </w:r>
      <w:r>
        <w:rPr>
          <w:rFonts w:hint="eastAsia"/>
          <w:sz w:val="24"/>
        </w:rPr>
        <w:t>；另一方面，</w:t>
      </w:r>
      <w:r w:rsidR="007E10FB">
        <w:rPr>
          <w:rFonts w:hint="eastAsia"/>
          <w:sz w:val="24"/>
        </w:rPr>
        <w:t>组织资本可能吸引更多投资者的关注</w:t>
      </w:r>
      <w:r w:rsidR="001240A5">
        <w:rPr>
          <w:rFonts w:hint="eastAsia"/>
          <w:sz w:val="24"/>
        </w:rPr>
        <w:t>（</w:t>
      </w:r>
      <w:r w:rsidR="003F5AB0">
        <w:rPr>
          <w:rFonts w:hint="eastAsia"/>
          <w:sz w:val="24"/>
        </w:rPr>
        <w:t>Hasan</w:t>
      </w:r>
      <w:r w:rsidR="003F5AB0">
        <w:rPr>
          <w:rFonts w:hint="eastAsia"/>
          <w:sz w:val="24"/>
        </w:rPr>
        <w:t>和</w:t>
      </w:r>
      <w:r w:rsidR="003F5AB0">
        <w:rPr>
          <w:rFonts w:hint="eastAsia"/>
          <w:sz w:val="24"/>
        </w:rPr>
        <w:t>Uddin</w:t>
      </w:r>
      <w:r w:rsidR="003F5AB0">
        <w:rPr>
          <w:rFonts w:hint="eastAsia"/>
          <w:sz w:val="24"/>
        </w:rPr>
        <w:t>，</w:t>
      </w:r>
      <w:r w:rsidR="003F5AB0">
        <w:rPr>
          <w:rFonts w:hint="eastAsia"/>
          <w:sz w:val="24"/>
        </w:rPr>
        <w:t>2022</w:t>
      </w:r>
      <w:r w:rsidR="001240A5">
        <w:rPr>
          <w:rFonts w:hint="eastAsia"/>
          <w:sz w:val="24"/>
        </w:rPr>
        <w:t>）</w:t>
      </w:r>
      <w:r w:rsidR="007E10FB">
        <w:rPr>
          <w:rFonts w:hint="eastAsia"/>
          <w:sz w:val="24"/>
        </w:rPr>
        <w:t>，使公司面临更严格的市场监督和更高的信息披露要求。在此背景下，公司可能将董</w:t>
      </w:r>
      <w:proofErr w:type="gramStart"/>
      <w:r w:rsidR="007E10FB">
        <w:rPr>
          <w:rFonts w:hint="eastAsia"/>
          <w:sz w:val="24"/>
        </w:rPr>
        <w:t>监高责任险作为</w:t>
      </w:r>
      <w:proofErr w:type="gramEnd"/>
      <w:r w:rsidR="007E10FB">
        <w:rPr>
          <w:rFonts w:hint="eastAsia"/>
          <w:sz w:val="24"/>
        </w:rPr>
        <w:t>降低诉讼风险、回应外部监管压力的有效策略。</w:t>
      </w:r>
      <w:r>
        <w:rPr>
          <w:rFonts w:hint="eastAsia"/>
          <w:sz w:val="24"/>
        </w:rPr>
        <w:t>研究组织资本与董</w:t>
      </w:r>
      <w:proofErr w:type="gramStart"/>
      <w:r>
        <w:rPr>
          <w:rFonts w:hint="eastAsia"/>
          <w:sz w:val="24"/>
        </w:rPr>
        <w:t>监高责任</w:t>
      </w:r>
      <w:proofErr w:type="gramEnd"/>
      <w:r>
        <w:rPr>
          <w:rFonts w:hint="eastAsia"/>
          <w:sz w:val="24"/>
        </w:rPr>
        <w:t>险的关系，对于理解企业决策、完善资本市场风险防控体系具有重要的理论与实践意义。</w:t>
      </w:r>
    </w:p>
    <w:p w14:paraId="11EE03C5" w14:textId="77777777" w:rsidR="00D41641" w:rsidRPr="00C74EB6" w:rsidRDefault="00D41641" w:rsidP="00C74EB6">
      <w:pPr>
        <w:pStyle w:val="2"/>
      </w:pPr>
      <w:bookmarkStart w:id="11" w:name="_Toc191420721"/>
      <w:bookmarkStart w:id="12" w:name="_Toc191574092"/>
      <w:bookmarkStart w:id="13" w:name="_Toc198286964"/>
      <w:bookmarkEnd w:id="8"/>
      <w:r w:rsidRPr="00C74EB6">
        <w:rPr>
          <w:rFonts w:hint="eastAsia"/>
        </w:rPr>
        <w:t>研究目的及框架</w:t>
      </w:r>
      <w:bookmarkEnd w:id="11"/>
      <w:bookmarkEnd w:id="12"/>
      <w:bookmarkEnd w:id="13"/>
    </w:p>
    <w:p w14:paraId="73135489" w14:textId="203AF70D" w:rsidR="00D41641" w:rsidRPr="00086241" w:rsidRDefault="00D41641" w:rsidP="00B623EC">
      <w:pPr>
        <w:spacing w:line="360" w:lineRule="auto"/>
        <w:ind w:firstLineChars="200" w:firstLine="480"/>
        <w:rPr>
          <w:sz w:val="24"/>
        </w:rPr>
      </w:pPr>
      <w:r w:rsidRPr="00086241">
        <w:rPr>
          <w:rFonts w:hint="eastAsia"/>
          <w:sz w:val="24"/>
        </w:rPr>
        <w:t>基于董</w:t>
      </w:r>
      <w:proofErr w:type="gramStart"/>
      <w:r w:rsidRPr="00086241">
        <w:rPr>
          <w:rFonts w:hint="eastAsia"/>
          <w:sz w:val="24"/>
        </w:rPr>
        <w:t>监高责任</w:t>
      </w:r>
      <w:proofErr w:type="gramEnd"/>
      <w:r w:rsidRPr="00086241">
        <w:rPr>
          <w:rFonts w:hint="eastAsia"/>
          <w:sz w:val="24"/>
        </w:rPr>
        <w:t>险的</w:t>
      </w:r>
      <w:r w:rsidR="008E596C">
        <w:rPr>
          <w:rFonts w:hint="eastAsia"/>
          <w:sz w:val="24"/>
        </w:rPr>
        <w:t>配置</w:t>
      </w:r>
      <w:r w:rsidRPr="00086241">
        <w:rPr>
          <w:rFonts w:hint="eastAsia"/>
          <w:sz w:val="24"/>
        </w:rPr>
        <w:t>现状及组织资本的重要价值，本文的研究目的具体包括以下几点：</w:t>
      </w:r>
      <w:r w:rsidRPr="00086241">
        <w:rPr>
          <w:rFonts w:hint="eastAsia"/>
          <w:sz w:val="24"/>
        </w:rPr>
        <w:t>1</w:t>
      </w:r>
      <w:r w:rsidRPr="00086241">
        <w:rPr>
          <w:rFonts w:hint="eastAsia"/>
          <w:sz w:val="24"/>
        </w:rPr>
        <w:t>）探讨组织资本对董</w:t>
      </w:r>
      <w:proofErr w:type="gramStart"/>
      <w:r w:rsidRPr="00086241">
        <w:rPr>
          <w:rFonts w:hint="eastAsia"/>
          <w:sz w:val="24"/>
        </w:rPr>
        <w:t>监高责任</w:t>
      </w:r>
      <w:proofErr w:type="gramEnd"/>
      <w:r w:rsidRPr="00086241">
        <w:rPr>
          <w:rFonts w:hint="eastAsia"/>
          <w:sz w:val="24"/>
        </w:rPr>
        <w:t>险</w:t>
      </w:r>
      <w:r w:rsidR="00D473F8">
        <w:rPr>
          <w:rFonts w:hint="eastAsia"/>
          <w:sz w:val="24"/>
        </w:rPr>
        <w:t>投保意向</w:t>
      </w:r>
      <w:r w:rsidRPr="00086241">
        <w:rPr>
          <w:rFonts w:hint="eastAsia"/>
          <w:sz w:val="24"/>
        </w:rPr>
        <w:t>的影响；</w:t>
      </w:r>
      <w:r w:rsidRPr="00086241">
        <w:rPr>
          <w:rFonts w:hint="eastAsia"/>
          <w:sz w:val="24"/>
        </w:rPr>
        <w:t>2</w:t>
      </w:r>
      <w:r w:rsidRPr="00086241">
        <w:rPr>
          <w:rFonts w:hint="eastAsia"/>
          <w:sz w:val="24"/>
        </w:rPr>
        <w:t>）挖掘两者之间的形成机制，分析影响</w:t>
      </w:r>
      <w:proofErr w:type="gramStart"/>
      <w:r w:rsidRPr="00086241">
        <w:rPr>
          <w:rFonts w:hint="eastAsia"/>
          <w:sz w:val="24"/>
        </w:rPr>
        <w:t>该关系</w:t>
      </w:r>
      <w:proofErr w:type="gramEnd"/>
      <w:r w:rsidRPr="00086241">
        <w:rPr>
          <w:rFonts w:hint="eastAsia"/>
          <w:sz w:val="24"/>
        </w:rPr>
        <w:t>的变量，以丰富相关机制研究；</w:t>
      </w:r>
      <w:r w:rsidRPr="00086241">
        <w:rPr>
          <w:rFonts w:hint="eastAsia"/>
          <w:sz w:val="24"/>
        </w:rPr>
        <w:t>3</w:t>
      </w:r>
      <w:r w:rsidRPr="00086241">
        <w:rPr>
          <w:rFonts w:hint="eastAsia"/>
          <w:sz w:val="24"/>
        </w:rPr>
        <w:t>）分行业特质、企业特性考察</w:t>
      </w:r>
      <w:proofErr w:type="gramStart"/>
      <w:r w:rsidRPr="00086241">
        <w:rPr>
          <w:rFonts w:hint="eastAsia"/>
          <w:sz w:val="24"/>
        </w:rPr>
        <w:t>该关系</w:t>
      </w:r>
      <w:proofErr w:type="gramEnd"/>
      <w:r w:rsidRPr="00086241">
        <w:rPr>
          <w:rFonts w:hint="eastAsia"/>
          <w:sz w:val="24"/>
        </w:rPr>
        <w:t>的影响因素；</w:t>
      </w:r>
      <w:r w:rsidRPr="00086241">
        <w:rPr>
          <w:rFonts w:hint="eastAsia"/>
          <w:sz w:val="24"/>
        </w:rPr>
        <w:t>4</w:t>
      </w:r>
      <w:r w:rsidRPr="00086241">
        <w:rPr>
          <w:rFonts w:hint="eastAsia"/>
          <w:sz w:val="24"/>
        </w:rPr>
        <w:t>）在上述研究基础上，提出具有针对性的政策建议和实践指导。</w:t>
      </w:r>
    </w:p>
    <w:p w14:paraId="479EFFE9" w14:textId="0F91D2C6" w:rsidR="00D41641" w:rsidRPr="00086241" w:rsidRDefault="00D41641" w:rsidP="00613EDF">
      <w:pPr>
        <w:spacing w:line="360" w:lineRule="auto"/>
        <w:ind w:firstLineChars="200" w:firstLine="480"/>
        <w:rPr>
          <w:sz w:val="24"/>
        </w:rPr>
      </w:pPr>
      <w:r w:rsidRPr="00086241">
        <w:rPr>
          <w:rFonts w:hint="eastAsia"/>
          <w:sz w:val="24"/>
        </w:rPr>
        <w:t>本文的研究框架如下：</w:t>
      </w:r>
      <w:r w:rsidRPr="00086241">
        <w:rPr>
          <w:rFonts w:hint="eastAsia"/>
          <w:sz w:val="24"/>
        </w:rPr>
        <w:t>1</w:t>
      </w:r>
      <w:r w:rsidRPr="00086241">
        <w:rPr>
          <w:rFonts w:hint="eastAsia"/>
          <w:sz w:val="24"/>
        </w:rPr>
        <w:t>）第二章为文献综述与研究假设，结合国内外主流文献观点，开展理论分析并提出研究假设；</w:t>
      </w:r>
      <w:r w:rsidRPr="00086241">
        <w:rPr>
          <w:rFonts w:hint="eastAsia"/>
          <w:sz w:val="24"/>
        </w:rPr>
        <w:t>2</w:t>
      </w:r>
      <w:r w:rsidRPr="00086241">
        <w:rPr>
          <w:rFonts w:hint="eastAsia"/>
          <w:sz w:val="24"/>
        </w:rPr>
        <w:t>）第三章为研究设计，详细说明样本选取、变量设定与模型构建的方法；</w:t>
      </w:r>
      <w:r w:rsidRPr="00086241">
        <w:rPr>
          <w:rFonts w:hint="eastAsia"/>
          <w:sz w:val="24"/>
        </w:rPr>
        <w:t>3</w:t>
      </w:r>
      <w:r w:rsidRPr="00086241">
        <w:rPr>
          <w:rFonts w:hint="eastAsia"/>
          <w:sz w:val="24"/>
        </w:rPr>
        <w:t>）第四章为实证分析，包括基准回归、内生性问题的处理、机制检验；</w:t>
      </w:r>
      <w:r w:rsidRPr="00086241">
        <w:rPr>
          <w:rFonts w:hint="eastAsia"/>
          <w:sz w:val="24"/>
        </w:rPr>
        <w:t>4</w:t>
      </w:r>
      <w:r w:rsidRPr="00086241">
        <w:rPr>
          <w:rFonts w:hint="eastAsia"/>
          <w:sz w:val="24"/>
        </w:rPr>
        <w:t>）第五章为进一步分析，涉及异质性分析、稳健性检验等；</w:t>
      </w:r>
      <w:r w:rsidR="00DA3709">
        <w:rPr>
          <w:rFonts w:hint="eastAsia"/>
          <w:sz w:val="24"/>
        </w:rPr>
        <w:t>5</w:t>
      </w:r>
      <w:r w:rsidRPr="00086241">
        <w:rPr>
          <w:rFonts w:hint="eastAsia"/>
          <w:sz w:val="24"/>
        </w:rPr>
        <w:t>）第</w:t>
      </w:r>
      <w:r w:rsidR="00491833">
        <w:rPr>
          <w:rFonts w:hint="eastAsia"/>
          <w:sz w:val="24"/>
        </w:rPr>
        <w:t>六章</w:t>
      </w:r>
      <w:r w:rsidRPr="00086241">
        <w:rPr>
          <w:rFonts w:hint="eastAsia"/>
          <w:sz w:val="24"/>
        </w:rPr>
        <w:t>为结论及展望，总结发现，提出针对性的建议，并</w:t>
      </w:r>
      <w:r>
        <w:rPr>
          <w:rFonts w:hint="eastAsia"/>
          <w:sz w:val="24"/>
        </w:rPr>
        <w:t>阐述启示和未来展望</w:t>
      </w:r>
      <w:r w:rsidRPr="00086241">
        <w:rPr>
          <w:rFonts w:hint="eastAsia"/>
          <w:sz w:val="24"/>
        </w:rPr>
        <w:t>。</w:t>
      </w:r>
    </w:p>
    <w:p w14:paraId="39CC561A" w14:textId="77777777" w:rsidR="00D41641" w:rsidRPr="00C74EB6" w:rsidRDefault="00D41641" w:rsidP="00C74EB6">
      <w:pPr>
        <w:pStyle w:val="2"/>
      </w:pPr>
      <w:bookmarkStart w:id="14" w:name="_Toc191420722"/>
      <w:bookmarkStart w:id="15" w:name="_Toc191574093"/>
      <w:bookmarkStart w:id="16" w:name="_Toc198286965"/>
      <w:r w:rsidRPr="00C74EB6">
        <w:rPr>
          <w:rFonts w:hint="eastAsia"/>
        </w:rPr>
        <w:t>研究意义</w:t>
      </w:r>
      <w:bookmarkEnd w:id="14"/>
      <w:bookmarkEnd w:id="15"/>
      <w:bookmarkEnd w:id="16"/>
    </w:p>
    <w:p w14:paraId="6F0FEFB8" w14:textId="77777777" w:rsidR="00D41641" w:rsidRPr="00C74EB6" w:rsidRDefault="00D41641" w:rsidP="00C74EB6">
      <w:pPr>
        <w:pStyle w:val="3"/>
      </w:pPr>
      <w:bookmarkStart w:id="17" w:name="_Toc191420723"/>
      <w:bookmarkStart w:id="18" w:name="_Toc191574094"/>
      <w:bookmarkStart w:id="19" w:name="_Toc198286966"/>
      <w:r w:rsidRPr="00C74EB6">
        <w:rPr>
          <w:rFonts w:hint="eastAsia"/>
        </w:rPr>
        <w:t>理论意义</w:t>
      </w:r>
      <w:bookmarkEnd w:id="17"/>
      <w:bookmarkEnd w:id="18"/>
      <w:bookmarkEnd w:id="19"/>
    </w:p>
    <w:p w14:paraId="566E10DA" w14:textId="2B9959ED" w:rsidR="00566E24" w:rsidRDefault="00566E24" w:rsidP="00566E24">
      <w:pPr>
        <w:spacing w:line="360" w:lineRule="auto"/>
        <w:rPr>
          <w:sz w:val="24"/>
        </w:rPr>
      </w:pPr>
      <w:r>
        <w:rPr>
          <w:rFonts w:hint="eastAsia"/>
          <w:sz w:val="24"/>
        </w:rPr>
        <w:t>（一）深化了组织资本的复杂性研究</w:t>
      </w:r>
    </w:p>
    <w:p w14:paraId="321478E1" w14:textId="684FB192" w:rsidR="00566E24" w:rsidRPr="00566E24" w:rsidRDefault="00022DE8" w:rsidP="00566E24">
      <w:pPr>
        <w:spacing w:line="360" w:lineRule="auto"/>
        <w:ind w:firstLineChars="200" w:firstLine="480"/>
        <w:rPr>
          <w:sz w:val="24"/>
        </w:rPr>
      </w:pPr>
      <w:r>
        <w:rPr>
          <w:rFonts w:hint="eastAsia"/>
          <w:sz w:val="24"/>
        </w:rPr>
        <w:t>传统</w:t>
      </w:r>
      <w:r w:rsidR="00566E24">
        <w:rPr>
          <w:rFonts w:hint="eastAsia"/>
          <w:sz w:val="24"/>
        </w:rPr>
        <w:t>研究主要围绕企业绩效</w:t>
      </w:r>
      <w:r w:rsidR="000B0691">
        <w:rPr>
          <w:rFonts w:hint="eastAsia"/>
          <w:sz w:val="24"/>
        </w:rPr>
        <w:t>（</w:t>
      </w:r>
      <w:r w:rsidR="00434C1B">
        <w:rPr>
          <w:rFonts w:hint="eastAsia"/>
          <w:sz w:val="24"/>
        </w:rPr>
        <w:t>刘海建和陈传明，</w:t>
      </w:r>
      <w:r w:rsidR="00434C1B">
        <w:rPr>
          <w:rFonts w:hint="eastAsia"/>
          <w:sz w:val="24"/>
        </w:rPr>
        <w:t>2007</w:t>
      </w:r>
      <w:r w:rsidR="00434C1B">
        <w:rPr>
          <w:rFonts w:hint="eastAsia"/>
          <w:sz w:val="24"/>
        </w:rPr>
        <w:t>；</w:t>
      </w:r>
      <w:r w:rsidR="00434C1B" w:rsidRPr="006520B5">
        <w:rPr>
          <w:rFonts w:hint="eastAsia"/>
          <w:sz w:val="24"/>
        </w:rPr>
        <w:t>杨俊仙和周洁，</w:t>
      </w:r>
      <w:r w:rsidR="00434C1B" w:rsidRPr="006520B5">
        <w:rPr>
          <w:rFonts w:hint="eastAsia"/>
          <w:sz w:val="24"/>
        </w:rPr>
        <w:t>2016</w:t>
      </w:r>
      <w:r w:rsidR="00434C1B" w:rsidRPr="006520B5">
        <w:rPr>
          <w:rFonts w:hint="eastAsia"/>
          <w:sz w:val="24"/>
        </w:rPr>
        <w:t>；</w:t>
      </w:r>
      <w:r w:rsidR="00434C1B" w:rsidRPr="006520B5">
        <w:rPr>
          <w:rFonts w:hint="eastAsia"/>
          <w:sz w:val="24"/>
        </w:rPr>
        <w:t>Boubaker</w:t>
      </w:r>
      <w:r w:rsidR="00434C1B" w:rsidRPr="006520B5">
        <w:rPr>
          <w:rFonts w:hint="eastAsia"/>
          <w:sz w:val="24"/>
        </w:rPr>
        <w:t>等，</w:t>
      </w:r>
      <w:r w:rsidR="00434C1B" w:rsidRPr="006520B5">
        <w:rPr>
          <w:rFonts w:hint="eastAsia"/>
          <w:sz w:val="24"/>
        </w:rPr>
        <w:t>2022</w:t>
      </w:r>
      <w:r w:rsidR="00434C1B" w:rsidRPr="006520B5">
        <w:rPr>
          <w:rFonts w:hint="eastAsia"/>
          <w:sz w:val="24"/>
        </w:rPr>
        <w:t>）</w:t>
      </w:r>
      <w:r w:rsidR="00434C1B">
        <w:rPr>
          <w:rFonts w:hint="eastAsia"/>
          <w:sz w:val="24"/>
        </w:rPr>
        <w:t>、投资决策（</w:t>
      </w:r>
      <w:r w:rsidR="00434C1B" w:rsidRPr="006520B5">
        <w:rPr>
          <w:rFonts w:hint="eastAsia"/>
          <w:sz w:val="24"/>
        </w:rPr>
        <w:t>Cui</w:t>
      </w:r>
      <w:r w:rsidR="00434C1B" w:rsidRPr="006520B5">
        <w:rPr>
          <w:rFonts w:hint="eastAsia"/>
          <w:sz w:val="24"/>
        </w:rPr>
        <w:t>等，</w:t>
      </w:r>
      <w:r w:rsidR="00434C1B" w:rsidRPr="006520B5">
        <w:rPr>
          <w:rFonts w:hint="eastAsia"/>
          <w:sz w:val="24"/>
        </w:rPr>
        <w:t>2021</w:t>
      </w:r>
      <w:r w:rsidR="00434C1B" w:rsidRPr="006520B5">
        <w:rPr>
          <w:rFonts w:hint="eastAsia"/>
          <w:sz w:val="24"/>
        </w:rPr>
        <w:t>；</w:t>
      </w:r>
      <w:r w:rsidR="00434C1B" w:rsidRPr="006520B5">
        <w:rPr>
          <w:rFonts w:hint="eastAsia"/>
          <w:sz w:val="24"/>
        </w:rPr>
        <w:t>Francis</w:t>
      </w:r>
      <w:r w:rsidR="00434C1B" w:rsidRPr="006520B5">
        <w:rPr>
          <w:rFonts w:hint="eastAsia"/>
          <w:sz w:val="24"/>
        </w:rPr>
        <w:t>等，</w:t>
      </w:r>
      <w:r w:rsidR="00434C1B" w:rsidRPr="006520B5">
        <w:rPr>
          <w:rFonts w:hint="eastAsia"/>
          <w:sz w:val="24"/>
        </w:rPr>
        <w:t>2021</w:t>
      </w:r>
      <w:r w:rsidR="00434C1B" w:rsidRPr="006520B5">
        <w:rPr>
          <w:rFonts w:hint="eastAsia"/>
          <w:sz w:val="24"/>
        </w:rPr>
        <w:t>；蒋艺翅和姚树洁，</w:t>
      </w:r>
      <w:r w:rsidR="00434C1B" w:rsidRPr="006520B5">
        <w:rPr>
          <w:rFonts w:hint="eastAsia"/>
          <w:sz w:val="24"/>
        </w:rPr>
        <w:t>2023</w:t>
      </w:r>
      <w:r w:rsidR="00434C1B">
        <w:rPr>
          <w:rFonts w:hint="eastAsia"/>
          <w:sz w:val="24"/>
        </w:rPr>
        <w:t>）和资本市场（</w:t>
      </w:r>
      <w:r w:rsidR="00026DC9">
        <w:rPr>
          <w:rFonts w:hint="eastAsia"/>
          <w:sz w:val="24"/>
        </w:rPr>
        <w:t>Eisfeldt</w:t>
      </w:r>
      <w:r w:rsidR="00434C1B" w:rsidRPr="006520B5">
        <w:rPr>
          <w:rFonts w:hint="eastAsia"/>
          <w:sz w:val="24"/>
        </w:rPr>
        <w:t xml:space="preserve"> </w:t>
      </w:r>
      <w:r w:rsidR="00434C1B" w:rsidRPr="006520B5">
        <w:rPr>
          <w:rFonts w:hint="eastAsia"/>
          <w:sz w:val="24"/>
        </w:rPr>
        <w:t>和</w:t>
      </w:r>
      <w:r w:rsidR="00434C1B" w:rsidRPr="006520B5">
        <w:rPr>
          <w:rFonts w:hint="eastAsia"/>
          <w:sz w:val="24"/>
        </w:rPr>
        <w:t>Papanikolaou</w:t>
      </w:r>
      <w:r w:rsidR="00434C1B" w:rsidRPr="006520B5">
        <w:rPr>
          <w:rFonts w:hint="eastAsia"/>
          <w:sz w:val="24"/>
        </w:rPr>
        <w:t>，</w:t>
      </w:r>
      <w:r w:rsidR="00434C1B" w:rsidRPr="006520B5">
        <w:rPr>
          <w:rFonts w:hint="eastAsia"/>
          <w:sz w:val="24"/>
        </w:rPr>
        <w:t>2013</w:t>
      </w:r>
      <w:r w:rsidR="00434C1B">
        <w:rPr>
          <w:rFonts w:hint="eastAsia"/>
          <w:sz w:val="24"/>
        </w:rPr>
        <w:t>；</w:t>
      </w:r>
      <w:r w:rsidR="00434C1B" w:rsidRPr="006520B5">
        <w:rPr>
          <w:rFonts w:hint="eastAsia"/>
          <w:sz w:val="24"/>
        </w:rPr>
        <w:t>Hasan</w:t>
      </w:r>
      <w:r w:rsidR="00434C1B" w:rsidRPr="006520B5">
        <w:rPr>
          <w:rFonts w:hint="eastAsia"/>
          <w:sz w:val="24"/>
        </w:rPr>
        <w:t>和</w:t>
      </w:r>
      <w:r w:rsidR="00434C1B" w:rsidRPr="006520B5">
        <w:rPr>
          <w:rFonts w:hint="eastAsia"/>
          <w:sz w:val="24"/>
        </w:rPr>
        <w:t>Uddin</w:t>
      </w:r>
      <w:r w:rsidR="00434C1B" w:rsidRPr="006520B5">
        <w:rPr>
          <w:rFonts w:hint="eastAsia"/>
          <w:sz w:val="24"/>
        </w:rPr>
        <w:t>，</w:t>
      </w:r>
      <w:r w:rsidR="00434C1B" w:rsidRPr="006520B5">
        <w:rPr>
          <w:rFonts w:hint="eastAsia"/>
          <w:sz w:val="24"/>
        </w:rPr>
        <w:t>2022</w:t>
      </w:r>
      <w:r w:rsidR="00434C1B">
        <w:rPr>
          <w:rFonts w:hint="eastAsia"/>
          <w:sz w:val="24"/>
        </w:rPr>
        <w:t>）等方向</w:t>
      </w:r>
      <w:r w:rsidR="00566E24">
        <w:rPr>
          <w:rFonts w:hint="eastAsia"/>
          <w:sz w:val="24"/>
        </w:rPr>
        <w:t>，较少涉及风险管理</w:t>
      </w:r>
      <w:r w:rsidR="00434C1B">
        <w:rPr>
          <w:rFonts w:hint="eastAsia"/>
          <w:sz w:val="24"/>
        </w:rPr>
        <w:t>领域</w:t>
      </w:r>
      <w:r w:rsidR="00241119">
        <w:rPr>
          <w:rFonts w:hint="eastAsia"/>
          <w:sz w:val="24"/>
        </w:rPr>
        <w:t>。而风险管理是公司</w:t>
      </w:r>
      <w:r w:rsidR="00641423">
        <w:rPr>
          <w:rFonts w:hint="eastAsia"/>
          <w:sz w:val="24"/>
        </w:rPr>
        <w:t>保障内控</w:t>
      </w:r>
      <w:r w:rsidR="00241119">
        <w:rPr>
          <w:rFonts w:hint="eastAsia"/>
          <w:sz w:val="24"/>
        </w:rPr>
        <w:t>质量的基本功。</w:t>
      </w:r>
      <w:r w:rsidR="00566E24">
        <w:rPr>
          <w:rFonts w:hint="eastAsia"/>
          <w:sz w:val="24"/>
        </w:rPr>
        <w:t>本研究引入董</w:t>
      </w:r>
      <w:proofErr w:type="gramStart"/>
      <w:r w:rsidR="00566E24">
        <w:rPr>
          <w:rFonts w:hint="eastAsia"/>
          <w:sz w:val="24"/>
        </w:rPr>
        <w:t>监高责任</w:t>
      </w:r>
      <w:proofErr w:type="gramEnd"/>
      <w:r w:rsidR="00566E24">
        <w:rPr>
          <w:rFonts w:hint="eastAsia"/>
          <w:sz w:val="24"/>
        </w:rPr>
        <w:t>险这一风险管理领域的公司变量，揭示组织资本通过加剧双重委托代理冲突和提升投资者关注来塑造企业的风险管理需求。这一发现深化了对组织资本复杂性的理解，能够启发组织资本“有效性”和“无效性”的讨论，为后续研究提供新的思考方向。</w:t>
      </w:r>
    </w:p>
    <w:p w14:paraId="27BDA103" w14:textId="32968CB1" w:rsidR="00407063" w:rsidRDefault="00407063" w:rsidP="00407063">
      <w:pPr>
        <w:spacing w:line="360" w:lineRule="auto"/>
        <w:rPr>
          <w:sz w:val="24"/>
        </w:rPr>
      </w:pPr>
      <w:r>
        <w:rPr>
          <w:rFonts w:hint="eastAsia"/>
          <w:sz w:val="24"/>
        </w:rPr>
        <w:t>（</w:t>
      </w:r>
      <w:r w:rsidR="00566E24">
        <w:rPr>
          <w:rFonts w:hint="eastAsia"/>
          <w:sz w:val="24"/>
        </w:rPr>
        <w:t>二</w:t>
      </w:r>
      <w:r>
        <w:rPr>
          <w:rFonts w:hint="eastAsia"/>
          <w:sz w:val="24"/>
        </w:rPr>
        <w:t>）拓展了保险经济学中的保险动机理论</w:t>
      </w:r>
    </w:p>
    <w:p w14:paraId="4D892B76" w14:textId="49B05106" w:rsidR="00407063" w:rsidRDefault="00407063" w:rsidP="00566E24">
      <w:pPr>
        <w:spacing w:line="360" w:lineRule="auto"/>
        <w:ind w:firstLineChars="200" w:firstLine="480"/>
        <w:rPr>
          <w:sz w:val="24"/>
        </w:rPr>
      </w:pPr>
      <w:r>
        <w:rPr>
          <w:rFonts w:hint="eastAsia"/>
          <w:sz w:val="24"/>
        </w:rPr>
        <w:lastRenderedPageBreak/>
        <w:t>传统保险经济学主要关注风险规避</w:t>
      </w:r>
      <w:r w:rsidR="00434C1B">
        <w:rPr>
          <w:rFonts w:hint="eastAsia"/>
          <w:sz w:val="24"/>
        </w:rPr>
        <w:t>（</w:t>
      </w:r>
      <w:r w:rsidR="00434C1B">
        <w:rPr>
          <w:rFonts w:hint="eastAsia"/>
          <w:sz w:val="24"/>
        </w:rPr>
        <w:t>Core</w:t>
      </w:r>
      <w:r w:rsidR="00434C1B">
        <w:rPr>
          <w:rFonts w:hint="eastAsia"/>
          <w:sz w:val="24"/>
        </w:rPr>
        <w:t>等，</w:t>
      </w:r>
      <w:r w:rsidR="00434C1B">
        <w:rPr>
          <w:rFonts w:hint="eastAsia"/>
          <w:sz w:val="24"/>
        </w:rPr>
        <w:t>1997</w:t>
      </w:r>
      <w:r w:rsidR="00434C1B">
        <w:rPr>
          <w:rFonts w:hint="eastAsia"/>
          <w:sz w:val="24"/>
        </w:rPr>
        <w:t>；</w:t>
      </w:r>
      <w:r w:rsidR="00434C1B">
        <w:rPr>
          <w:rFonts w:hint="eastAsia"/>
          <w:sz w:val="24"/>
        </w:rPr>
        <w:t>Hu</w:t>
      </w:r>
      <w:r w:rsidR="00434C1B">
        <w:rPr>
          <w:rFonts w:hint="eastAsia"/>
          <w:sz w:val="24"/>
        </w:rPr>
        <w:t>和</w:t>
      </w:r>
      <w:r w:rsidR="00434C1B">
        <w:rPr>
          <w:rFonts w:hint="eastAsia"/>
          <w:sz w:val="24"/>
        </w:rPr>
        <w:t>Fang</w:t>
      </w:r>
      <w:r w:rsidR="00434C1B">
        <w:rPr>
          <w:rFonts w:hint="eastAsia"/>
          <w:sz w:val="24"/>
        </w:rPr>
        <w:t>，</w:t>
      </w:r>
      <w:r w:rsidR="00434C1B">
        <w:rPr>
          <w:rFonts w:hint="eastAsia"/>
          <w:sz w:val="24"/>
        </w:rPr>
        <w:t>2022</w:t>
      </w:r>
      <w:r w:rsidR="00434C1B">
        <w:rPr>
          <w:rFonts w:hint="eastAsia"/>
          <w:sz w:val="24"/>
        </w:rPr>
        <w:t>）</w:t>
      </w:r>
      <w:r>
        <w:rPr>
          <w:rFonts w:hint="eastAsia"/>
          <w:sz w:val="24"/>
        </w:rPr>
        <w:t>等直接投保动机，较少涉及组织</w:t>
      </w:r>
      <w:r w:rsidR="00566E24">
        <w:rPr>
          <w:rFonts w:hint="eastAsia"/>
          <w:sz w:val="24"/>
        </w:rPr>
        <w:t>层面</w:t>
      </w:r>
      <w:r>
        <w:rPr>
          <w:rFonts w:hint="eastAsia"/>
          <w:sz w:val="24"/>
        </w:rPr>
        <w:t>研究。</w:t>
      </w:r>
      <w:r w:rsidR="00241119">
        <w:rPr>
          <w:rFonts w:hint="eastAsia"/>
          <w:sz w:val="24"/>
        </w:rPr>
        <w:t>而组织资本是整合并转化各类生产要素的关键变量。</w:t>
      </w:r>
      <w:r>
        <w:rPr>
          <w:rFonts w:hint="eastAsia"/>
          <w:sz w:val="24"/>
        </w:rPr>
        <w:t>本研究引入组织资本，</w:t>
      </w:r>
      <w:r w:rsidR="00566E24">
        <w:rPr>
          <w:rFonts w:hint="eastAsia"/>
          <w:sz w:val="24"/>
        </w:rPr>
        <w:t>从公司更深层次的内部特征挖掘风险管理需求的动机。</w:t>
      </w:r>
      <w:r w:rsidR="00197A9F">
        <w:rPr>
          <w:rFonts w:hint="eastAsia"/>
          <w:sz w:val="24"/>
        </w:rPr>
        <w:t>研究发现组织资本的提升</w:t>
      </w:r>
      <w:r w:rsidR="005F05D5">
        <w:rPr>
          <w:rFonts w:hint="eastAsia"/>
          <w:sz w:val="24"/>
        </w:rPr>
        <w:t>能够增强</w:t>
      </w:r>
      <w:r w:rsidR="00197A9F">
        <w:rPr>
          <w:rFonts w:hint="eastAsia"/>
          <w:sz w:val="24"/>
        </w:rPr>
        <w:t>企业</w:t>
      </w:r>
      <w:r w:rsidR="00C072C0">
        <w:rPr>
          <w:rFonts w:hint="eastAsia"/>
          <w:sz w:val="24"/>
        </w:rPr>
        <w:t>购买</w:t>
      </w:r>
      <w:r w:rsidR="00197A9F">
        <w:rPr>
          <w:rFonts w:hint="eastAsia"/>
          <w:sz w:val="24"/>
        </w:rPr>
        <w:t>董</w:t>
      </w:r>
      <w:proofErr w:type="gramStart"/>
      <w:r w:rsidR="00197A9F">
        <w:rPr>
          <w:rFonts w:hint="eastAsia"/>
          <w:sz w:val="24"/>
        </w:rPr>
        <w:t>监高责任</w:t>
      </w:r>
      <w:proofErr w:type="gramEnd"/>
      <w:r w:rsidR="00197A9F">
        <w:rPr>
          <w:rFonts w:hint="eastAsia"/>
          <w:sz w:val="24"/>
        </w:rPr>
        <w:t>险的意愿，从而拓宽了保险动机框架</w:t>
      </w:r>
      <w:r w:rsidR="00566E24">
        <w:rPr>
          <w:rFonts w:hint="eastAsia"/>
          <w:sz w:val="24"/>
        </w:rPr>
        <w:t>，提升组织资本在金融和保险领域的研究价值。</w:t>
      </w:r>
    </w:p>
    <w:p w14:paraId="460F720E" w14:textId="77777777" w:rsidR="00D41641" w:rsidRPr="00C74EB6" w:rsidRDefault="00D41641" w:rsidP="00C74EB6">
      <w:pPr>
        <w:pStyle w:val="3"/>
      </w:pPr>
      <w:bookmarkStart w:id="20" w:name="_Toc191420724"/>
      <w:bookmarkStart w:id="21" w:name="_Toc191574095"/>
      <w:bookmarkStart w:id="22" w:name="_Toc198286967"/>
      <w:r w:rsidRPr="00C74EB6">
        <w:rPr>
          <w:rFonts w:hint="eastAsia"/>
        </w:rPr>
        <w:t>实践意义</w:t>
      </w:r>
      <w:bookmarkEnd w:id="20"/>
      <w:bookmarkEnd w:id="21"/>
      <w:bookmarkEnd w:id="22"/>
    </w:p>
    <w:p w14:paraId="555DE568" w14:textId="1ACBBD34" w:rsidR="007F7EC3" w:rsidRPr="007F7EC3" w:rsidRDefault="007F7EC3" w:rsidP="00875991">
      <w:pPr>
        <w:pStyle w:val="a9"/>
        <w:numPr>
          <w:ilvl w:val="0"/>
          <w:numId w:val="4"/>
        </w:numPr>
        <w:spacing w:line="360" w:lineRule="auto"/>
        <w:rPr>
          <w:sz w:val="24"/>
        </w:rPr>
      </w:pPr>
      <w:r w:rsidRPr="007F7EC3">
        <w:rPr>
          <w:rFonts w:hint="eastAsia"/>
          <w:sz w:val="24"/>
        </w:rPr>
        <w:t>指导企业优化组织资本，提高风险管理能力</w:t>
      </w:r>
    </w:p>
    <w:p w14:paraId="5A737DE7" w14:textId="7E931B86" w:rsidR="007F7EC3" w:rsidRDefault="007F7EC3" w:rsidP="00566E24">
      <w:pPr>
        <w:spacing w:line="360" w:lineRule="auto"/>
        <w:ind w:firstLineChars="200" w:firstLine="480"/>
        <w:rPr>
          <w:sz w:val="24"/>
        </w:rPr>
      </w:pPr>
      <w:r>
        <w:rPr>
          <w:rFonts w:hint="eastAsia"/>
          <w:sz w:val="24"/>
        </w:rPr>
        <w:t>研究</w:t>
      </w:r>
      <w:r w:rsidR="00566E24">
        <w:rPr>
          <w:rFonts w:hint="eastAsia"/>
          <w:sz w:val="24"/>
        </w:rPr>
        <w:t>结论指导企业优化组织资本建设</w:t>
      </w:r>
      <w:r>
        <w:rPr>
          <w:rFonts w:hint="eastAsia"/>
          <w:sz w:val="24"/>
        </w:rPr>
        <w:t>，通过</w:t>
      </w:r>
      <w:r w:rsidR="00F3658E">
        <w:rPr>
          <w:rFonts w:hint="eastAsia"/>
          <w:sz w:val="24"/>
        </w:rPr>
        <w:t>削减低质量的组织资本</w:t>
      </w:r>
      <w:r w:rsidR="00566E24">
        <w:rPr>
          <w:rFonts w:hint="eastAsia"/>
          <w:sz w:val="24"/>
        </w:rPr>
        <w:t>、完善内外治理</w:t>
      </w:r>
      <w:r w:rsidR="00F3658E">
        <w:rPr>
          <w:rFonts w:hint="eastAsia"/>
          <w:sz w:val="24"/>
        </w:rPr>
        <w:t>减少双重委托代理冲突，降低投保成本，提升企业整体风险应对能力</w:t>
      </w:r>
      <w:r w:rsidR="00566E24">
        <w:rPr>
          <w:rFonts w:hint="eastAsia"/>
          <w:sz w:val="24"/>
        </w:rPr>
        <w:t>。</w:t>
      </w:r>
    </w:p>
    <w:p w14:paraId="4361F52E" w14:textId="5D3EC7AC" w:rsidR="00F3658E" w:rsidRPr="00F3658E" w:rsidRDefault="00F3658E" w:rsidP="00875991">
      <w:pPr>
        <w:pStyle w:val="a9"/>
        <w:numPr>
          <w:ilvl w:val="0"/>
          <w:numId w:val="4"/>
        </w:numPr>
        <w:spacing w:line="360" w:lineRule="auto"/>
        <w:rPr>
          <w:sz w:val="24"/>
        </w:rPr>
      </w:pPr>
      <w:r>
        <w:rPr>
          <w:rFonts w:hint="eastAsia"/>
          <w:sz w:val="24"/>
        </w:rPr>
        <w:t>推动</w:t>
      </w:r>
      <w:r w:rsidRPr="00F3658E">
        <w:rPr>
          <w:rFonts w:hint="eastAsia"/>
          <w:sz w:val="24"/>
        </w:rPr>
        <w:t>保司优化产品</w:t>
      </w:r>
      <w:r>
        <w:rPr>
          <w:rFonts w:hint="eastAsia"/>
          <w:sz w:val="24"/>
        </w:rPr>
        <w:t>设计，提高卖方市场质量</w:t>
      </w:r>
    </w:p>
    <w:p w14:paraId="7C88188D" w14:textId="6ECD38DE" w:rsidR="00F3658E" w:rsidRDefault="00F3658E" w:rsidP="00566E24">
      <w:pPr>
        <w:spacing w:line="360" w:lineRule="auto"/>
        <w:ind w:firstLineChars="200" w:firstLine="480"/>
        <w:rPr>
          <w:sz w:val="24"/>
        </w:rPr>
      </w:pPr>
      <w:r>
        <w:rPr>
          <w:rFonts w:hint="eastAsia"/>
          <w:sz w:val="24"/>
        </w:rPr>
        <w:t>研究</w:t>
      </w:r>
      <w:r w:rsidR="00566E24">
        <w:rPr>
          <w:rFonts w:hint="eastAsia"/>
          <w:sz w:val="24"/>
        </w:rPr>
        <w:t>结论启发保险公司优化产品结构，在设计保险时更关注</w:t>
      </w:r>
      <w:r>
        <w:rPr>
          <w:rFonts w:hint="eastAsia"/>
          <w:sz w:val="24"/>
        </w:rPr>
        <w:t>企业的组织资本</w:t>
      </w:r>
      <w:r w:rsidR="00022DE8">
        <w:rPr>
          <w:rFonts w:hint="eastAsia"/>
          <w:sz w:val="24"/>
        </w:rPr>
        <w:t>等内部</w:t>
      </w:r>
      <w:r>
        <w:rPr>
          <w:rFonts w:hint="eastAsia"/>
          <w:sz w:val="24"/>
        </w:rPr>
        <w:t>特征，充分发挥保险公司的外部监督效能和</w:t>
      </w:r>
      <w:r w:rsidR="0088211F">
        <w:rPr>
          <w:rFonts w:hint="eastAsia"/>
          <w:sz w:val="24"/>
        </w:rPr>
        <w:t>公司</w:t>
      </w:r>
      <w:r>
        <w:rPr>
          <w:rFonts w:hint="eastAsia"/>
          <w:sz w:val="24"/>
        </w:rPr>
        <w:t>投保带来的激励作用</w:t>
      </w:r>
      <w:r w:rsidR="00C77F0C">
        <w:rPr>
          <w:rFonts w:hint="eastAsia"/>
          <w:sz w:val="24"/>
        </w:rPr>
        <w:t>。</w:t>
      </w:r>
    </w:p>
    <w:p w14:paraId="5A2BD7CC" w14:textId="4D6ABC94" w:rsidR="00F3658E" w:rsidRPr="00F3658E" w:rsidRDefault="00F3658E" w:rsidP="00875991">
      <w:pPr>
        <w:pStyle w:val="a9"/>
        <w:numPr>
          <w:ilvl w:val="0"/>
          <w:numId w:val="4"/>
        </w:numPr>
        <w:spacing w:line="360" w:lineRule="auto"/>
        <w:rPr>
          <w:sz w:val="24"/>
        </w:rPr>
      </w:pPr>
      <w:r w:rsidRPr="00F3658E">
        <w:rPr>
          <w:rFonts w:hint="eastAsia"/>
          <w:sz w:val="24"/>
        </w:rPr>
        <w:t>引导监管部门完善</w:t>
      </w:r>
      <w:r w:rsidR="00C77F0C">
        <w:rPr>
          <w:rFonts w:hint="eastAsia"/>
          <w:sz w:val="24"/>
        </w:rPr>
        <w:t>董</w:t>
      </w:r>
      <w:proofErr w:type="gramStart"/>
      <w:r w:rsidR="00C77F0C">
        <w:rPr>
          <w:rFonts w:hint="eastAsia"/>
          <w:sz w:val="24"/>
        </w:rPr>
        <w:t>监高责任</w:t>
      </w:r>
      <w:proofErr w:type="gramEnd"/>
      <w:r w:rsidR="00C77F0C">
        <w:rPr>
          <w:rFonts w:hint="eastAsia"/>
          <w:sz w:val="24"/>
        </w:rPr>
        <w:t>险的引导</w:t>
      </w:r>
      <w:r w:rsidRPr="00F3658E">
        <w:rPr>
          <w:rFonts w:hint="eastAsia"/>
          <w:sz w:val="24"/>
        </w:rPr>
        <w:t>政策</w:t>
      </w:r>
      <w:r>
        <w:rPr>
          <w:rFonts w:hint="eastAsia"/>
          <w:sz w:val="24"/>
        </w:rPr>
        <w:t>，</w:t>
      </w:r>
      <w:r w:rsidR="0088211F">
        <w:rPr>
          <w:rFonts w:hint="eastAsia"/>
          <w:sz w:val="24"/>
        </w:rPr>
        <w:t>同时</w:t>
      </w:r>
      <w:r>
        <w:rPr>
          <w:rFonts w:hint="eastAsia"/>
          <w:sz w:val="24"/>
        </w:rPr>
        <w:t>重视组织资本</w:t>
      </w:r>
    </w:p>
    <w:p w14:paraId="6CFA687F" w14:textId="6FCADB44" w:rsidR="00F3658E" w:rsidRPr="00F3658E" w:rsidRDefault="00F3658E" w:rsidP="00C77F0C">
      <w:pPr>
        <w:spacing w:line="360" w:lineRule="auto"/>
        <w:ind w:firstLineChars="200" w:firstLine="480"/>
        <w:rPr>
          <w:sz w:val="24"/>
        </w:rPr>
      </w:pPr>
      <w:r>
        <w:rPr>
          <w:rFonts w:hint="eastAsia"/>
          <w:sz w:val="24"/>
        </w:rPr>
        <w:t>异质性分析等研究</w:t>
      </w:r>
      <w:r w:rsidR="00C77F0C">
        <w:rPr>
          <w:rFonts w:hint="eastAsia"/>
          <w:sz w:val="24"/>
        </w:rPr>
        <w:t>结论启</w:t>
      </w:r>
      <w:r>
        <w:rPr>
          <w:rFonts w:hint="eastAsia"/>
          <w:sz w:val="24"/>
        </w:rPr>
        <w:t>示监管机构可根据企业的组织资本</w:t>
      </w:r>
      <w:r w:rsidR="00022DE8">
        <w:rPr>
          <w:rFonts w:hint="eastAsia"/>
          <w:sz w:val="24"/>
        </w:rPr>
        <w:t>和</w:t>
      </w:r>
      <w:r>
        <w:rPr>
          <w:rFonts w:hint="eastAsia"/>
          <w:sz w:val="24"/>
        </w:rPr>
        <w:t>行业特点制定针对性的董</w:t>
      </w:r>
      <w:proofErr w:type="gramStart"/>
      <w:r>
        <w:rPr>
          <w:rFonts w:hint="eastAsia"/>
          <w:sz w:val="24"/>
        </w:rPr>
        <w:t>监高责任</w:t>
      </w:r>
      <w:proofErr w:type="gramEnd"/>
      <w:r>
        <w:rPr>
          <w:rFonts w:hint="eastAsia"/>
          <w:sz w:val="24"/>
        </w:rPr>
        <w:t>险规范；同时启示监管机构重视组织资本的复杂性，可考虑进一步量化组织资本、构建评价体系，保证这一关键生产要素的健康发展</w:t>
      </w:r>
      <w:r w:rsidR="00C77F0C">
        <w:rPr>
          <w:rFonts w:hint="eastAsia"/>
          <w:sz w:val="24"/>
        </w:rPr>
        <w:t>。</w:t>
      </w:r>
    </w:p>
    <w:p w14:paraId="70C80FB9" w14:textId="60C4F20B" w:rsidR="00D41641" w:rsidRPr="00C74EB6" w:rsidRDefault="00241119" w:rsidP="00C74EB6">
      <w:pPr>
        <w:pStyle w:val="2"/>
      </w:pPr>
      <w:bookmarkStart w:id="23" w:name="_Toc191420725"/>
      <w:bookmarkStart w:id="24" w:name="_Toc191574096"/>
      <w:bookmarkStart w:id="25" w:name="_Toc198286968"/>
      <w:r w:rsidRPr="00C74EB6">
        <w:rPr>
          <w:rFonts w:hint="eastAsia"/>
        </w:rPr>
        <w:t>可能的创新点</w:t>
      </w:r>
      <w:bookmarkEnd w:id="23"/>
      <w:bookmarkEnd w:id="24"/>
      <w:bookmarkEnd w:id="25"/>
    </w:p>
    <w:p w14:paraId="46100FC9" w14:textId="6211CD8E" w:rsidR="00D41641" w:rsidRPr="00C74EB6" w:rsidRDefault="00D41641" w:rsidP="00C74EB6">
      <w:pPr>
        <w:pStyle w:val="3"/>
      </w:pPr>
      <w:bookmarkStart w:id="26" w:name="_Toc191420726"/>
      <w:bookmarkStart w:id="27" w:name="_Toc191574097"/>
      <w:bookmarkStart w:id="28" w:name="_Toc198286969"/>
      <w:r w:rsidRPr="00C74EB6">
        <w:rPr>
          <w:rFonts w:hint="eastAsia"/>
        </w:rPr>
        <w:t>研究视角的创新</w:t>
      </w:r>
      <w:bookmarkEnd w:id="26"/>
      <w:bookmarkEnd w:id="27"/>
      <w:bookmarkEnd w:id="28"/>
    </w:p>
    <w:p w14:paraId="713A7B4B" w14:textId="133A5584" w:rsidR="00D41641" w:rsidRPr="00086241" w:rsidRDefault="00D41641" w:rsidP="00CF5062">
      <w:pPr>
        <w:spacing w:line="360" w:lineRule="auto"/>
        <w:ind w:firstLineChars="200" w:firstLine="480"/>
        <w:rPr>
          <w:sz w:val="24"/>
        </w:rPr>
      </w:pPr>
      <w:r w:rsidRPr="00086241">
        <w:rPr>
          <w:rFonts w:hint="eastAsia"/>
          <w:sz w:val="24"/>
        </w:rPr>
        <w:t>首次</w:t>
      </w:r>
      <w:r w:rsidR="00241119">
        <w:rPr>
          <w:rFonts w:hint="eastAsia"/>
          <w:sz w:val="24"/>
        </w:rPr>
        <w:t>引入组织资本这一体现</w:t>
      </w:r>
      <w:r w:rsidR="00022DE8">
        <w:rPr>
          <w:rFonts w:hint="eastAsia"/>
          <w:sz w:val="24"/>
        </w:rPr>
        <w:t>企业内在</w:t>
      </w:r>
      <w:r w:rsidR="00241119">
        <w:rPr>
          <w:rFonts w:hint="eastAsia"/>
          <w:sz w:val="24"/>
        </w:rPr>
        <w:t>竞争力的组织变量，探讨其对董</w:t>
      </w:r>
      <w:proofErr w:type="gramStart"/>
      <w:r w:rsidR="00241119">
        <w:rPr>
          <w:rFonts w:hint="eastAsia"/>
          <w:sz w:val="24"/>
        </w:rPr>
        <w:t>监高责任</w:t>
      </w:r>
      <w:proofErr w:type="gramEnd"/>
      <w:r w:rsidR="00241119">
        <w:rPr>
          <w:rFonts w:hint="eastAsia"/>
          <w:sz w:val="24"/>
        </w:rPr>
        <w:t>险</w:t>
      </w:r>
      <w:r w:rsidR="00D473F8">
        <w:rPr>
          <w:rFonts w:hint="eastAsia"/>
          <w:sz w:val="24"/>
        </w:rPr>
        <w:t>投保意向</w:t>
      </w:r>
      <w:r w:rsidR="00241119">
        <w:rPr>
          <w:rFonts w:hint="eastAsia"/>
          <w:sz w:val="24"/>
        </w:rPr>
        <w:t>的影响</w:t>
      </w:r>
      <w:r w:rsidR="00022DE8">
        <w:rPr>
          <w:rFonts w:hint="eastAsia"/>
          <w:sz w:val="24"/>
        </w:rPr>
        <w:t>，突破传统风险管理研究的局限。</w:t>
      </w:r>
      <w:r w:rsidR="00241119">
        <w:rPr>
          <w:rFonts w:hint="eastAsia"/>
          <w:sz w:val="24"/>
        </w:rPr>
        <w:t>首次引入董</w:t>
      </w:r>
      <w:proofErr w:type="gramStart"/>
      <w:r w:rsidR="00241119">
        <w:rPr>
          <w:rFonts w:hint="eastAsia"/>
          <w:sz w:val="24"/>
        </w:rPr>
        <w:t>监高责任</w:t>
      </w:r>
      <w:proofErr w:type="gramEnd"/>
      <w:r w:rsidR="00241119">
        <w:rPr>
          <w:rFonts w:hint="eastAsia"/>
          <w:sz w:val="24"/>
        </w:rPr>
        <w:t>险这一风险管理领域的变量，探讨组织资本对</w:t>
      </w:r>
      <w:proofErr w:type="gramStart"/>
      <w:r w:rsidR="00022DE8">
        <w:rPr>
          <w:rFonts w:hint="eastAsia"/>
          <w:sz w:val="24"/>
        </w:rPr>
        <w:t>公司</w:t>
      </w:r>
      <w:r w:rsidR="00241119">
        <w:rPr>
          <w:rFonts w:hint="eastAsia"/>
          <w:sz w:val="24"/>
        </w:rPr>
        <w:t>风控的</w:t>
      </w:r>
      <w:proofErr w:type="gramEnd"/>
      <w:r w:rsidR="00241119">
        <w:rPr>
          <w:rFonts w:hint="eastAsia"/>
          <w:sz w:val="24"/>
        </w:rPr>
        <w:t>潜在影响</w:t>
      </w:r>
      <w:r w:rsidR="00022DE8">
        <w:rPr>
          <w:rFonts w:hint="eastAsia"/>
          <w:sz w:val="24"/>
        </w:rPr>
        <w:t>，弥补组织资本在风险管理领域</w:t>
      </w:r>
      <w:r w:rsidR="0088211F">
        <w:rPr>
          <w:rFonts w:hint="eastAsia"/>
          <w:sz w:val="24"/>
        </w:rPr>
        <w:t>的</w:t>
      </w:r>
      <w:r w:rsidR="00022DE8">
        <w:rPr>
          <w:rFonts w:hint="eastAsia"/>
          <w:sz w:val="24"/>
        </w:rPr>
        <w:t>研究空白。</w:t>
      </w:r>
    </w:p>
    <w:p w14:paraId="6B98CDF3" w14:textId="77777777" w:rsidR="00D41641" w:rsidRPr="00C74EB6" w:rsidRDefault="00D41641" w:rsidP="00C74EB6">
      <w:pPr>
        <w:pStyle w:val="3"/>
      </w:pPr>
      <w:bookmarkStart w:id="29" w:name="_Toc191420727"/>
      <w:bookmarkStart w:id="30" w:name="_Toc191574098"/>
      <w:bookmarkStart w:id="31" w:name="_Toc198286970"/>
      <w:r w:rsidRPr="00C74EB6">
        <w:rPr>
          <w:rFonts w:hint="eastAsia"/>
        </w:rPr>
        <w:t>理论机制的创新</w:t>
      </w:r>
      <w:bookmarkEnd w:id="29"/>
      <w:bookmarkEnd w:id="30"/>
      <w:bookmarkEnd w:id="31"/>
    </w:p>
    <w:p w14:paraId="6021DE15" w14:textId="62A887EA" w:rsidR="00D41641" w:rsidRPr="00086241" w:rsidRDefault="00241119" w:rsidP="00CF5062">
      <w:pPr>
        <w:spacing w:line="360" w:lineRule="auto"/>
        <w:ind w:firstLineChars="200" w:firstLine="480"/>
        <w:rPr>
          <w:sz w:val="24"/>
        </w:rPr>
      </w:pPr>
      <w:r>
        <w:rPr>
          <w:rFonts w:hint="eastAsia"/>
          <w:sz w:val="24"/>
        </w:rPr>
        <w:t>从公司内外部治理两个角度揭示</w:t>
      </w:r>
      <w:r w:rsidR="00D41641" w:rsidRPr="00086241">
        <w:rPr>
          <w:rFonts w:hint="eastAsia"/>
          <w:sz w:val="24"/>
        </w:rPr>
        <w:t>组织资本与</w:t>
      </w:r>
      <w:r>
        <w:rPr>
          <w:rFonts w:hint="eastAsia"/>
          <w:sz w:val="24"/>
        </w:rPr>
        <w:t>董</w:t>
      </w:r>
      <w:proofErr w:type="gramStart"/>
      <w:r>
        <w:rPr>
          <w:rFonts w:hint="eastAsia"/>
          <w:sz w:val="24"/>
        </w:rPr>
        <w:t>监高</w:t>
      </w:r>
      <w:r w:rsidR="00D41641" w:rsidRPr="00086241">
        <w:rPr>
          <w:rFonts w:hint="eastAsia"/>
          <w:sz w:val="24"/>
        </w:rPr>
        <w:t>责任</w:t>
      </w:r>
      <w:proofErr w:type="gramEnd"/>
      <w:r w:rsidR="00D41641" w:rsidRPr="00086241">
        <w:rPr>
          <w:rFonts w:hint="eastAsia"/>
          <w:sz w:val="24"/>
        </w:rPr>
        <w:t>险</w:t>
      </w:r>
      <w:r w:rsidR="00D473F8">
        <w:rPr>
          <w:rFonts w:hint="eastAsia"/>
          <w:sz w:val="24"/>
        </w:rPr>
        <w:t>投保意向</w:t>
      </w:r>
      <w:r w:rsidR="00D41641" w:rsidRPr="00086241">
        <w:rPr>
          <w:rFonts w:hint="eastAsia"/>
          <w:sz w:val="24"/>
        </w:rPr>
        <w:t>的内在联系及机制。</w:t>
      </w:r>
      <w:r>
        <w:rPr>
          <w:rFonts w:hint="eastAsia"/>
          <w:sz w:val="24"/>
        </w:rPr>
        <w:t>内部治理角度，引入双重委托代理机制，区分第一类和第二类委托代理成本</w:t>
      </w:r>
      <w:r w:rsidR="00D03FCD">
        <w:rPr>
          <w:rFonts w:hint="eastAsia"/>
          <w:sz w:val="24"/>
        </w:rPr>
        <w:t>，研究发现组织资本可能加剧两类代理成本的冲突，从而增加公司</w:t>
      </w:r>
      <w:r w:rsidR="0088211F">
        <w:rPr>
          <w:rFonts w:hint="eastAsia"/>
          <w:sz w:val="24"/>
        </w:rPr>
        <w:t>对</w:t>
      </w:r>
      <w:r w:rsidR="00D03FCD">
        <w:rPr>
          <w:rFonts w:hint="eastAsia"/>
          <w:sz w:val="24"/>
        </w:rPr>
        <w:t>外部保险的依赖。外部治理角度，引入投资者关注度机制，研究发现组织资本可能增加投资者关注度，强化公司对外部保险的需求</w:t>
      </w:r>
      <w:r w:rsidR="00D41641" w:rsidRPr="00086241">
        <w:rPr>
          <w:rFonts w:hint="eastAsia"/>
          <w:sz w:val="24"/>
        </w:rPr>
        <w:t>。</w:t>
      </w:r>
    </w:p>
    <w:p w14:paraId="0E51C0BF" w14:textId="77777777" w:rsidR="00D41641" w:rsidRPr="00C74EB6" w:rsidRDefault="00D41641" w:rsidP="00C74EB6">
      <w:pPr>
        <w:pStyle w:val="3"/>
      </w:pPr>
      <w:bookmarkStart w:id="32" w:name="_Toc191420728"/>
      <w:bookmarkStart w:id="33" w:name="_Toc191574099"/>
      <w:bookmarkStart w:id="34" w:name="_Toc198286971"/>
      <w:r w:rsidRPr="00C74EB6">
        <w:rPr>
          <w:rFonts w:hint="eastAsia"/>
        </w:rPr>
        <w:lastRenderedPageBreak/>
        <w:t>行业差异的创新</w:t>
      </w:r>
      <w:bookmarkEnd w:id="32"/>
      <w:bookmarkEnd w:id="33"/>
      <w:bookmarkEnd w:id="34"/>
    </w:p>
    <w:p w14:paraId="715C0F30" w14:textId="79501C3F" w:rsidR="00D41641" w:rsidRPr="00086241" w:rsidRDefault="00D41641" w:rsidP="00CF5062">
      <w:pPr>
        <w:spacing w:line="360" w:lineRule="auto"/>
        <w:ind w:firstLineChars="200" w:firstLine="480"/>
        <w:rPr>
          <w:sz w:val="24"/>
        </w:rPr>
      </w:pPr>
      <w:r w:rsidRPr="00086241">
        <w:rPr>
          <w:rFonts w:hint="eastAsia"/>
          <w:sz w:val="24"/>
        </w:rPr>
        <w:t>传统</w:t>
      </w:r>
      <w:r w:rsidR="00022DE8">
        <w:rPr>
          <w:rFonts w:hint="eastAsia"/>
          <w:sz w:val="24"/>
        </w:rPr>
        <w:t>相关</w:t>
      </w:r>
      <w:r w:rsidRPr="00086241">
        <w:rPr>
          <w:rFonts w:hint="eastAsia"/>
          <w:sz w:val="24"/>
        </w:rPr>
        <w:t>研究</w:t>
      </w:r>
      <w:r w:rsidR="00B779A1">
        <w:rPr>
          <w:rFonts w:hint="eastAsia"/>
          <w:sz w:val="24"/>
        </w:rPr>
        <w:t>主要</w:t>
      </w:r>
      <w:r w:rsidR="00022DE8">
        <w:rPr>
          <w:rFonts w:hint="eastAsia"/>
          <w:sz w:val="24"/>
        </w:rPr>
        <w:t>聚焦企业层面特征，本研究从行业维度切入，揭示组织资本的行业依赖性</w:t>
      </w:r>
      <w:r w:rsidRPr="00086241">
        <w:rPr>
          <w:rFonts w:hint="eastAsia"/>
          <w:sz w:val="24"/>
        </w:rPr>
        <w:t>：在特定才能依赖较高</w:t>
      </w:r>
      <w:r w:rsidR="00022DE8">
        <w:rPr>
          <w:rFonts w:hint="eastAsia"/>
          <w:sz w:val="24"/>
        </w:rPr>
        <w:t>或增长不确定性高</w:t>
      </w:r>
      <w:r w:rsidRPr="00086241">
        <w:rPr>
          <w:rFonts w:hint="eastAsia"/>
          <w:sz w:val="24"/>
        </w:rPr>
        <w:t>的行业</w:t>
      </w:r>
      <w:r w:rsidR="00022DE8">
        <w:rPr>
          <w:rFonts w:hint="eastAsia"/>
          <w:sz w:val="24"/>
        </w:rPr>
        <w:t>中</w:t>
      </w:r>
      <w:r w:rsidRPr="00086241">
        <w:rPr>
          <w:rFonts w:hint="eastAsia"/>
          <w:sz w:val="24"/>
        </w:rPr>
        <w:t>，组织资本对</w:t>
      </w:r>
      <w:r w:rsidR="00530D34">
        <w:rPr>
          <w:rFonts w:hint="eastAsia"/>
          <w:sz w:val="24"/>
        </w:rPr>
        <w:t>董</w:t>
      </w:r>
      <w:proofErr w:type="gramStart"/>
      <w:r w:rsidR="00530D34">
        <w:rPr>
          <w:rFonts w:hint="eastAsia"/>
          <w:sz w:val="24"/>
        </w:rPr>
        <w:t>监高</w:t>
      </w:r>
      <w:r w:rsidRPr="00086241">
        <w:rPr>
          <w:rFonts w:hint="eastAsia"/>
          <w:sz w:val="24"/>
        </w:rPr>
        <w:t>责任险需求</w:t>
      </w:r>
      <w:proofErr w:type="gramEnd"/>
      <w:r w:rsidRPr="00086241">
        <w:rPr>
          <w:rFonts w:hint="eastAsia"/>
          <w:sz w:val="24"/>
        </w:rPr>
        <w:t>的</w:t>
      </w:r>
      <w:r w:rsidR="00022DE8">
        <w:rPr>
          <w:rFonts w:hint="eastAsia"/>
          <w:sz w:val="24"/>
        </w:rPr>
        <w:t>增强</w:t>
      </w:r>
      <w:r w:rsidRPr="00086241">
        <w:rPr>
          <w:rFonts w:hint="eastAsia"/>
          <w:sz w:val="24"/>
        </w:rPr>
        <w:t>效应更显著。这一行业视角的引入深化了对组织资本行业匹配性的理解，</w:t>
      </w:r>
      <w:r w:rsidR="00501AD9">
        <w:rPr>
          <w:rFonts w:hint="eastAsia"/>
          <w:sz w:val="24"/>
        </w:rPr>
        <w:t>为不同行业背景下制定差异化风险管理策略提供参考</w:t>
      </w:r>
      <w:r w:rsidRPr="00086241">
        <w:rPr>
          <w:rFonts w:hint="eastAsia"/>
          <w:sz w:val="24"/>
        </w:rPr>
        <w:t>。</w:t>
      </w:r>
    </w:p>
    <w:p w14:paraId="73BFA04B" w14:textId="77777777" w:rsidR="00D41641" w:rsidRPr="00086241" w:rsidRDefault="00D41641" w:rsidP="00AB02B1">
      <w:pPr>
        <w:pStyle w:val="1"/>
        <w:rPr>
          <w:rFonts w:ascii="Times New Roman" w:eastAsia="宋体" w:hAnsi="Times New Roman" w:cs="Times New Roman"/>
        </w:rPr>
        <w:sectPr w:rsidR="00D41641" w:rsidRPr="00086241" w:rsidSect="00F772E3">
          <w:headerReference w:type="even" r:id="rId15"/>
          <w:headerReference w:type="default" r:id="rId16"/>
          <w:headerReference w:type="first" r:id="rId17"/>
          <w:pgSz w:w="11906" w:h="16838"/>
          <w:pgMar w:top="1440" w:right="1800" w:bottom="1440" w:left="1800" w:header="851" w:footer="992" w:gutter="0"/>
          <w:pgNumType w:start="1"/>
          <w:cols w:space="425"/>
          <w:docGrid w:type="lines" w:linePitch="312"/>
        </w:sectPr>
      </w:pPr>
      <w:bookmarkStart w:id="35" w:name="_Toc152876763"/>
    </w:p>
    <w:p w14:paraId="7ED5D0BC" w14:textId="197540D4" w:rsidR="00F64963" w:rsidRPr="00C0628E" w:rsidRDefault="00D41641" w:rsidP="00C0628E">
      <w:pPr>
        <w:pStyle w:val="1"/>
        <w:rPr>
          <w:rFonts w:hint="eastAsia"/>
        </w:rPr>
      </w:pPr>
      <w:bookmarkStart w:id="36" w:name="_Toc191420729"/>
      <w:bookmarkStart w:id="37" w:name="_Toc191574100"/>
      <w:bookmarkStart w:id="38" w:name="_Toc198286972"/>
      <w:r w:rsidRPr="00C0628E">
        <w:lastRenderedPageBreak/>
        <w:t>文献综述</w:t>
      </w:r>
      <w:bookmarkEnd w:id="9"/>
      <w:bookmarkEnd w:id="35"/>
      <w:r w:rsidRPr="00C0628E">
        <w:rPr>
          <w:rFonts w:hint="eastAsia"/>
        </w:rPr>
        <w:t>与研究假设</w:t>
      </w:r>
      <w:bookmarkEnd w:id="36"/>
      <w:bookmarkEnd w:id="37"/>
      <w:bookmarkEnd w:id="38"/>
    </w:p>
    <w:p w14:paraId="35F08D8A" w14:textId="496A627E" w:rsidR="00F64963" w:rsidRPr="00C74EB6" w:rsidRDefault="00F64963" w:rsidP="00C74EB6">
      <w:pPr>
        <w:pStyle w:val="2"/>
      </w:pPr>
      <w:bookmarkStart w:id="39" w:name="_Toc191420730"/>
      <w:bookmarkStart w:id="40" w:name="_Toc191574101"/>
      <w:bookmarkStart w:id="41" w:name="_Toc198286973"/>
      <w:r w:rsidRPr="00C74EB6">
        <w:rPr>
          <w:rFonts w:hint="eastAsia"/>
        </w:rPr>
        <w:t>组织资本</w:t>
      </w:r>
      <w:bookmarkEnd w:id="39"/>
      <w:bookmarkEnd w:id="40"/>
      <w:bookmarkEnd w:id="41"/>
    </w:p>
    <w:p w14:paraId="6872CA69" w14:textId="61B475EF" w:rsidR="00F64963" w:rsidRPr="00C74EB6" w:rsidRDefault="00F64963" w:rsidP="00C74EB6">
      <w:pPr>
        <w:pStyle w:val="3"/>
      </w:pPr>
      <w:bookmarkStart w:id="42" w:name="_Toc191420731"/>
      <w:bookmarkStart w:id="43" w:name="_Toc191574102"/>
      <w:bookmarkStart w:id="44" w:name="_Toc198286974"/>
      <w:r w:rsidRPr="00C74EB6">
        <w:rPr>
          <w:rFonts w:hint="eastAsia"/>
        </w:rPr>
        <w:t>组织资本的</w:t>
      </w:r>
      <w:r w:rsidR="00AB02B1" w:rsidRPr="00C74EB6">
        <w:rPr>
          <w:rFonts w:hint="eastAsia"/>
        </w:rPr>
        <w:t>定义和理解</w:t>
      </w:r>
      <w:bookmarkEnd w:id="42"/>
      <w:bookmarkEnd w:id="43"/>
      <w:bookmarkEnd w:id="44"/>
    </w:p>
    <w:p w14:paraId="0086936D" w14:textId="4B20AB6D" w:rsidR="003713A5" w:rsidRDefault="003713A5" w:rsidP="00906F4D">
      <w:pPr>
        <w:spacing w:line="360" w:lineRule="auto"/>
        <w:ind w:firstLineChars="200" w:firstLine="480"/>
        <w:rPr>
          <w:sz w:val="24"/>
        </w:rPr>
      </w:pPr>
      <w:r>
        <w:rPr>
          <w:rFonts w:hint="eastAsia"/>
          <w:sz w:val="24"/>
        </w:rPr>
        <w:t>传统经济</w:t>
      </w:r>
      <w:r w:rsidR="00483602">
        <w:rPr>
          <w:rFonts w:hint="eastAsia"/>
          <w:sz w:val="24"/>
        </w:rPr>
        <w:t>增长理论将</w:t>
      </w:r>
      <w:r w:rsidR="001F135B">
        <w:rPr>
          <w:rFonts w:hint="eastAsia"/>
          <w:sz w:val="24"/>
        </w:rPr>
        <w:t>人力资本</w:t>
      </w:r>
      <w:r w:rsidR="00483602">
        <w:rPr>
          <w:rFonts w:hint="eastAsia"/>
          <w:sz w:val="24"/>
        </w:rPr>
        <w:t>、物质资本、技术资本等可量化变量，纳入生产函数模型并解释价值创造（</w:t>
      </w:r>
      <w:r w:rsidR="001F135B">
        <w:rPr>
          <w:rFonts w:hint="eastAsia"/>
          <w:sz w:val="24"/>
        </w:rPr>
        <w:t>Mankiw</w:t>
      </w:r>
      <w:r w:rsidR="001F135B">
        <w:rPr>
          <w:rFonts w:hint="eastAsia"/>
          <w:sz w:val="24"/>
        </w:rPr>
        <w:t>等，</w:t>
      </w:r>
      <w:r w:rsidR="001F135B">
        <w:rPr>
          <w:rFonts w:hint="eastAsia"/>
          <w:sz w:val="24"/>
        </w:rPr>
        <w:t>1992</w:t>
      </w:r>
      <w:r w:rsidR="00483602">
        <w:rPr>
          <w:rFonts w:hint="eastAsia"/>
          <w:sz w:val="24"/>
        </w:rPr>
        <w:t>）。</w:t>
      </w:r>
      <w:r>
        <w:rPr>
          <w:rFonts w:hint="eastAsia"/>
          <w:sz w:val="24"/>
        </w:rPr>
        <w:t>但需强调的是，孤立的生产要素无法实现生产的目的，唯有通过组织的</w:t>
      </w:r>
      <w:r w:rsidR="00177765">
        <w:rPr>
          <w:rFonts w:hint="eastAsia"/>
          <w:sz w:val="24"/>
        </w:rPr>
        <w:t>动态</w:t>
      </w:r>
      <w:r>
        <w:rPr>
          <w:rFonts w:hint="eastAsia"/>
          <w:sz w:val="24"/>
        </w:rPr>
        <w:t>整合，</w:t>
      </w:r>
      <w:r w:rsidR="00483602">
        <w:rPr>
          <w:rFonts w:hint="eastAsia"/>
          <w:sz w:val="24"/>
        </w:rPr>
        <w:t>才能</w:t>
      </w:r>
      <w:r w:rsidR="00177765">
        <w:rPr>
          <w:rFonts w:hint="eastAsia"/>
          <w:sz w:val="24"/>
        </w:rPr>
        <w:t>在不断变化的环境中体现竞争优势、实现价值创造，呈现</w:t>
      </w:r>
      <w:r>
        <w:rPr>
          <w:rFonts w:hint="eastAsia"/>
          <w:sz w:val="24"/>
        </w:rPr>
        <w:t>研发创新、生产制造和商业化的完整闭环</w:t>
      </w:r>
      <w:r w:rsidR="00177765">
        <w:rPr>
          <w:rFonts w:hint="eastAsia"/>
          <w:sz w:val="24"/>
        </w:rPr>
        <w:t>（</w:t>
      </w:r>
      <w:r w:rsidR="00026DC9">
        <w:rPr>
          <w:rFonts w:hint="eastAsia"/>
          <w:sz w:val="24"/>
        </w:rPr>
        <w:t>Teece</w:t>
      </w:r>
      <w:r w:rsidR="00177765">
        <w:rPr>
          <w:rFonts w:hint="eastAsia"/>
          <w:sz w:val="24"/>
        </w:rPr>
        <w:t>，</w:t>
      </w:r>
      <w:r w:rsidR="00177765">
        <w:rPr>
          <w:rFonts w:hint="eastAsia"/>
          <w:sz w:val="24"/>
        </w:rPr>
        <w:t>1997</w:t>
      </w:r>
      <w:r w:rsidR="00177765">
        <w:rPr>
          <w:rFonts w:hint="eastAsia"/>
          <w:sz w:val="24"/>
        </w:rPr>
        <w:t>），</w:t>
      </w:r>
      <w:r>
        <w:rPr>
          <w:rFonts w:hint="eastAsia"/>
          <w:sz w:val="24"/>
        </w:rPr>
        <w:t>同时寻求风险与收益平衡。</w:t>
      </w:r>
    </w:p>
    <w:p w14:paraId="754F7C65" w14:textId="2A7E7B2E" w:rsidR="003713A5" w:rsidRDefault="00177765" w:rsidP="00906F4D">
      <w:pPr>
        <w:spacing w:line="360" w:lineRule="auto"/>
        <w:ind w:firstLineChars="200" w:firstLine="480"/>
        <w:rPr>
          <w:sz w:val="24"/>
        </w:rPr>
      </w:pPr>
      <w:r>
        <w:rPr>
          <w:rFonts w:hint="eastAsia"/>
          <w:sz w:val="24"/>
        </w:rPr>
        <w:t>市场经济</w:t>
      </w:r>
      <w:r w:rsidR="003713A5">
        <w:rPr>
          <w:rFonts w:hint="eastAsia"/>
          <w:sz w:val="24"/>
        </w:rPr>
        <w:t>将价格机制作为市场资源配置的核心，但真实世界中，价格机制和组织能力难以区分第一性和第二性：一方面，价格体系的有效运转离不开组织维护秩序并实现效率；另一方面，组织的考核规则和规范指引也需要价格体系作为标准和反馈。正如</w:t>
      </w:r>
      <w:r w:rsidR="003713A5" w:rsidRPr="003713A5">
        <w:rPr>
          <w:rFonts w:hint="eastAsia"/>
          <w:sz w:val="24"/>
        </w:rPr>
        <w:t>Kenneth Arrow</w:t>
      </w:r>
      <w:r w:rsidR="003713A5" w:rsidRPr="003713A5">
        <w:rPr>
          <w:rFonts w:hint="eastAsia"/>
          <w:sz w:val="24"/>
        </w:rPr>
        <w:t>（</w:t>
      </w:r>
      <w:r w:rsidR="00D14A5D">
        <w:rPr>
          <w:rFonts w:hint="eastAsia"/>
          <w:sz w:val="24"/>
        </w:rPr>
        <w:t>1974</w:t>
      </w:r>
      <w:r w:rsidR="003713A5" w:rsidRPr="003713A5">
        <w:rPr>
          <w:rFonts w:hint="eastAsia"/>
          <w:sz w:val="24"/>
        </w:rPr>
        <w:t>）</w:t>
      </w:r>
      <w:r w:rsidR="003713A5">
        <w:rPr>
          <w:rFonts w:hint="eastAsia"/>
          <w:sz w:val="24"/>
        </w:rPr>
        <w:t>指出，</w:t>
      </w:r>
      <w:r w:rsidR="00A42A79">
        <w:rPr>
          <w:rFonts w:hint="eastAsia"/>
          <w:sz w:val="24"/>
        </w:rPr>
        <w:t>价格机制失灵时，组织资本能够帮助实现集体目标。组织凭借其素质和能力</w:t>
      </w:r>
      <w:r w:rsidR="00D14A5D">
        <w:rPr>
          <w:rFonts w:hint="eastAsia"/>
          <w:sz w:val="24"/>
        </w:rPr>
        <w:t>合理配置</w:t>
      </w:r>
      <w:r w:rsidR="00A42A79">
        <w:rPr>
          <w:rFonts w:hint="eastAsia"/>
          <w:sz w:val="24"/>
        </w:rPr>
        <w:t>生产要素，并将其转化为未来可持续的现金流，本质是组织资本的价值</w:t>
      </w:r>
      <w:r w:rsidR="00361B7D">
        <w:rPr>
          <w:rFonts w:hint="eastAsia"/>
          <w:sz w:val="24"/>
        </w:rPr>
        <w:t>创造</w:t>
      </w:r>
      <w:r w:rsidR="00D14A5D">
        <w:rPr>
          <w:rFonts w:hint="eastAsia"/>
          <w:sz w:val="24"/>
        </w:rPr>
        <w:t>过程</w:t>
      </w:r>
      <w:r w:rsidR="00A42A79">
        <w:rPr>
          <w:rFonts w:hint="eastAsia"/>
          <w:sz w:val="24"/>
        </w:rPr>
        <w:t>（金</w:t>
      </w:r>
      <w:proofErr w:type="gramStart"/>
      <w:r w:rsidR="00A42A79">
        <w:rPr>
          <w:rFonts w:hint="eastAsia"/>
          <w:sz w:val="24"/>
        </w:rPr>
        <w:t>碚</w:t>
      </w:r>
      <w:proofErr w:type="gramEnd"/>
      <w:r w:rsidR="00A42A79">
        <w:rPr>
          <w:rFonts w:hint="eastAsia"/>
          <w:sz w:val="24"/>
        </w:rPr>
        <w:t>，</w:t>
      </w:r>
      <w:r w:rsidR="00A42A79">
        <w:rPr>
          <w:rFonts w:hint="eastAsia"/>
          <w:sz w:val="24"/>
        </w:rPr>
        <w:t>2020</w:t>
      </w:r>
      <w:r w:rsidR="00A42A79">
        <w:rPr>
          <w:rFonts w:hint="eastAsia"/>
          <w:sz w:val="24"/>
        </w:rPr>
        <w:t>）。</w:t>
      </w:r>
    </w:p>
    <w:p w14:paraId="1B482B7E" w14:textId="0945AFE7" w:rsidR="00FA0E89" w:rsidRPr="00FA0E89" w:rsidRDefault="00FA0E89" w:rsidP="00FA0E89">
      <w:pPr>
        <w:spacing w:line="360" w:lineRule="auto"/>
        <w:ind w:firstLineChars="200" w:firstLine="480"/>
        <w:rPr>
          <w:sz w:val="24"/>
        </w:rPr>
      </w:pPr>
      <w:r w:rsidRPr="00086241">
        <w:rPr>
          <w:rFonts w:hint="eastAsia"/>
          <w:sz w:val="24"/>
        </w:rPr>
        <w:t>相比于实物资产，组织资本展现出独特特征，进而能形成公司持续稳定的竞争优势。根据</w:t>
      </w:r>
      <w:r w:rsidRPr="00086241">
        <w:rPr>
          <w:sz w:val="24"/>
        </w:rPr>
        <w:t xml:space="preserve">Prescott </w:t>
      </w:r>
      <w:r w:rsidRPr="00086241">
        <w:rPr>
          <w:rFonts w:hint="eastAsia"/>
          <w:sz w:val="24"/>
        </w:rPr>
        <w:t>和</w:t>
      </w:r>
      <w:r w:rsidRPr="00086241">
        <w:rPr>
          <w:rFonts w:hint="eastAsia"/>
          <w:sz w:val="24"/>
        </w:rPr>
        <w:t xml:space="preserve"> </w:t>
      </w:r>
      <w:r w:rsidRPr="00086241">
        <w:rPr>
          <w:sz w:val="24"/>
        </w:rPr>
        <w:t xml:space="preserve">Visscher </w:t>
      </w:r>
      <w:r w:rsidRPr="00086241">
        <w:rPr>
          <w:rFonts w:hint="eastAsia"/>
          <w:sz w:val="24"/>
        </w:rPr>
        <w:t>（</w:t>
      </w:r>
      <w:r w:rsidRPr="00086241">
        <w:rPr>
          <w:sz w:val="24"/>
        </w:rPr>
        <w:t>1980</w:t>
      </w:r>
      <w:r w:rsidRPr="00086241">
        <w:rPr>
          <w:rFonts w:hint="eastAsia"/>
          <w:sz w:val="24"/>
        </w:rPr>
        <w:t>）</w:t>
      </w:r>
      <w:r w:rsidR="00C0628E">
        <w:rPr>
          <w:rFonts w:hint="eastAsia"/>
          <w:sz w:val="24"/>
        </w:rPr>
        <w:t>与</w:t>
      </w:r>
      <w:r w:rsidR="00026DC9">
        <w:rPr>
          <w:sz w:val="24"/>
        </w:rPr>
        <w:t>Eisfeldt</w:t>
      </w:r>
      <w:r w:rsidRPr="00086241">
        <w:rPr>
          <w:sz w:val="24"/>
        </w:rPr>
        <w:t xml:space="preserve"> </w:t>
      </w:r>
      <w:r w:rsidRPr="00086241">
        <w:rPr>
          <w:sz w:val="24"/>
        </w:rPr>
        <w:t>和</w:t>
      </w:r>
      <w:r w:rsidRPr="00086241">
        <w:rPr>
          <w:sz w:val="24"/>
        </w:rPr>
        <w:t>Papanikolaou</w:t>
      </w:r>
      <w:r w:rsidRPr="00086241">
        <w:rPr>
          <w:rFonts w:hint="eastAsia"/>
          <w:sz w:val="24"/>
        </w:rPr>
        <w:t>（</w:t>
      </w:r>
      <w:r w:rsidRPr="00086241">
        <w:rPr>
          <w:sz w:val="24"/>
        </w:rPr>
        <w:t>2013</w:t>
      </w:r>
      <w:r w:rsidRPr="00086241">
        <w:rPr>
          <w:rFonts w:hint="eastAsia"/>
          <w:sz w:val="24"/>
        </w:rPr>
        <w:t>）的研究，组织资本具备以下显著特点：</w:t>
      </w:r>
      <w:r w:rsidRPr="00086241">
        <w:rPr>
          <w:rFonts w:hint="eastAsia"/>
          <w:sz w:val="24"/>
        </w:rPr>
        <w:t>1</w:t>
      </w:r>
      <w:r w:rsidRPr="00086241">
        <w:rPr>
          <w:rFonts w:hint="eastAsia"/>
          <w:sz w:val="24"/>
        </w:rPr>
        <w:t>）公司异质性：由于不同公司的关键人才、商业模式等存在差异，组织资本在公司层面上呈现出显著的异质性；组织资本效率也具备该特征，效率可被理解为公司和关键人才等匹配程度；</w:t>
      </w:r>
      <w:r w:rsidRPr="00086241">
        <w:rPr>
          <w:rFonts w:hint="eastAsia"/>
          <w:sz w:val="24"/>
        </w:rPr>
        <w:t>2</w:t>
      </w:r>
      <w:r w:rsidRPr="00086241">
        <w:rPr>
          <w:rFonts w:hint="eastAsia"/>
          <w:sz w:val="24"/>
        </w:rPr>
        <w:t>）难以转移性：基于第一条特性，其具有难以模仿的特点；</w:t>
      </w:r>
      <w:r w:rsidRPr="00086241">
        <w:rPr>
          <w:rFonts w:hint="eastAsia"/>
          <w:sz w:val="24"/>
        </w:rPr>
        <w:t>3</w:t>
      </w:r>
      <w:r w:rsidRPr="00086241">
        <w:rPr>
          <w:rFonts w:hint="eastAsia"/>
          <w:sz w:val="24"/>
        </w:rPr>
        <w:t>）持久耐用性：不同于实物资产，组织资本不会随时间推移而</w:t>
      </w:r>
      <w:r>
        <w:rPr>
          <w:rFonts w:hint="eastAsia"/>
          <w:sz w:val="24"/>
        </w:rPr>
        <w:t>快速</w:t>
      </w:r>
      <w:r w:rsidRPr="00086241">
        <w:rPr>
          <w:rFonts w:hint="eastAsia"/>
          <w:sz w:val="24"/>
        </w:rPr>
        <w:t>耗竭，甚至可能会进行更高质量的迭代，能够在公司运营过程中发挥稳定的作用。</w:t>
      </w:r>
    </w:p>
    <w:p w14:paraId="2F8793A7" w14:textId="4E36600A" w:rsidR="00FB56F1" w:rsidRPr="00086241" w:rsidRDefault="00361B7D" w:rsidP="009246F4">
      <w:pPr>
        <w:spacing w:line="360" w:lineRule="auto"/>
        <w:ind w:firstLineChars="200" w:firstLine="480"/>
        <w:rPr>
          <w:sz w:val="24"/>
        </w:rPr>
      </w:pPr>
      <w:r>
        <w:rPr>
          <w:rFonts w:hint="eastAsia"/>
          <w:sz w:val="24"/>
        </w:rPr>
        <w:t>组织资本的生成需要组织实体的参与，因此要以人力资本为起点，</w:t>
      </w:r>
      <w:r w:rsidR="00FB56F1" w:rsidRPr="00086241">
        <w:rPr>
          <w:rFonts w:hint="eastAsia"/>
          <w:sz w:val="24"/>
        </w:rPr>
        <w:t>学术界</w:t>
      </w:r>
      <w:r w:rsidR="00687855" w:rsidRPr="00086241">
        <w:rPr>
          <w:rFonts w:hint="eastAsia"/>
          <w:sz w:val="24"/>
        </w:rPr>
        <w:t>最初</w:t>
      </w:r>
      <w:r w:rsidR="00906F4D">
        <w:rPr>
          <w:rFonts w:hint="eastAsia"/>
          <w:sz w:val="24"/>
        </w:rPr>
        <w:t>也是</w:t>
      </w:r>
      <w:r w:rsidR="00FB56F1" w:rsidRPr="00086241">
        <w:rPr>
          <w:rFonts w:hint="eastAsia"/>
          <w:sz w:val="24"/>
        </w:rPr>
        <w:t>从人力资本</w:t>
      </w:r>
      <w:r w:rsidR="00687855" w:rsidRPr="00086241">
        <w:rPr>
          <w:rFonts w:hint="eastAsia"/>
          <w:sz w:val="24"/>
        </w:rPr>
        <w:t>的</w:t>
      </w:r>
      <w:r w:rsidR="00FB56F1" w:rsidRPr="00086241">
        <w:rPr>
          <w:rFonts w:hint="eastAsia"/>
          <w:sz w:val="24"/>
        </w:rPr>
        <w:t>角度</w:t>
      </w:r>
      <w:r w:rsidR="00687855" w:rsidRPr="00086241">
        <w:rPr>
          <w:rFonts w:hint="eastAsia"/>
          <w:sz w:val="24"/>
        </w:rPr>
        <w:t>来</w:t>
      </w:r>
      <w:r w:rsidR="00FB56F1" w:rsidRPr="00086241">
        <w:rPr>
          <w:rFonts w:hint="eastAsia"/>
          <w:sz w:val="24"/>
        </w:rPr>
        <w:t>理解组织资本</w:t>
      </w:r>
      <w:r w:rsidR="00FB0218" w:rsidRPr="00086241">
        <w:rPr>
          <w:rFonts w:hint="eastAsia"/>
          <w:sz w:val="24"/>
        </w:rPr>
        <w:t>。</w:t>
      </w:r>
      <w:r w:rsidR="00603CF2" w:rsidRPr="00086241">
        <w:rPr>
          <w:rFonts w:hint="eastAsia"/>
          <w:sz w:val="24"/>
        </w:rPr>
        <w:t>人力资本是</w:t>
      </w:r>
      <w:r w:rsidR="00FF3EAC" w:rsidRPr="00086241">
        <w:rPr>
          <w:rFonts w:hint="eastAsia"/>
          <w:sz w:val="24"/>
        </w:rPr>
        <w:t>指通过投资个体的体力、知识与技能等人力资源</w:t>
      </w:r>
      <w:r w:rsidR="00687855" w:rsidRPr="00086241">
        <w:rPr>
          <w:rFonts w:hint="eastAsia"/>
          <w:sz w:val="24"/>
        </w:rPr>
        <w:t>，</w:t>
      </w:r>
      <w:r w:rsidR="00FF3EAC" w:rsidRPr="00086241">
        <w:rPr>
          <w:rFonts w:hint="eastAsia"/>
          <w:sz w:val="24"/>
        </w:rPr>
        <w:t>产生增值效应的资本形式（张钢，</w:t>
      </w:r>
      <w:r w:rsidR="00FF3EAC" w:rsidRPr="00086241">
        <w:rPr>
          <w:rFonts w:hint="eastAsia"/>
          <w:sz w:val="24"/>
        </w:rPr>
        <w:t>2000</w:t>
      </w:r>
      <w:r w:rsidR="00FF3EAC" w:rsidRPr="00086241">
        <w:rPr>
          <w:rFonts w:hint="eastAsia"/>
          <w:sz w:val="24"/>
        </w:rPr>
        <w:t>）。</w:t>
      </w:r>
      <w:r w:rsidRPr="00086241">
        <w:rPr>
          <w:sz w:val="24"/>
        </w:rPr>
        <w:t xml:space="preserve">Prescott </w:t>
      </w:r>
      <w:r w:rsidRPr="00086241">
        <w:rPr>
          <w:rFonts w:hint="eastAsia"/>
          <w:sz w:val="24"/>
        </w:rPr>
        <w:t>和</w:t>
      </w:r>
      <w:r w:rsidRPr="00086241">
        <w:rPr>
          <w:rFonts w:hint="eastAsia"/>
          <w:sz w:val="24"/>
        </w:rPr>
        <w:t xml:space="preserve"> </w:t>
      </w:r>
      <w:r w:rsidRPr="00086241">
        <w:rPr>
          <w:sz w:val="24"/>
        </w:rPr>
        <w:t xml:space="preserve">Visscher </w:t>
      </w:r>
      <w:r w:rsidRPr="00086241">
        <w:rPr>
          <w:rFonts w:hint="eastAsia"/>
          <w:sz w:val="24"/>
        </w:rPr>
        <w:t>（</w:t>
      </w:r>
      <w:r w:rsidRPr="00086241">
        <w:rPr>
          <w:sz w:val="24"/>
        </w:rPr>
        <w:t>1980</w:t>
      </w:r>
      <w:r w:rsidRPr="00086241">
        <w:rPr>
          <w:rFonts w:hint="eastAsia"/>
          <w:sz w:val="24"/>
        </w:rPr>
        <w:t>）</w:t>
      </w:r>
      <w:r>
        <w:rPr>
          <w:rFonts w:hint="eastAsia"/>
          <w:sz w:val="24"/>
        </w:rPr>
        <w:t>首次突破个体主义分析框架，</w:t>
      </w:r>
      <w:r w:rsidR="004F15F8">
        <w:rPr>
          <w:rFonts w:hint="eastAsia"/>
          <w:sz w:val="24"/>
        </w:rPr>
        <w:t>结合人力资本和组织特性提出组织资本的内核</w:t>
      </w:r>
      <w:r>
        <w:rPr>
          <w:rFonts w:hint="eastAsia"/>
          <w:sz w:val="24"/>
        </w:rPr>
        <w:t>，</w:t>
      </w:r>
      <w:r w:rsidR="004F15F8">
        <w:rPr>
          <w:rFonts w:hint="eastAsia"/>
          <w:sz w:val="24"/>
        </w:rPr>
        <w:t>具体涵盖</w:t>
      </w:r>
      <w:r w:rsidR="00D931BF" w:rsidRPr="00086241">
        <w:rPr>
          <w:rFonts w:hint="eastAsia"/>
          <w:sz w:val="24"/>
        </w:rPr>
        <w:t>员工与岗位的匹配程度、与团队的互补程度以及</w:t>
      </w:r>
      <w:r w:rsidR="006E6F35" w:rsidRPr="00086241">
        <w:rPr>
          <w:rFonts w:hint="eastAsia"/>
          <w:sz w:val="24"/>
        </w:rPr>
        <w:t>企业</w:t>
      </w:r>
      <w:r w:rsidR="00D931BF" w:rsidRPr="00086241">
        <w:rPr>
          <w:rFonts w:hint="eastAsia"/>
          <w:sz w:val="24"/>
        </w:rPr>
        <w:t>提供的职业培训等人力资本</w:t>
      </w:r>
      <w:r w:rsidR="00687855" w:rsidRPr="00086241">
        <w:rPr>
          <w:rFonts w:hint="eastAsia"/>
          <w:sz w:val="24"/>
        </w:rPr>
        <w:t>要素</w:t>
      </w:r>
      <w:r w:rsidR="00D931BF" w:rsidRPr="00086241">
        <w:rPr>
          <w:rFonts w:hint="eastAsia"/>
          <w:sz w:val="24"/>
        </w:rPr>
        <w:t>。</w:t>
      </w:r>
      <w:r w:rsidR="004F15F8">
        <w:rPr>
          <w:rFonts w:hint="eastAsia"/>
          <w:sz w:val="24"/>
        </w:rPr>
        <w:t>后续研究在此基础上持续拓展：</w:t>
      </w:r>
      <w:r w:rsidR="00F64963" w:rsidRPr="00086241">
        <w:rPr>
          <w:rFonts w:hint="eastAsia"/>
          <w:sz w:val="24"/>
        </w:rPr>
        <w:t>翁君奕（</w:t>
      </w:r>
      <w:r w:rsidR="00F64963" w:rsidRPr="00086241">
        <w:rPr>
          <w:rFonts w:hint="eastAsia"/>
          <w:sz w:val="24"/>
        </w:rPr>
        <w:t>1999</w:t>
      </w:r>
      <w:r w:rsidR="00F64963" w:rsidRPr="00086241">
        <w:rPr>
          <w:rFonts w:hint="eastAsia"/>
          <w:sz w:val="24"/>
        </w:rPr>
        <w:t>）强调群体协作关系对组织资本贡献的力量，包括资源共享机制、</w:t>
      </w:r>
      <w:r w:rsidR="00F64963" w:rsidRPr="00086241">
        <w:rPr>
          <w:rFonts w:hint="eastAsia"/>
          <w:sz w:val="24"/>
        </w:rPr>
        <w:lastRenderedPageBreak/>
        <w:t>分享控制权力等。</w:t>
      </w:r>
      <w:r w:rsidR="00D931BF" w:rsidRPr="00086241">
        <w:rPr>
          <w:sz w:val="24"/>
        </w:rPr>
        <w:t xml:space="preserve">Black </w:t>
      </w:r>
      <w:r w:rsidR="00D931BF" w:rsidRPr="00086241">
        <w:rPr>
          <w:rFonts w:hint="eastAsia"/>
          <w:sz w:val="24"/>
        </w:rPr>
        <w:t>和</w:t>
      </w:r>
      <w:r w:rsidR="00D931BF" w:rsidRPr="00086241">
        <w:rPr>
          <w:sz w:val="24"/>
        </w:rPr>
        <w:t xml:space="preserve"> Lynch (2005)</w:t>
      </w:r>
      <w:r w:rsidR="00D931BF" w:rsidRPr="00086241">
        <w:rPr>
          <w:rFonts w:hint="eastAsia"/>
          <w:sz w:val="24"/>
        </w:rPr>
        <w:t xml:space="preserve"> </w:t>
      </w:r>
      <w:r w:rsidR="00D931BF" w:rsidRPr="00086241">
        <w:rPr>
          <w:rFonts w:hint="eastAsia"/>
          <w:sz w:val="24"/>
        </w:rPr>
        <w:t>认为组织资本源于员工培训、员工</w:t>
      </w:r>
      <w:r w:rsidR="006E6F35" w:rsidRPr="00086241">
        <w:rPr>
          <w:rFonts w:hint="eastAsia"/>
          <w:sz w:val="24"/>
        </w:rPr>
        <w:t>声音的表达</w:t>
      </w:r>
      <w:r w:rsidR="00D931BF" w:rsidRPr="00086241">
        <w:rPr>
          <w:rFonts w:hint="eastAsia"/>
          <w:sz w:val="24"/>
        </w:rPr>
        <w:t>和工作</w:t>
      </w:r>
      <w:r w:rsidR="000C4427" w:rsidRPr="00086241">
        <w:rPr>
          <w:rFonts w:hint="eastAsia"/>
          <w:sz w:val="24"/>
        </w:rPr>
        <w:t>流程安排</w:t>
      </w:r>
      <w:r w:rsidR="00D931BF" w:rsidRPr="00086241">
        <w:rPr>
          <w:rFonts w:hint="eastAsia"/>
          <w:sz w:val="24"/>
        </w:rPr>
        <w:t>。</w:t>
      </w:r>
      <w:proofErr w:type="gramStart"/>
      <w:r w:rsidR="00CB1CF4" w:rsidRPr="00086241">
        <w:rPr>
          <w:rFonts w:hint="eastAsia"/>
          <w:sz w:val="24"/>
        </w:rPr>
        <w:t>向显湖和</w:t>
      </w:r>
      <w:proofErr w:type="gramEnd"/>
      <w:r w:rsidR="00CB1CF4" w:rsidRPr="00086241">
        <w:rPr>
          <w:rFonts w:hint="eastAsia"/>
          <w:sz w:val="24"/>
        </w:rPr>
        <w:t>李永焱</w:t>
      </w:r>
      <w:r w:rsidR="00264F9B">
        <w:rPr>
          <w:rFonts w:hint="eastAsia"/>
          <w:sz w:val="24"/>
        </w:rPr>
        <w:t>（</w:t>
      </w:r>
      <w:r w:rsidR="00CB1CF4" w:rsidRPr="00086241">
        <w:rPr>
          <w:rFonts w:hint="eastAsia"/>
          <w:sz w:val="24"/>
        </w:rPr>
        <w:t>2009</w:t>
      </w:r>
      <w:r w:rsidR="00264F9B">
        <w:rPr>
          <w:rFonts w:hint="eastAsia"/>
          <w:sz w:val="24"/>
        </w:rPr>
        <w:t>）、</w:t>
      </w:r>
      <w:r w:rsidR="00D931BF" w:rsidRPr="00086241">
        <w:rPr>
          <w:sz w:val="24"/>
        </w:rPr>
        <w:t>E</w:t>
      </w:r>
      <w:r w:rsidR="003F7F8C" w:rsidRPr="00086241">
        <w:rPr>
          <w:rFonts w:hint="eastAsia"/>
          <w:sz w:val="24"/>
        </w:rPr>
        <w:t>i</w:t>
      </w:r>
      <w:r w:rsidR="00D931BF" w:rsidRPr="00086241">
        <w:rPr>
          <w:sz w:val="24"/>
        </w:rPr>
        <w:t xml:space="preserve">sfeldt </w:t>
      </w:r>
      <w:r w:rsidR="00D931BF" w:rsidRPr="00086241">
        <w:rPr>
          <w:sz w:val="24"/>
        </w:rPr>
        <w:t>和</w:t>
      </w:r>
      <w:r w:rsidR="00D931BF" w:rsidRPr="00086241">
        <w:rPr>
          <w:sz w:val="24"/>
        </w:rPr>
        <w:t>Papanikolaou</w:t>
      </w:r>
      <w:r w:rsidR="00D931BF" w:rsidRPr="00086241">
        <w:rPr>
          <w:rFonts w:hint="eastAsia"/>
          <w:sz w:val="24"/>
        </w:rPr>
        <w:t>（</w:t>
      </w:r>
      <w:r w:rsidR="00D931BF" w:rsidRPr="00086241">
        <w:rPr>
          <w:rFonts w:hint="eastAsia"/>
          <w:sz w:val="24"/>
        </w:rPr>
        <w:t>2013</w:t>
      </w:r>
      <w:r w:rsidR="00D931BF" w:rsidRPr="00086241">
        <w:rPr>
          <w:rFonts w:hint="eastAsia"/>
          <w:sz w:val="24"/>
        </w:rPr>
        <w:t>）</w:t>
      </w:r>
      <w:r w:rsidR="009246F4">
        <w:rPr>
          <w:rFonts w:hint="eastAsia"/>
          <w:sz w:val="24"/>
        </w:rPr>
        <w:t>和</w:t>
      </w:r>
      <w:r w:rsidR="009246F4">
        <w:rPr>
          <w:rFonts w:hint="eastAsia"/>
          <w:sz w:val="24"/>
        </w:rPr>
        <w:t>Leung</w:t>
      </w:r>
      <w:r w:rsidR="009246F4">
        <w:rPr>
          <w:rFonts w:hint="eastAsia"/>
          <w:sz w:val="24"/>
        </w:rPr>
        <w:t>等（</w:t>
      </w:r>
      <w:r w:rsidR="009246F4">
        <w:rPr>
          <w:rFonts w:hint="eastAsia"/>
          <w:sz w:val="24"/>
        </w:rPr>
        <w:t>2018</w:t>
      </w:r>
      <w:r w:rsidR="009246F4">
        <w:rPr>
          <w:rFonts w:hint="eastAsia"/>
          <w:sz w:val="24"/>
        </w:rPr>
        <w:t>）</w:t>
      </w:r>
      <w:r w:rsidR="00CB1CF4">
        <w:rPr>
          <w:rFonts w:hint="eastAsia"/>
          <w:sz w:val="24"/>
        </w:rPr>
        <w:t>均</w:t>
      </w:r>
      <w:r w:rsidR="00D931BF" w:rsidRPr="00086241">
        <w:rPr>
          <w:rFonts w:hint="eastAsia"/>
          <w:sz w:val="24"/>
        </w:rPr>
        <w:t>强调</w:t>
      </w:r>
      <w:r w:rsidR="004F15F8">
        <w:rPr>
          <w:rFonts w:hint="eastAsia"/>
          <w:sz w:val="24"/>
        </w:rPr>
        <w:t>关键人才</w:t>
      </w:r>
      <w:r w:rsidR="00687855" w:rsidRPr="00086241">
        <w:rPr>
          <w:rFonts w:hint="eastAsia"/>
          <w:sz w:val="24"/>
        </w:rPr>
        <w:t>的重要性</w:t>
      </w:r>
      <w:r w:rsidR="00D931BF" w:rsidRPr="00086241">
        <w:rPr>
          <w:rFonts w:hint="eastAsia"/>
          <w:sz w:val="24"/>
        </w:rPr>
        <w:t>。</w:t>
      </w:r>
    </w:p>
    <w:p w14:paraId="77291E0B" w14:textId="60819150" w:rsidR="00D931BF" w:rsidRPr="009246F4" w:rsidRDefault="00687855" w:rsidP="009246F4">
      <w:pPr>
        <w:spacing w:line="360" w:lineRule="auto"/>
        <w:ind w:firstLineChars="200" w:firstLine="480"/>
        <w:rPr>
          <w:sz w:val="24"/>
        </w:rPr>
      </w:pPr>
      <w:r w:rsidRPr="00086241">
        <w:rPr>
          <w:rFonts w:hint="eastAsia"/>
          <w:sz w:val="24"/>
        </w:rPr>
        <w:t>尽管组织资本起源于人力资本，但</w:t>
      </w:r>
      <w:r w:rsidR="004F15F8">
        <w:rPr>
          <w:rFonts w:hint="eastAsia"/>
          <w:sz w:val="24"/>
        </w:rPr>
        <w:t>两者</w:t>
      </w:r>
      <w:r w:rsidRPr="00086241">
        <w:rPr>
          <w:rFonts w:hint="eastAsia"/>
          <w:sz w:val="24"/>
        </w:rPr>
        <w:t>在本质上</w:t>
      </w:r>
      <w:r w:rsidR="0084014A" w:rsidRPr="00086241">
        <w:rPr>
          <w:rFonts w:hint="eastAsia"/>
          <w:sz w:val="24"/>
        </w:rPr>
        <w:t>存在差异</w:t>
      </w:r>
      <w:r w:rsidRPr="00086241">
        <w:rPr>
          <w:rFonts w:hint="eastAsia"/>
          <w:sz w:val="24"/>
        </w:rPr>
        <w:t>。这些差异主要体现在三个方面：</w:t>
      </w:r>
      <w:r w:rsidR="00FF3EAC" w:rsidRPr="00086241">
        <w:rPr>
          <w:rFonts w:hint="eastAsia"/>
          <w:sz w:val="24"/>
        </w:rPr>
        <w:t>1</w:t>
      </w:r>
      <w:r w:rsidR="00FF3EAC" w:rsidRPr="00086241">
        <w:rPr>
          <w:rFonts w:hint="eastAsia"/>
          <w:sz w:val="24"/>
        </w:rPr>
        <w:t>）</w:t>
      </w:r>
      <w:r w:rsidRPr="00086241">
        <w:rPr>
          <w:rFonts w:hint="eastAsia"/>
          <w:sz w:val="24"/>
        </w:rPr>
        <w:t>投资主体</w:t>
      </w:r>
      <w:r w:rsidR="00713DAC" w:rsidRPr="00086241">
        <w:rPr>
          <w:rFonts w:hint="eastAsia"/>
          <w:sz w:val="24"/>
        </w:rPr>
        <w:t>不同</w:t>
      </w:r>
      <w:r w:rsidR="00FF3EAC" w:rsidRPr="00086241">
        <w:rPr>
          <w:rFonts w:hint="eastAsia"/>
          <w:sz w:val="24"/>
        </w:rPr>
        <w:t>，组织资本的投资者为企业，而人力资本的投资</w:t>
      </w:r>
      <w:r w:rsidRPr="00086241">
        <w:rPr>
          <w:rFonts w:hint="eastAsia"/>
          <w:sz w:val="24"/>
        </w:rPr>
        <w:t>可能来源</w:t>
      </w:r>
      <w:r w:rsidR="00FF3EAC" w:rsidRPr="00086241">
        <w:rPr>
          <w:rFonts w:hint="eastAsia"/>
          <w:sz w:val="24"/>
        </w:rPr>
        <w:t>于个人、家庭、企业等</w:t>
      </w:r>
      <w:r w:rsidR="004F15F8">
        <w:rPr>
          <w:rFonts w:hint="eastAsia"/>
          <w:sz w:val="24"/>
        </w:rPr>
        <w:t>多元主体，这也强调了企业组织具有资源编排者的角色</w:t>
      </w:r>
      <w:r w:rsidR="00FF3EAC" w:rsidRPr="00086241">
        <w:rPr>
          <w:rFonts w:hint="eastAsia"/>
          <w:sz w:val="24"/>
        </w:rPr>
        <w:t>；</w:t>
      </w:r>
      <w:r w:rsidR="00FF3EAC" w:rsidRPr="00086241">
        <w:rPr>
          <w:rFonts w:hint="eastAsia"/>
          <w:sz w:val="24"/>
        </w:rPr>
        <w:t>2</w:t>
      </w:r>
      <w:r w:rsidR="00FF3EAC" w:rsidRPr="00086241">
        <w:rPr>
          <w:rFonts w:hint="eastAsia"/>
          <w:sz w:val="24"/>
        </w:rPr>
        <w:t>）</w:t>
      </w:r>
      <w:r w:rsidR="00FB56F1" w:rsidRPr="00086241">
        <w:rPr>
          <w:rFonts w:hint="eastAsia"/>
          <w:sz w:val="24"/>
        </w:rPr>
        <w:t>产权</w:t>
      </w:r>
      <w:r w:rsidRPr="00086241">
        <w:rPr>
          <w:rFonts w:hint="eastAsia"/>
          <w:sz w:val="24"/>
        </w:rPr>
        <w:t>归属</w:t>
      </w:r>
      <w:r w:rsidR="00713DAC" w:rsidRPr="00086241">
        <w:rPr>
          <w:rFonts w:hint="eastAsia"/>
          <w:sz w:val="24"/>
        </w:rPr>
        <w:t>有所区别</w:t>
      </w:r>
      <w:r w:rsidR="00FB56F1" w:rsidRPr="00086241">
        <w:rPr>
          <w:rFonts w:hint="eastAsia"/>
          <w:sz w:val="24"/>
        </w:rPr>
        <w:t>：组织资本</w:t>
      </w:r>
      <w:r w:rsidRPr="00086241">
        <w:rPr>
          <w:rFonts w:hint="eastAsia"/>
          <w:sz w:val="24"/>
        </w:rPr>
        <w:t>的</w:t>
      </w:r>
      <w:r w:rsidR="00FB56F1" w:rsidRPr="00086241">
        <w:rPr>
          <w:rFonts w:hint="eastAsia"/>
          <w:sz w:val="24"/>
        </w:rPr>
        <w:t>产权</w:t>
      </w:r>
      <w:r w:rsidRPr="00086241">
        <w:rPr>
          <w:rFonts w:hint="eastAsia"/>
          <w:sz w:val="24"/>
        </w:rPr>
        <w:t>归属于企业</w:t>
      </w:r>
      <w:r w:rsidR="00FB56F1" w:rsidRPr="00086241">
        <w:rPr>
          <w:rFonts w:hint="eastAsia"/>
          <w:sz w:val="24"/>
        </w:rPr>
        <w:t>，而人力资本</w:t>
      </w:r>
      <w:r w:rsidRPr="00086241">
        <w:rPr>
          <w:rFonts w:hint="eastAsia"/>
          <w:sz w:val="24"/>
        </w:rPr>
        <w:t>的</w:t>
      </w:r>
      <w:r w:rsidR="00FB56F1" w:rsidRPr="00086241">
        <w:rPr>
          <w:rFonts w:hint="eastAsia"/>
          <w:sz w:val="24"/>
        </w:rPr>
        <w:t>产权</w:t>
      </w:r>
      <w:r w:rsidRPr="00086241">
        <w:rPr>
          <w:rFonts w:hint="eastAsia"/>
          <w:sz w:val="24"/>
        </w:rPr>
        <w:t>归</w:t>
      </w:r>
      <w:r w:rsidR="00FB56F1" w:rsidRPr="00086241">
        <w:rPr>
          <w:rFonts w:hint="eastAsia"/>
          <w:sz w:val="24"/>
        </w:rPr>
        <w:t>属于个人；</w:t>
      </w:r>
      <w:r w:rsidR="00FB56F1" w:rsidRPr="00086241">
        <w:rPr>
          <w:rFonts w:hint="eastAsia"/>
          <w:sz w:val="24"/>
        </w:rPr>
        <w:t>3</w:t>
      </w:r>
      <w:r w:rsidR="00FB56F1" w:rsidRPr="00086241">
        <w:rPr>
          <w:rFonts w:hint="eastAsia"/>
          <w:sz w:val="24"/>
        </w:rPr>
        <w:t>）从效率</w:t>
      </w:r>
      <w:r w:rsidRPr="00086241">
        <w:rPr>
          <w:rFonts w:hint="eastAsia"/>
          <w:sz w:val="24"/>
        </w:rPr>
        <w:t>的</w:t>
      </w:r>
      <w:r w:rsidR="00FB56F1" w:rsidRPr="00086241">
        <w:rPr>
          <w:rFonts w:hint="eastAsia"/>
          <w:sz w:val="24"/>
        </w:rPr>
        <w:t>角度出发，产权性质的不同天然决定了人力资本需要激励</w:t>
      </w:r>
      <w:r w:rsidRPr="00086241">
        <w:rPr>
          <w:rFonts w:hint="eastAsia"/>
          <w:sz w:val="24"/>
        </w:rPr>
        <w:t>来</w:t>
      </w:r>
      <w:r w:rsidR="00713DAC" w:rsidRPr="00086241">
        <w:rPr>
          <w:rFonts w:hint="eastAsia"/>
          <w:sz w:val="24"/>
        </w:rPr>
        <w:t>实现</w:t>
      </w:r>
      <w:r w:rsidRPr="00086241">
        <w:rPr>
          <w:rFonts w:hint="eastAsia"/>
          <w:sz w:val="24"/>
        </w:rPr>
        <w:t>效率</w:t>
      </w:r>
      <w:r w:rsidR="00713DAC" w:rsidRPr="00086241">
        <w:rPr>
          <w:rFonts w:hint="eastAsia"/>
          <w:sz w:val="24"/>
        </w:rPr>
        <w:t>并发挥</w:t>
      </w:r>
      <w:r w:rsidRPr="00086241">
        <w:rPr>
          <w:rFonts w:hint="eastAsia"/>
          <w:sz w:val="24"/>
        </w:rPr>
        <w:t>潜力</w:t>
      </w:r>
      <w:r w:rsidR="00FB56F1" w:rsidRPr="00086241">
        <w:rPr>
          <w:rFonts w:hint="eastAsia"/>
          <w:sz w:val="24"/>
        </w:rPr>
        <w:t>，而组织资本需要</w:t>
      </w:r>
      <w:r w:rsidRPr="00086241">
        <w:rPr>
          <w:rFonts w:hint="eastAsia"/>
          <w:sz w:val="24"/>
        </w:rPr>
        <w:t>通过资源整合来提高效率</w:t>
      </w:r>
      <w:r w:rsidR="00FB56F1" w:rsidRPr="00086241">
        <w:rPr>
          <w:rFonts w:hint="eastAsia"/>
          <w:sz w:val="24"/>
        </w:rPr>
        <w:t>。</w:t>
      </w:r>
      <w:r w:rsidRPr="00086241">
        <w:rPr>
          <w:rFonts w:hint="eastAsia"/>
          <w:sz w:val="24"/>
        </w:rPr>
        <w:t>尽管</w:t>
      </w:r>
      <w:r w:rsidR="00B57BE9" w:rsidRPr="00086241">
        <w:rPr>
          <w:rFonts w:hint="eastAsia"/>
          <w:sz w:val="24"/>
        </w:rPr>
        <w:t>两者不同</w:t>
      </w:r>
      <w:r w:rsidR="00FB56F1" w:rsidRPr="00086241">
        <w:rPr>
          <w:rFonts w:hint="eastAsia"/>
          <w:sz w:val="24"/>
        </w:rPr>
        <w:t>，</w:t>
      </w:r>
      <w:r w:rsidR="00B57BE9" w:rsidRPr="00086241">
        <w:rPr>
          <w:rFonts w:hint="eastAsia"/>
          <w:sz w:val="24"/>
        </w:rPr>
        <w:t>但其</w:t>
      </w:r>
      <w:r w:rsidR="00FB56F1" w:rsidRPr="00086241">
        <w:rPr>
          <w:rFonts w:hint="eastAsia"/>
          <w:sz w:val="24"/>
        </w:rPr>
        <w:t>能够互相</w:t>
      </w:r>
      <w:r w:rsidRPr="00086241">
        <w:rPr>
          <w:rFonts w:hint="eastAsia"/>
          <w:sz w:val="24"/>
        </w:rPr>
        <w:t>影响，</w:t>
      </w:r>
      <w:r w:rsidR="00FB56F1" w:rsidRPr="00086241">
        <w:rPr>
          <w:rFonts w:hint="eastAsia"/>
          <w:sz w:val="24"/>
        </w:rPr>
        <w:t>形成正向反馈，高质量的人力资本有助于</w:t>
      </w:r>
      <w:r w:rsidRPr="00086241">
        <w:rPr>
          <w:rFonts w:hint="eastAsia"/>
          <w:sz w:val="24"/>
        </w:rPr>
        <w:t>构建更</w:t>
      </w:r>
      <w:r w:rsidR="00FB56F1" w:rsidRPr="00086241">
        <w:rPr>
          <w:rFonts w:hint="eastAsia"/>
          <w:sz w:val="24"/>
        </w:rPr>
        <w:t>高效的组织，而高效的组织</w:t>
      </w:r>
      <w:r w:rsidRPr="00086241">
        <w:rPr>
          <w:rFonts w:hint="eastAsia"/>
          <w:sz w:val="24"/>
        </w:rPr>
        <w:t>有助于</w:t>
      </w:r>
      <w:r w:rsidR="00FB56F1" w:rsidRPr="00086241">
        <w:rPr>
          <w:rFonts w:hint="eastAsia"/>
          <w:sz w:val="24"/>
        </w:rPr>
        <w:t>培养出更</w:t>
      </w:r>
      <w:r w:rsidRPr="00086241">
        <w:rPr>
          <w:rFonts w:hint="eastAsia"/>
          <w:sz w:val="24"/>
        </w:rPr>
        <w:t>出色的</w:t>
      </w:r>
      <w:r w:rsidR="00FB56F1" w:rsidRPr="00086241">
        <w:rPr>
          <w:rFonts w:hint="eastAsia"/>
          <w:sz w:val="24"/>
        </w:rPr>
        <w:t>人才。</w:t>
      </w:r>
    </w:p>
    <w:p w14:paraId="650C99CB" w14:textId="43E7ED3A" w:rsidR="00D931BF" w:rsidRPr="00086241" w:rsidRDefault="00713DAC" w:rsidP="00D94887">
      <w:pPr>
        <w:spacing w:line="360" w:lineRule="auto"/>
        <w:ind w:firstLineChars="200" w:firstLine="480"/>
        <w:rPr>
          <w:sz w:val="24"/>
        </w:rPr>
      </w:pPr>
      <w:r w:rsidRPr="00086241">
        <w:rPr>
          <w:rFonts w:hint="eastAsia"/>
          <w:sz w:val="24"/>
        </w:rPr>
        <w:t>组织资本的</w:t>
      </w:r>
      <w:r w:rsidR="00D8574F">
        <w:rPr>
          <w:rFonts w:hint="eastAsia"/>
          <w:sz w:val="24"/>
        </w:rPr>
        <w:t>形成</w:t>
      </w:r>
      <w:r w:rsidR="004B7DE3">
        <w:rPr>
          <w:rFonts w:hint="eastAsia"/>
          <w:sz w:val="24"/>
        </w:rPr>
        <w:t>离不开组织素质，</w:t>
      </w:r>
      <w:r w:rsidR="001B0B55">
        <w:rPr>
          <w:rFonts w:hint="eastAsia"/>
          <w:sz w:val="24"/>
        </w:rPr>
        <w:t>其主要涵盖</w:t>
      </w:r>
      <w:r w:rsidR="00D41FEF">
        <w:rPr>
          <w:rFonts w:hint="eastAsia"/>
          <w:sz w:val="24"/>
        </w:rPr>
        <w:t>企业文化</w:t>
      </w:r>
      <w:r w:rsidR="001B0B55">
        <w:rPr>
          <w:rFonts w:hint="eastAsia"/>
          <w:sz w:val="24"/>
        </w:rPr>
        <w:t>与</w:t>
      </w:r>
      <w:r w:rsidR="00D41FEF">
        <w:rPr>
          <w:rFonts w:hint="eastAsia"/>
          <w:sz w:val="24"/>
        </w:rPr>
        <w:t>价值观、组织规章制度</w:t>
      </w:r>
      <w:r w:rsidR="001B0B55">
        <w:rPr>
          <w:rFonts w:hint="eastAsia"/>
          <w:sz w:val="24"/>
        </w:rPr>
        <w:t>与</w:t>
      </w:r>
      <w:r w:rsidR="00D41FEF">
        <w:rPr>
          <w:rFonts w:hint="eastAsia"/>
          <w:sz w:val="24"/>
        </w:rPr>
        <w:t>流程</w:t>
      </w:r>
      <w:r w:rsidR="001B0B55">
        <w:rPr>
          <w:rFonts w:hint="eastAsia"/>
          <w:sz w:val="24"/>
        </w:rPr>
        <w:t>，以及</w:t>
      </w:r>
      <w:r w:rsidR="00D41FEF">
        <w:rPr>
          <w:rFonts w:hint="eastAsia"/>
          <w:sz w:val="24"/>
        </w:rPr>
        <w:t>成员</w:t>
      </w:r>
      <w:r w:rsidR="001B0B55">
        <w:rPr>
          <w:rFonts w:hint="eastAsia"/>
          <w:sz w:val="24"/>
        </w:rPr>
        <w:t>对这些要素的认可程度</w:t>
      </w:r>
      <w:r w:rsidR="00D41FEF">
        <w:rPr>
          <w:rFonts w:hint="eastAsia"/>
          <w:sz w:val="24"/>
        </w:rPr>
        <w:t>或受影响程度。</w:t>
      </w:r>
      <w:r w:rsidR="00D931BF" w:rsidRPr="00086241">
        <w:rPr>
          <w:rFonts w:hint="eastAsia"/>
          <w:sz w:val="24"/>
        </w:rPr>
        <w:t>Tomer</w:t>
      </w:r>
      <w:r w:rsidR="00D931BF" w:rsidRPr="00086241">
        <w:rPr>
          <w:rFonts w:hint="eastAsia"/>
          <w:sz w:val="24"/>
        </w:rPr>
        <w:t>（</w:t>
      </w:r>
      <w:r w:rsidR="00D931BF" w:rsidRPr="00086241">
        <w:rPr>
          <w:rFonts w:hint="eastAsia"/>
          <w:sz w:val="24"/>
        </w:rPr>
        <w:t>1998</w:t>
      </w:r>
      <w:r w:rsidR="00D931BF" w:rsidRPr="00086241">
        <w:rPr>
          <w:rFonts w:hint="eastAsia"/>
          <w:sz w:val="24"/>
        </w:rPr>
        <w:t>）</w:t>
      </w:r>
      <w:r w:rsidR="00425E8A" w:rsidRPr="00086241">
        <w:rPr>
          <w:rFonts w:hint="eastAsia"/>
          <w:sz w:val="24"/>
        </w:rPr>
        <w:t>提出组织资本是员工与企业价值和规范的适配性，以及其承诺和遵守企业价值和规范的程度。</w:t>
      </w:r>
      <w:r w:rsidR="00D41FEF">
        <w:rPr>
          <w:rFonts w:hint="eastAsia"/>
          <w:sz w:val="24"/>
        </w:rPr>
        <w:t>企业文化能够影响雇员的风格、行动和企业决策，例如，</w:t>
      </w:r>
      <w:r w:rsidR="001B0B55">
        <w:rPr>
          <w:rFonts w:hint="eastAsia"/>
          <w:sz w:val="24"/>
        </w:rPr>
        <w:t>华秀萍等（</w:t>
      </w:r>
      <w:r w:rsidR="001B0B55">
        <w:rPr>
          <w:rFonts w:hint="eastAsia"/>
          <w:sz w:val="24"/>
        </w:rPr>
        <w:t>2023</w:t>
      </w:r>
      <w:r w:rsidR="001B0B55">
        <w:rPr>
          <w:rFonts w:hint="eastAsia"/>
          <w:sz w:val="24"/>
        </w:rPr>
        <w:t>）的研究表明，</w:t>
      </w:r>
      <w:r w:rsidR="00D41FEF">
        <w:rPr>
          <w:rFonts w:hint="eastAsia"/>
          <w:sz w:val="24"/>
        </w:rPr>
        <w:t>企业文化越强，企业</w:t>
      </w:r>
      <w:r w:rsidR="001B0B55">
        <w:rPr>
          <w:rFonts w:hint="eastAsia"/>
          <w:sz w:val="24"/>
        </w:rPr>
        <w:t>获得</w:t>
      </w:r>
      <w:r w:rsidR="00D41FEF">
        <w:rPr>
          <w:rFonts w:hint="eastAsia"/>
          <w:sz w:val="24"/>
        </w:rPr>
        <w:t>商业信用</w:t>
      </w:r>
      <w:r w:rsidR="001B0B55">
        <w:rPr>
          <w:rFonts w:hint="eastAsia"/>
          <w:sz w:val="24"/>
        </w:rPr>
        <w:t>的可能性</w:t>
      </w:r>
      <w:r w:rsidR="00D41FEF">
        <w:rPr>
          <w:rFonts w:hint="eastAsia"/>
          <w:sz w:val="24"/>
        </w:rPr>
        <w:t>越高，</w:t>
      </w:r>
      <w:r w:rsidR="001B0B55">
        <w:rPr>
          <w:rFonts w:hint="eastAsia"/>
          <w:sz w:val="24"/>
        </w:rPr>
        <w:t>这一过程充分展现了组织效能，也从侧面说明企业文化可被归为组织资本的重要组成部分</w:t>
      </w:r>
      <w:r w:rsidR="00D41FEF">
        <w:rPr>
          <w:rFonts w:hint="eastAsia"/>
          <w:sz w:val="24"/>
        </w:rPr>
        <w:t>。另外，当前企业数字化转型的浪潮使得</w:t>
      </w:r>
      <w:r w:rsidR="001B0B55">
        <w:rPr>
          <w:rFonts w:hint="eastAsia"/>
          <w:sz w:val="24"/>
        </w:rPr>
        <w:t>更多</w:t>
      </w:r>
      <w:r w:rsidR="00D41FEF">
        <w:rPr>
          <w:rFonts w:hint="eastAsia"/>
          <w:sz w:val="24"/>
        </w:rPr>
        <w:t>企业</w:t>
      </w:r>
      <w:r w:rsidR="001B0B55">
        <w:rPr>
          <w:rFonts w:hint="eastAsia"/>
          <w:sz w:val="24"/>
        </w:rPr>
        <w:t>开始</w:t>
      </w:r>
      <w:r w:rsidR="00D41FEF">
        <w:rPr>
          <w:rFonts w:hint="eastAsia"/>
          <w:sz w:val="24"/>
        </w:rPr>
        <w:t>重塑规章制度和流程，</w:t>
      </w:r>
      <w:r w:rsidR="001B0B55">
        <w:rPr>
          <w:rFonts w:hint="eastAsia"/>
          <w:sz w:val="24"/>
        </w:rPr>
        <w:t>更是推动了无形资本的积累（</w:t>
      </w:r>
      <w:r w:rsidR="001B0B55" w:rsidRPr="00EF3152">
        <w:rPr>
          <w:sz w:val="24"/>
        </w:rPr>
        <w:t>戚聿东</w:t>
      </w:r>
      <w:r w:rsidR="001B0B55">
        <w:rPr>
          <w:rFonts w:hint="eastAsia"/>
          <w:sz w:val="24"/>
        </w:rPr>
        <w:t>和</w:t>
      </w:r>
      <w:r w:rsidR="001B0B55" w:rsidRPr="00EF3152">
        <w:rPr>
          <w:sz w:val="24"/>
        </w:rPr>
        <w:t>肖旭</w:t>
      </w:r>
      <w:r w:rsidR="001B0B55">
        <w:rPr>
          <w:rFonts w:hint="eastAsia"/>
          <w:sz w:val="24"/>
        </w:rPr>
        <w:t>，</w:t>
      </w:r>
      <w:r w:rsidR="001B0B55">
        <w:rPr>
          <w:rFonts w:hint="eastAsia"/>
          <w:sz w:val="24"/>
        </w:rPr>
        <w:t>2020</w:t>
      </w:r>
      <w:r w:rsidR="001B0B55">
        <w:rPr>
          <w:rFonts w:hint="eastAsia"/>
          <w:sz w:val="24"/>
        </w:rPr>
        <w:t>），让这部分组织资本更加显性化和差异化</w:t>
      </w:r>
      <w:r w:rsidR="00EF3152">
        <w:rPr>
          <w:rFonts w:hint="eastAsia"/>
          <w:sz w:val="24"/>
        </w:rPr>
        <w:t>。</w:t>
      </w:r>
    </w:p>
    <w:p w14:paraId="6D90C1C9" w14:textId="073E448C" w:rsidR="00425E8A" w:rsidRPr="00086241" w:rsidRDefault="00BA2555" w:rsidP="00D94887">
      <w:pPr>
        <w:spacing w:line="360" w:lineRule="auto"/>
        <w:ind w:firstLineChars="200" w:firstLine="480"/>
        <w:rPr>
          <w:sz w:val="24"/>
        </w:rPr>
      </w:pPr>
      <w:r>
        <w:rPr>
          <w:rFonts w:hint="eastAsia"/>
          <w:sz w:val="24"/>
        </w:rPr>
        <w:t>随着知识经济时代的深化，学界</w:t>
      </w:r>
      <w:r w:rsidR="00D8574F">
        <w:rPr>
          <w:rFonts w:hint="eastAsia"/>
          <w:sz w:val="24"/>
        </w:rPr>
        <w:t>也</w:t>
      </w:r>
      <w:r w:rsidR="003C2AEE">
        <w:rPr>
          <w:rFonts w:hint="eastAsia"/>
          <w:sz w:val="24"/>
        </w:rPr>
        <w:t>开始将企业</w:t>
      </w:r>
      <w:r w:rsidR="004B7DE3">
        <w:rPr>
          <w:rFonts w:hint="eastAsia"/>
          <w:sz w:val="24"/>
        </w:rPr>
        <w:t>专属</w:t>
      </w:r>
      <w:r w:rsidR="00FB0218" w:rsidRPr="00086241">
        <w:rPr>
          <w:rFonts w:hint="eastAsia"/>
          <w:sz w:val="24"/>
        </w:rPr>
        <w:t>的知识体系</w:t>
      </w:r>
      <w:r w:rsidR="00D8574F">
        <w:rPr>
          <w:rFonts w:hint="eastAsia"/>
          <w:sz w:val="24"/>
        </w:rPr>
        <w:t>纳入</w:t>
      </w:r>
      <w:r w:rsidR="00713DAC" w:rsidRPr="00086241">
        <w:rPr>
          <w:rFonts w:hint="eastAsia"/>
          <w:sz w:val="24"/>
        </w:rPr>
        <w:t>组织资本</w:t>
      </w:r>
      <w:r w:rsidR="008D43EB">
        <w:rPr>
          <w:rFonts w:hint="eastAsia"/>
          <w:sz w:val="24"/>
        </w:rPr>
        <w:t>的</w:t>
      </w:r>
      <w:r>
        <w:rPr>
          <w:rFonts w:hint="eastAsia"/>
          <w:sz w:val="24"/>
        </w:rPr>
        <w:t>理论框架</w:t>
      </w:r>
      <w:r w:rsidR="004B7DE3">
        <w:rPr>
          <w:rFonts w:hint="eastAsia"/>
          <w:sz w:val="24"/>
        </w:rPr>
        <w:t>中。</w:t>
      </w:r>
      <w:r w:rsidR="00B743CA" w:rsidRPr="00086241">
        <w:rPr>
          <w:rFonts w:hint="eastAsia"/>
          <w:sz w:val="24"/>
        </w:rPr>
        <w:t xml:space="preserve">Atkeson </w:t>
      </w:r>
      <w:r w:rsidR="00B743CA" w:rsidRPr="00086241">
        <w:rPr>
          <w:rFonts w:hint="eastAsia"/>
          <w:sz w:val="24"/>
        </w:rPr>
        <w:t>和</w:t>
      </w:r>
      <w:r w:rsidR="00B743CA" w:rsidRPr="00086241">
        <w:rPr>
          <w:rFonts w:hint="eastAsia"/>
          <w:sz w:val="24"/>
        </w:rPr>
        <w:t xml:space="preserve"> Kehoe</w:t>
      </w:r>
      <w:r w:rsidR="00B743CA" w:rsidRPr="00086241">
        <w:rPr>
          <w:rFonts w:hint="eastAsia"/>
          <w:sz w:val="24"/>
        </w:rPr>
        <w:t>（</w:t>
      </w:r>
      <w:r w:rsidR="00B743CA" w:rsidRPr="00086241">
        <w:rPr>
          <w:rFonts w:hint="eastAsia"/>
          <w:sz w:val="24"/>
        </w:rPr>
        <w:t>2005</w:t>
      </w:r>
      <w:r w:rsidR="00B743CA" w:rsidRPr="00086241">
        <w:rPr>
          <w:rFonts w:hint="eastAsia"/>
          <w:sz w:val="24"/>
        </w:rPr>
        <w:t>）将组织资本定义为组织运行所需要的特定知识的集合。</w:t>
      </w:r>
      <w:r w:rsidR="00B743CA">
        <w:rPr>
          <w:rFonts w:hint="eastAsia"/>
          <w:sz w:val="24"/>
        </w:rPr>
        <w:t>刘海建和陈传明（</w:t>
      </w:r>
      <w:r w:rsidR="00B743CA">
        <w:rPr>
          <w:rFonts w:hint="eastAsia"/>
          <w:sz w:val="24"/>
        </w:rPr>
        <w:t>2007</w:t>
      </w:r>
      <w:r w:rsidR="00B743CA">
        <w:rPr>
          <w:rFonts w:hint="eastAsia"/>
          <w:sz w:val="24"/>
        </w:rPr>
        <w:t>）提出知识管理资本</w:t>
      </w:r>
      <w:r w:rsidR="008075D6">
        <w:rPr>
          <w:rFonts w:hint="eastAsia"/>
          <w:sz w:val="24"/>
        </w:rPr>
        <w:t>这一</w:t>
      </w:r>
      <w:r w:rsidR="00B743CA">
        <w:rPr>
          <w:rFonts w:hint="eastAsia"/>
          <w:sz w:val="24"/>
        </w:rPr>
        <w:t>细分概念，强调</w:t>
      </w:r>
      <w:r w:rsidR="008075D6">
        <w:rPr>
          <w:rFonts w:hint="eastAsia"/>
          <w:sz w:val="24"/>
        </w:rPr>
        <w:t>其能</w:t>
      </w:r>
      <w:r w:rsidR="00B743CA">
        <w:rPr>
          <w:rFonts w:hint="eastAsia"/>
          <w:sz w:val="24"/>
        </w:rPr>
        <w:t>够实现知识生产、共享与交流的机制。企业特有的知识体系，本质上是为满足组织实现目标而构建的结构性知识网络。这种知识体系既包括显性化的组织成果（专利、数据</w:t>
      </w:r>
      <w:r w:rsidR="008075D6">
        <w:rPr>
          <w:rFonts w:hint="eastAsia"/>
          <w:sz w:val="24"/>
        </w:rPr>
        <w:t>、业务流程和实践</w:t>
      </w:r>
      <w:r w:rsidR="00B743CA">
        <w:rPr>
          <w:rFonts w:hint="eastAsia"/>
          <w:sz w:val="24"/>
        </w:rPr>
        <w:t>等），更涵盖隐形的组织能力（如协作沟通、决策模式）。例如，</w:t>
      </w:r>
      <w:proofErr w:type="gramStart"/>
      <w:r w:rsidR="00B743CA">
        <w:rPr>
          <w:rFonts w:hint="eastAsia"/>
          <w:sz w:val="24"/>
        </w:rPr>
        <w:t>创新药企的</w:t>
      </w:r>
      <w:proofErr w:type="gramEnd"/>
      <w:r w:rsidR="00B743CA">
        <w:rPr>
          <w:rFonts w:hint="eastAsia"/>
          <w:sz w:val="24"/>
        </w:rPr>
        <w:t>技术研发平台，能通过多学科的知识管理协同、数据库搭建、内部交流会等将单纯的知识、技能</w:t>
      </w:r>
      <w:r>
        <w:rPr>
          <w:rFonts w:hint="eastAsia"/>
          <w:sz w:val="24"/>
        </w:rPr>
        <w:t>整合并进一步强化创新能力，以适应变化的市场需求。</w:t>
      </w:r>
      <w:r w:rsidR="00161F2A" w:rsidRPr="00086241">
        <w:rPr>
          <w:rFonts w:hint="eastAsia"/>
          <w:sz w:val="24"/>
        </w:rPr>
        <w:t>与人力资本中的知识、技能不同，</w:t>
      </w:r>
      <w:r w:rsidR="00713DAC" w:rsidRPr="00086241">
        <w:rPr>
          <w:rFonts w:hint="eastAsia"/>
          <w:sz w:val="24"/>
        </w:rPr>
        <w:t>组织资本</w:t>
      </w:r>
      <w:r w:rsidR="004B7DE3">
        <w:rPr>
          <w:rFonts w:hint="eastAsia"/>
          <w:sz w:val="24"/>
        </w:rPr>
        <w:lastRenderedPageBreak/>
        <w:t>的知识体系是通过组织“干中学”而形成的，</w:t>
      </w:r>
      <w:r w:rsidR="00713DAC" w:rsidRPr="00086241">
        <w:rPr>
          <w:rFonts w:hint="eastAsia"/>
          <w:sz w:val="24"/>
        </w:rPr>
        <w:t>能够实际契合业务需求、</w:t>
      </w:r>
      <w:r w:rsidR="0084014A" w:rsidRPr="00086241">
        <w:rPr>
          <w:rFonts w:hint="eastAsia"/>
          <w:sz w:val="24"/>
        </w:rPr>
        <w:t>创造</w:t>
      </w:r>
      <w:r w:rsidR="00713DAC" w:rsidRPr="00086241">
        <w:rPr>
          <w:rFonts w:hint="eastAsia"/>
          <w:sz w:val="24"/>
        </w:rPr>
        <w:t>业绩或达成目标，它超越了</w:t>
      </w:r>
      <w:r w:rsidR="004B7DE3">
        <w:rPr>
          <w:rFonts w:hint="eastAsia"/>
          <w:sz w:val="24"/>
        </w:rPr>
        <w:t>个体知识和技能储备</w:t>
      </w:r>
      <w:r w:rsidR="00713DAC" w:rsidRPr="00086241">
        <w:rPr>
          <w:rFonts w:hint="eastAsia"/>
          <w:sz w:val="24"/>
        </w:rPr>
        <w:t>，</w:t>
      </w:r>
      <w:r w:rsidR="00161F2A" w:rsidRPr="00086241">
        <w:rPr>
          <w:rFonts w:hint="eastAsia"/>
          <w:sz w:val="24"/>
        </w:rPr>
        <w:t>可以被视为“公司的集体智慧”。</w:t>
      </w:r>
    </w:p>
    <w:p w14:paraId="16CC11D6" w14:textId="28844D16" w:rsidR="00F64963" w:rsidRPr="00086241" w:rsidRDefault="004B7DE3" w:rsidP="00D94887">
      <w:pPr>
        <w:spacing w:line="360" w:lineRule="auto"/>
        <w:ind w:firstLineChars="200" w:firstLine="480"/>
        <w:jc w:val="left"/>
        <w:rPr>
          <w:sz w:val="24"/>
        </w:rPr>
      </w:pPr>
      <w:r>
        <w:rPr>
          <w:rFonts w:hint="eastAsia"/>
          <w:sz w:val="24"/>
        </w:rPr>
        <w:t>组织资本也被</w:t>
      </w:r>
      <w:r w:rsidR="00E07D34">
        <w:rPr>
          <w:rFonts w:hint="eastAsia"/>
          <w:sz w:val="24"/>
        </w:rPr>
        <w:t>现有研究</w:t>
      </w:r>
      <w:r>
        <w:rPr>
          <w:rFonts w:hint="eastAsia"/>
          <w:sz w:val="24"/>
        </w:rPr>
        <w:t>拓展至</w:t>
      </w:r>
      <w:r w:rsidR="006E6F35" w:rsidRPr="00086241">
        <w:rPr>
          <w:rFonts w:hint="eastAsia"/>
          <w:sz w:val="24"/>
        </w:rPr>
        <w:t>企业高效整合资源并转化为核心竞争力和最终价值的能力</w:t>
      </w:r>
      <w:r w:rsidR="00161F2A" w:rsidRPr="00086241">
        <w:rPr>
          <w:rFonts w:hint="eastAsia"/>
          <w:sz w:val="24"/>
        </w:rPr>
        <w:t>。</w:t>
      </w:r>
      <w:r w:rsidR="009C7A78" w:rsidRPr="00086241">
        <w:rPr>
          <w:rFonts w:hint="eastAsia"/>
          <w:sz w:val="24"/>
        </w:rPr>
        <w:t>Lev</w:t>
      </w:r>
      <w:r w:rsidR="009C7A78" w:rsidRPr="00086241">
        <w:rPr>
          <w:rFonts w:hint="eastAsia"/>
          <w:sz w:val="24"/>
        </w:rPr>
        <w:t>和</w:t>
      </w:r>
      <w:r w:rsidR="009C7A78" w:rsidRPr="00086241">
        <w:rPr>
          <w:sz w:val="24"/>
        </w:rPr>
        <w:t>Radhakrishnan</w:t>
      </w:r>
      <w:r w:rsidR="009C7A78" w:rsidRPr="00086241">
        <w:rPr>
          <w:sz w:val="24"/>
        </w:rPr>
        <w:t>（</w:t>
      </w:r>
      <w:r w:rsidR="009C7A78" w:rsidRPr="00086241">
        <w:rPr>
          <w:sz w:val="24"/>
        </w:rPr>
        <w:t>2005</w:t>
      </w:r>
      <w:r w:rsidR="009C7A78" w:rsidRPr="00086241">
        <w:rPr>
          <w:sz w:val="24"/>
        </w:rPr>
        <w:t>）</w:t>
      </w:r>
      <w:r w:rsidR="009C7A78" w:rsidRPr="00086241">
        <w:rPr>
          <w:rFonts w:hint="eastAsia"/>
          <w:sz w:val="24"/>
        </w:rPr>
        <w:t>将组织资本视为技术和管理实践的集合</w:t>
      </w:r>
      <w:r w:rsidR="009C7A78">
        <w:rPr>
          <w:rFonts w:hint="eastAsia"/>
          <w:sz w:val="24"/>
        </w:rPr>
        <w:t>。金</w:t>
      </w:r>
      <w:proofErr w:type="gramStart"/>
      <w:r w:rsidR="009C7A78">
        <w:rPr>
          <w:rFonts w:hint="eastAsia"/>
          <w:sz w:val="24"/>
        </w:rPr>
        <w:t>碚</w:t>
      </w:r>
      <w:proofErr w:type="gramEnd"/>
      <w:r w:rsidR="009C7A78">
        <w:rPr>
          <w:rFonts w:hint="eastAsia"/>
          <w:sz w:val="24"/>
        </w:rPr>
        <w:t>（</w:t>
      </w:r>
      <w:r w:rsidR="009C7A78">
        <w:rPr>
          <w:rFonts w:hint="eastAsia"/>
          <w:sz w:val="24"/>
        </w:rPr>
        <w:t>2020</w:t>
      </w:r>
      <w:r w:rsidR="009C7A78">
        <w:rPr>
          <w:rFonts w:hint="eastAsia"/>
          <w:sz w:val="24"/>
        </w:rPr>
        <w:t>）也强调组织资本是一个综合概念，为组织实体、组织关系、组织素质等多维度的结合。</w:t>
      </w:r>
      <w:r w:rsidR="009C7A78" w:rsidRPr="00086241">
        <w:rPr>
          <w:rFonts w:hint="eastAsia"/>
          <w:sz w:val="24"/>
        </w:rPr>
        <w:t>Cui</w:t>
      </w:r>
      <w:r w:rsidR="009C7A78" w:rsidRPr="00086241">
        <w:rPr>
          <w:rFonts w:hint="eastAsia"/>
          <w:sz w:val="24"/>
        </w:rPr>
        <w:t>等（</w:t>
      </w:r>
      <w:r w:rsidR="009C7A78" w:rsidRPr="00086241">
        <w:rPr>
          <w:rFonts w:hint="eastAsia"/>
          <w:sz w:val="24"/>
        </w:rPr>
        <w:t>2</w:t>
      </w:r>
      <w:r w:rsidR="009C7A78" w:rsidRPr="00086241">
        <w:rPr>
          <w:sz w:val="24"/>
        </w:rPr>
        <w:t>021</w:t>
      </w:r>
      <w:r w:rsidR="009C7A78" w:rsidRPr="00086241">
        <w:rPr>
          <w:rFonts w:hint="eastAsia"/>
          <w:sz w:val="24"/>
        </w:rPr>
        <w:t>）</w:t>
      </w:r>
      <w:r w:rsidR="00467006">
        <w:rPr>
          <w:rFonts w:hint="eastAsia"/>
          <w:sz w:val="24"/>
        </w:rPr>
        <w:t>、</w:t>
      </w:r>
      <w:r w:rsidR="00467006">
        <w:rPr>
          <w:rFonts w:hint="eastAsia"/>
          <w:sz w:val="24"/>
        </w:rPr>
        <w:t>Hasan</w:t>
      </w:r>
      <w:r w:rsidR="00467006">
        <w:rPr>
          <w:rFonts w:hint="eastAsia"/>
          <w:sz w:val="24"/>
        </w:rPr>
        <w:t>等（</w:t>
      </w:r>
      <w:r w:rsidR="00467006">
        <w:rPr>
          <w:rFonts w:hint="eastAsia"/>
          <w:sz w:val="24"/>
        </w:rPr>
        <w:t>202</w:t>
      </w:r>
      <w:r w:rsidR="003E27D5">
        <w:rPr>
          <w:rFonts w:hint="eastAsia"/>
          <w:sz w:val="24"/>
        </w:rPr>
        <w:t>1</w:t>
      </w:r>
      <w:r w:rsidR="00467006">
        <w:rPr>
          <w:rFonts w:hint="eastAsia"/>
          <w:sz w:val="24"/>
        </w:rPr>
        <w:t>）</w:t>
      </w:r>
      <w:r w:rsidR="009C7A78" w:rsidRPr="00086241">
        <w:rPr>
          <w:rFonts w:hint="eastAsia"/>
          <w:sz w:val="24"/>
        </w:rPr>
        <w:t>将组织资本描述为将各种要素转化为最终价值的能力。</w:t>
      </w:r>
      <w:r>
        <w:rPr>
          <w:rFonts w:hint="eastAsia"/>
          <w:sz w:val="24"/>
        </w:rPr>
        <w:t>具体而言</w:t>
      </w:r>
      <w:r w:rsidR="009C7A78">
        <w:rPr>
          <w:rFonts w:hint="eastAsia"/>
          <w:sz w:val="24"/>
        </w:rPr>
        <w:t>，</w:t>
      </w:r>
      <w:r w:rsidR="00D70BEB" w:rsidRPr="00086241">
        <w:rPr>
          <w:rFonts w:hint="eastAsia"/>
          <w:sz w:val="24"/>
        </w:rPr>
        <w:t>Zara</w:t>
      </w:r>
      <w:r w:rsidR="00D70BEB" w:rsidRPr="00086241">
        <w:rPr>
          <w:rFonts w:hint="eastAsia"/>
          <w:sz w:val="24"/>
        </w:rPr>
        <w:t>将实时的客户需求传递给全球供应商的流程，</w:t>
      </w:r>
      <w:r w:rsidR="00D70BEB" w:rsidRPr="00086241">
        <w:rPr>
          <w:rFonts w:hint="eastAsia"/>
          <w:sz w:val="24"/>
        </w:rPr>
        <w:t>Netflix</w:t>
      </w:r>
      <w:r w:rsidR="00D70BEB" w:rsidRPr="00086241">
        <w:rPr>
          <w:rFonts w:hint="eastAsia"/>
          <w:sz w:val="24"/>
        </w:rPr>
        <w:t>帮助用户选择感兴趣的电影和电视节目</w:t>
      </w:r>
      <w:r w:rsidR="00161F2A" w:rsidRPr="00086241">
        <w:rPr>
          <w:rFonts w:hint="eastAsia"/>
          <w:sz w:val="24"/>
        </w:rPr>
        <w:t>的精准算法</w:t>
      </w:r>
      <w:r w:rsidR="00D70BEB" w:rsidRPr="00086241">
        <w:rPr>
          <w:rFonts w:hint="eastAsia"/>
          <w:sz w:val="24"/>
        </w:rPr>
        <w:t>，</w:t>
      </w:r>
      <w:proofErr w:type="gramStart"/>
      <w:r w:rsidR="00D70BEB" w:rsidRPr="00086241">
        <w:rPr>
          <w:rFonts w:hint="eastAsia"/>
          <w:sz w:val="24"/>
        </w:rPr>
        <w:t>美团</w:t>
      </w:r>
      <w:r w:rsidR="00161F2A" w:rsidRPr="00086241">
        <w:rPr>
          <w:rFonts w:hint="eastAsia"/>
          <w:sz w:val="24"/>
        </w:rPr>
        <w:t>为</w:t>
      </w:r>
      <w:proofErr w:type="gramEnd"/>
      <w:r w:rsidR="00161F2A" w:rsidRPr="00086241">
        <w:rPr>
          <w:rFonts w:hint="eastAsia"/>
          <w:sz w:val="24"/>
        </w:rPr>
        <w:t>顾客提供高效推荐的</w:t>
      </w:r>
      <w:r w:rsidR="00D70BEB" w:rsidRPr="00086241">
        <w:rPr>
          <w:rFonts w:hint="eastAsia"/>
          <w:sz w:val="24"/>
        </w:rPr>
        <w:t>大众点评系统等</w:t>
      </w:r>
      <w:r w:rsidR="009C7A78">
        <w:rPr>
          <w:rFonts w:hint="eastAsia"/>
          <w:sz w:val="24"/>
        </w:rPr>
        <w:t>，</w:t>
      </w:r>
      <w:r w:rsidR="00F611C2">
        <w:rPr>
          <w:rFonts w:hint="eastAsia"/>
          <w:sz w:val="24"/>
        </w:rPr>
        <w:t>这些实践均体现了组织资本通过</w:t>
      </w:r>
      <w:r w:rsidR="009C7A78">
        <w:rPr>
          <w:rFonts w:hint="eastAsia"/>
          <w:sz w:val="24"/>
        </w:rPr>
        <w:t>集体智慧</w:t>
      </w:r>
      <w:r w:rsidR="00F611C2">
        <w:rPr>
          <w:rFonts w:hint="eastAsia"/>
          <w:sz w:val="24"/>
        </w:rPr>
        <w:t>沉淀</w:t>
      </w:r>
      <w:r w:rsidR="009C7A78">
        <w:rPr>
          <w:rFonts w:hint="eastAsia"/>
          <w:sz w:val="24"/>
        </w:rPr>
        <w:t>、价值规范</w:t>
      </w:r>
      <w:r w:rsidR="00F611C2">
        <w:rPr>
          <w:rFonts w:hint="eastAsia"/>
          <w:sz w:val="24"/>
        </w:rPr>
        <w:t>引导与人力协作</w:t>
      </w:r>
      <w:r w:rsidR="009C7A78">
        <w:rPr>
          <w:rFonts w:hint="eastAsia"/>
          <w:sz w:val="24"/>
        </w:rPr>
        <w:t>等</w:t>
      </w:r>
      <w:r w:rsidR="00F611C2">
        <w:rPr>
          <w:rFonts w:hint="eastAsia"/>
          <w:sz w:val="24"/>
        </w:rPr>
        <w:t>过程</w:t>
      </w:r>
      <w:r w:rsidR="009C7A78">
        <w:rPr>
          <w:rFonts w:hint="eastAsia"/>
          <w:sz w:val="24"/>
        </w:rPr>
        <w:t>创造出</w:t>
      </w:r>
      <w:r w:rsidR="00F611C2">
        <w:rPr>
          <w:rFonts w:hint="eastAsia"/>
          <w:sz w:val="24"/>
        </w:rPr>
        <w:t>难以复制的核心竞争力与可持续现金流</w:t>
      </w:r>
      <w:r w:rsidR="009C7A78">
        <w:rPr>
          <w:rFonts w:hint="eastAsia"/>
          <w:sz w:val="24"/>
        </w:rPr>
        <w:t>。</w:t>
      </w:r>
    </w:p>
    <w:p w14:paraId="46298D96" w14:textId="0C2D279C" w:rsidR="009C7A78" w:rsidRPr="00086241" w:rsidRDefault="00FA0E89" w:rsidP="008075D6">
      <w:pPr>
        <w:spacing w:line="360" w:lineRule="auto"/>
        <w:ind w:firstLineChars="200" w:firstLine="480"/>
        <w:rPr>
          <w:sz w:val="24"/>
        </w:rPr>
      </w:pPr>
      <w:r>
        <w:rPr>
          <w:rFonts w:hint="eastAsia"/>
          <w:sz w:val="24"/>
        </w:rPr>
        <w:t>综上所述，学术界对</w:t>
      </w:r>
      <w:r w:rsidR="00E414FF" w:rsidRPr="00E414FF">
        <w:rPr>
          <w:rFonts w:hint="eastAsia"/>
          <w:sz w:val="24"/>
        </w:rPr>
        <w:t>组织资本的理论内涵已从最初的人力资本视角拓展至资源整合与价值创造能力</w:t>
      </w:r>
      <w:r w:rsidR="00E414FF">
        <w:rPr>
          <w:rFonts w:hint="eastAsia"/>
          <w:sz w:val="24"/>
        </w:rPr>
        <w:t>。本文据此提出组织资本的</w:t>
      </w:r>
      <w:r w:rsidR="008075D6">
        <w:rPr>
          <w:rFonts w:hint="eastAsia"/>
          <w:sz w:val="24"/>
        </w:rPr>
        <w:t>内涵</w:t>
      </w:r>
      <w:r w:rsidR="00E414FF">
        <w:rPr>
          <w:rFonts w:hint="eastAsia"/>
          <w:sz w:val="24"/>
        </w:rPr>
        <w:t>：</w:t>
      </w:r>
      <w:r w:rsidR="006E6F35" w:rsidRPr="00086241">
        <w:rPr>
          <w:rFonts w:hint="eastAsia"/>
          <w:sz w:val="24"/>
        </w:rPr>
        <w:t>是</w:t>
      </w:r>
      <w:r w:rsidR="003713A5">
        <w:rPr>
          <w:rFonts w:hint="eastAsia"/>
          <w:sz w:val="24"/>
        </w:rPr>
        <w:t>企业</w:t>
      </w:r>
      <w:r w:rsidR="00F97AC4">
        <w:rPr>
          <w:rFonts w:hint="eastAsia"/>
          <w:sz w:val="24"/>
        </w:rPr>
        <w:t>通过组织能力</w:t>
      </w:r>
      <w:r w:rsidR="003713A5">
        <w:rPr>
          <w:rFonts w:hint="eastAsia"/>
          <w:sz w:val="24"/>
        </w:rPr>
        <w:t>整合</w:t>
      </w:r>
      <w:r w:rsidR="00F97AC4">
        <w:rPr>
          <w:rFonts w:hint="eastAsia"/>
          <w:sz w:val="24"/>
        </w:rPr>
        <w:t>人力、物质、技术及金融等各类生产要素</w:t>
      </w:r>
      <w:r w:rsidR="003713A5">
        <w:rPr>
          <w:rFonts w:hint="eastAsia"/>
          <w:sz w:val="24"/>
        </w:rPr>
        <w:t>，将其转化为核心竞争力和市场价值的无形资产组合，是传统生产函数中未被显性量化但驱动要素有机融合与价值创造的组织变量</w:t>
      </w:r>
      <w:r w:rsidR="00E414FF">
        <w:rPr>
          <w:rFonts w:hint="eastAsia"/>
          <w:sz w:val="24"/>
        </w:rPr>
        <w:t>。</w:t>
      </w:r>
      <w:r w:rsidR="008075D6">
        <w:rPr>
          <w:rFonts w:hint="eastAsia"/>
          <w:sz w:val="24"/>
        </w:rPr>
        <w:t>组织资本属于无形资产的一部分，相比于后者有更多的组织属性。组织资本</w:t>
      </w:r>
      <w:r w:rsidR="00E414FF">
        <w:rPr>
          <w:rFonts w:hint="eastAsia"/>
          <w:sz w:val="24"/>
        </w:rPr>
        <w:t>可以被拆分成三个层次</w:t>
      </w:r>
      <w:r w:rsidR="006B1E8F" w:rsidRPr="00086241">
        <w:rPr>
          <w:rFonts w:hint="eastAsia"/>
          <w:sz w:val="24"/>
        </w:rPr>
        <w:t>：</w:t>
      </w:r>
      <w:r w:rsidR="006E6F35" w:rsidRPr="00086241">
        <w:rPr>
          <w:rFonts w:hint="eastAsia"/>
          <w:sz w:val="24"/>
        </w:rPr>
        <w:t>1</w:t>
      </w:r>
      <w:r w:rsidR="006E6F35" w:rsidRPr="00086241">
        <w:rPr>
          <w:rFonts w:hint="eastAsia"/>
          <w:sz w:val="24"/>
        </w:rPr>
        <w:t>）</w:t>
      </w:r>
      <w:r w:rsidR="00F611C2">
        <w:rPr>
          <w:rFonts w:hint="eastAsia"/>
          <w:sz w:val="24"/>
        </w:rPr>
        <w:t>制度化</w:t>
      </w:r>
      <w:r w:rsidR="006B1E8F" w:rsidRPr="00086241">
        <w:rPr>
          <w:rFonts w:hint="eastAsia"/>
          <w:sz w:val="24"/>
        </w:rPr>
        <w:t>人力资本：</w:t>
      </w:r>
      <w:r w:rsidR="00E414FF">
        <w:rPr>
          <w:rFonts w:hint="eastAsia"/>
          <w:sz w:val="24"/>
        </w:rPr>
        <w:t>包括雇员能力培养体系</w:t>
      </w:r>
      <w:r w:rsidR="006B1E8F" w:rsidRPr="00086241">
        <w:rPr>
          <w:rFonts w:hint="eastAsia"/>
          <w:sz w:val="24"/>
        </w:rPr>
        <w:t>、岗位匹配与团队协作的</w:t>
      </w:r>
      <w:r w:rsidR="00FA722C" w:rsidRPr="00086241">
        <w:rPr>
          <w:rFonts w:hint="eastAsia"/>
          <w:sz w:val="24"/>
        </w:rPr>
        <w:t>程度</w:t>
      </w:r>
      <w:r w:rsidR="006B1E8F" w:rsidRPr="00086241">
        <w:rPr>
          <w:rFonts w:hint="eastAsia"/>
          <w:sz w:val="24"/>
        </w:rPr>
        <w:t>，使企业充分发挥人力资源的潜力；</w:t>
      </w:r>
      <w:r w:rsidR="006B1E8F" w:rsidRPr="00086241">
        <w:rPr>
          <w:rFonts w:hint="eastAsia"/>
          <w:sz w:val="24"/>
        </w:rPr>
        <w:t xml:space="preserve"> </w:t>
      </w:r>
      <w:r w:rsidR="006E6F35" w:rsidRPr="00086241">
        <w:rPr>
          <w:rFonts w:hint="eastAsia"/>
          <w:sz w:val="24"/>
        </w:rPr>
        <w:t>2</w:t>
      </w:r>
      <w:r w:rsidR="006E6F35" w:rsidRPr="00086241">
        <w:rPr>
          <w:rFonts w:hint="eastAsia"/>
          <w:sz w:val="24"/>
        </w:rPr>
        <w:t>）企业文化、价值和规范</w:t>
      </w:r>
      <w:r w:rsidR="006B1E8F" w:rsidRPr="00086241">
        <w:rPr>
          <w:rFonts w:hint="eastAsia"/>
          <w:sz w:val="24"/>
        </w:rPr>
        <w:t>：为企业提供长期导向和内在凝聚力</w:t>
      </w:r>
      <w:r w:rsidR="006E6F35" w:rsidRPr="00086241">
        <w:rPr>
          <w:rFonts w:hint="eastAsia"/>
          <w:sz w:val="24"/>
        </w:rPr>
        <w:t>；</w:t>
      </w:r>
      <w:r w:rsidR="006E6F35" w:rsidRPr="00086241">
        <w:rPr>
          <w:rFonts w:hint="eastAsia"/>
          <w:sz w:val="24"/>
        </w:rPr>
        <w:t>3</w:t>
      </w:r>
      <w:r w:rsidR="006E6F35" w:rsidRPr="00086241">
        <w:rPr>
          <w:rFonts w:hint="eastAsia"/>
          <w:sz w:val="24"/>
        </w:rPr>
        <w:t>）</w:t>
      </w:r>
      <w:r w:rsidR="0084014A" w:rsidRPr="00086241">
        <w:rPr>
          <w:rFonts w:hint="eastAsia"/>
          <w:sz w:val="24"/>
        </w:rPr>
        <w:t>企业的集体智慧</w:t>
      </w:r>
      <w:r w:rsidR="00F611C2">
        <w:rPr>
          <w:rFonts w:hint="eastAsia"/>
          <w:sz w:val="24"/>
        </w:rPr>
        <w:t>：</w:t>
      </w:r>
      <w:r w:rsidR="00E414FF">
        <w:rPr>
          <w:rFonts w:hint="eastAsia"/>
          <w:sz w:val="24"/>
        </w:rPr>
        <w:t>涵盖</w:t>
      </w:r>
      <w:r w:rsidR="009C7A78">
        <w:rPr>
          <w:rFonts w:hint="eastAsia"/>
          <w:sz w:val="24"/>
        </w:rPr>
        <w:t>丰富的业务流程与实践，</w:t>
      </w:r>
      <w:r w:rsidR="009C7A78" w:rsidRPr="00086241">
        <w:rPr>
          <w:rFonts w:hint="eastAsia"/>
          <w:sz w:val="24"/>
        </w:rPr>
        <w:t>专利、商标、版权等知识产权</w:t>
      </w:r>
      <w:r w:rsidR="009C7A78">
        <w:rPr>
          <w:rFonts w:hint="eastAsia"/>
          <w:sz w:val="24"/>
        </w:rPr>
        <w:t>，知识的生成、积累和共享机制</w:t>
      </w:r>
      <w:r w:rsidR="006B1E8F" w:rsidRPr="00086241">
        <w:rPr>
          <w:rFonts w:hint="eastAsia"/>
          <w:sz w:val="24"/>
        </w:rPr>
        <w:t>。</w:t>
      </w:r>
    </w:p>
    <w:p w14:paraId="59E265BC" w14:textId="7BB00E2B" w:rsidR="00F64963" w:rsidRPr="00C74EB6" w:rsidRDefault="00F64963" w:rsidP="00C74EB6">
      <w:pPr>
        <w:pStyle w:val="3"/>
      </w:pPr>
      <w:bookmarkStart w:id="45" w:name="_Toc191420732"/>
      <w:bookmarkStart w:id="46" w:name="_Toc191574103"/>
      <w:bookmarkStart w:id="47" w:name="_Toc198286975"/>
      <w:r w:rsidRPr="00C74EB6">
        <w:rPr>
          <w:rFonts w:hint="eastAsia"/>
        </w:rPr>
        <w:t>组织资本的测量</w:t>
      </w:r>
      <w:bookmarkEnd w:id="45"/>
      <w:bookmarkEnd w:id="46"/>
      <w:bookmarkEnd w:id="47"/>
    </w:p>
    <w:p w14:paraId="7AFA9D04" w14:textId="05E9E8A6" w:rsidR="0080360E" w:rsidRDefault="0080360E" w:rsidP="00613EDF">
      <w:pPr>
        <w:spacing w:line="360" w:lineRule="auto"/>
        <w:ind w:firstLineChars="200" w:firstLine="480"/>
        <w:jc w:val="left"/>
        <w:rPr>
          <w:sz w:val="24"/>
        </w:rPr>
      </w:pPr>
      <w:r>
        <w:rPr>
          <w:rFonts w:hint="eastAsia"/>
          <w:sz w:val="24"/>
        </w:rPr>
        <w:t>会计报表</w:t>
      </w:r>
      <w:r w:rsidR="00F01297">
        <w:rPr>
          <w:rFonts w:hint="eastAsia"/>
          <w:sz w:val="24"/>
        </w:rPr>
        <w:t>未纳入组织资本核算科目，且表外无形资产也无法</w:t>
      </w:r>
      <w:r w:rsidR="0076572E">
        <w:rPr>
          <w:rFonts w:hint="eastAsia"/>
          <w:sz w:val="24"/>
        </w:rPr>
        <w:t>被</w:t>
      </w:r>
      <w:r w:rsidR="00F01297">
        <w:rPr>
          <w:rFonts w:hint="eastAsia"/>
          <w:sz w:val="24"/>
        </w:rPr>
        <w:t>量化披露，</w:t>
      </w:r>
      <w:r w:rsidR="0076572E">
        <w:rPr>
          <w:rFonts w:hint="eastAsia"/>
          <w:sz w:val="24"/>
        </w:rPr>
        <w:t>因此</w:t>
      </w:r>
      <w:r w:rsidR="00F01297">
        <w:rPr>
          <w:rFonts w:hint="eastAsia"/>
          <w:sz w:val="24"/>
        </w:rPr>
        <w:t>组织资本存在计量困难。现有研究主要采用</w:t>
      </w:r>
      <w:r>
        <w:rPr>
          <w:rFonts w:hint="eastAsia"/>
          <w:sz w:val="24"/>
        </w:rPr>
        <w:t>永续盘存法</w:t>
      </w:r>
      <w:r w:rsidR="00F64963" w:rsidRPr="00086241">
        <w:rPr>
          <w:rFonts w:hint="eastAsia"/>
          <w:sz w:val="24"/>
        </w:rPr>
        <w:t>、问卷调查法和</w:t>
      </w:r>
      <w:r w:rsidR="00F01297">
        <w:rPr>
          <w:rFonts w:hint="eastAsia"/>
          <w:sz w:val="24"/>
        </w:rPr>
        <w:t>模型构建</w:t>
      </w:r>
      <w:r w:rsidR="00F64963" w:rsidRPr="00086241">
        <w:rPr>
          <w:rFonts w:hint="eastAsia"/>
          <w:sz w:val="24"/>
        </w:rPr>
        <w:t>来</w:t>
      </w:r>
      <w:r w:rsidR="00F01297">
        <w:rPr>
          <w:rFonts w:hint="eastAsia"/>
          <w:sz w:val="24"/>
        </w:rPr>
        <w:t>度量</w:t>
      </w:r>
      <w:r w:rsidR="00F64963" w:rsidRPr="00086241">
        <w:rPr>
          <w:rFonts w:hint="eastAsia"/>
          <w:sz w:val="24"/>
        </w:rPr>
        <w:t>。</w:t>
      </w:r>
    </w:p>
    <w:p w14:paraId="6855757D" w14:textId="2657AB41" w:rsidR="0080360E" w:rsidRDefault="00F64963" w:rsidP="00613EDF">
      <w:pPr>
        <w:spacing w:line="360" w:lineRule="auto"/>
        <w:ind w:firstLineChars="200" w:firstLine="480"/>
        <w:jc w:val="left"/>
        <w:rPr>
          <w:sz w:val="24"/>
        </w:rPr>
      </w:pPr>
      <w:r w:rsidRPr="00086241">
        <w:rPr>
          <w:rFonts w:hint="eastAsia"/>
          <w:sz w:val="24"/>
        </w:rPr>
        <w:t>永续</w:t>
      </w:r>
      <w:r w:rsidR="0080360E">
        <w:rPr>
          <w:rFonts w:hint="eastAsia"/>
          <w:sz w:val="24"/>
        </w:rPr>
        <w:t>盘存法</w:t>
      </w:r>
      <w:r w:rsidR="00F01297">
        <w:rPr>
          <w:rFonts w:hint="eastAsia"/>
          <w:sz w:val="24"/>
        </w:rPr>
        <w:t>领域，</w:t>
      </w:r>
      <w:r w:rsidR="00F01297">
        <w:rPr>
          <w:rFonts w:hint="eastAsia"/>
          <w:sz w:val="24"/>
        </w:rPr>
        <w:t xml:space="preserve"> </w:t>
      </w:r>
      <w:r w:rsidR="0080360E">
        <w:rPr>
          <w:rFonts w:hint="eastAsia"/>
          <w:sz w:val="24"/>
        </w:rPr>
        <w:t>Eisfeldt</w:t>
      </w:r>
      <w:r w:rsidR="0080360E">
        <w:rPr>
          <w:rFonts w:hint="eastAsia"/>
          <w:sz w:val="24"/>
        </w:rPr>
        <w:t>和</w:t>
      </w:r>
      <w:r w:rsidR="0080360E">
        <w:rPr>
          <w:rFonts w:hint="eastAsia"/>
          <w:sz w:val="24"/>
        </w:rPr>
        <w:t>Papanikolaou</w:t>
      </w:r>
      <w:r w:rsidR="0080360E">
        <w:rPr>
          <w:rFonts w:hint="eastAsia"/>
          <w:sz w:val="24"/>
        </w:rPr>
        <w:t>（</w:t>
      </w:r>
      <w:r w:rsidR="0080360E">
        <w:rPr>
          <w:rFonts w:hint="eastAsia"/>
          <w:sz w:val="24"/>
        </w:rPr>
        <w:t>2013</w:t>
      </w:r>
      <w:r w:rsidR="0080360E">
        <w:rPr>
          <w:rFonts w:hint="eastAsia"/>
          <w:sz w:val="24"/>
        </w:rPr>
        <w:t>）</w:t>
      </w:r>
      <w:r w:rsidR="00F01297">
        <w:rPr>
          <w:rFonts w:hint="eastAsia"/>
          <w:sz w:val="24"/>
        </w:rPr>
        <w:t>基于</w:t>
      </w:r>
      <w:r w:rsidRPr="00086241">
        <w:rPr>
          <w:rFonts w:hint="eastAsia"/>
          <w:sz w:val="24"/>
        </w:rPr>
        <w:t>SG&amp;A</w:t>
      </w:r>
      <w:r w:rsidRPr="00086241">
        <w:rPr>
          <w:rFonts w:hint="eastAsia"/>
          <w:sz w:val="24"/>
        </w:rPr>
        <w:t>费用和参数</w:t>
      </w:r>
      <w:r w:rsidR="00F01297">
        <w:rPr>
          <w:rFonts w:hint="eastAsia"/>
          <w:sz w:val="24"/>
        </w:rPr>
        <w:t>设定</w:t>
      </w:r>
      <w:r w:rsidRPr="00086241">
        <w:rPr>
          <w:rFonts w:hint="eastAsia"/>
          <w:sz w:val="24"/>
        </w:rPr>
        <w:t>来测量组织资本。</w:t>
      </w:r>
      <w:r w:rsidR="00F01297">
        <w:rPr>
          <w:rFonts w:hint="eastAsia"/>
          <w:sz w:val="24"/>
        </w:rPr>
        <w:t>其理论依据在于</w:t>
      </w:r>
      <w:r w:rsidRPr="00086241">
        <w:rPr>
          <w:rFonts w:hint="eastAsia"/>
          <w:sz w:val="24"/>
        </w:rPr>
        <w:t>SG&amp;A</w:t>
      </w:r>
      <w:r w:rsidRPr="00086241">
        <w:rPr>
          <w:rFonts w:hint="eastAsia"/>
          <w:sz w:val="24"/>
        </w:rPr>
        <w:t>费用中包括对关键人才的雇佣和培训、公司业务流程咨询和改进等投入，因此费用</w:t>
      </w:r>
      <w:r w:rsidR="008075D6">
        <w:rPr>
          <w:rFonts w:hint="eastAsia"/>
          <w:sz w:val="24"/>
        </w:rPr>
        <w:t>支出体现组织资本的积累过程</w:t>
      </w:r>
      <w:r w:rsidRPr="00086241">
        <w:rPr>
          <w:rFonts w:hint="eastAsia"/>
          <w:sz w:val="24"/>
        </w:rPr>
        <w:t>。</w:t>
      </w:r>
      <w:r w:rsidR="00F01297">
        <w:rPr>
          <w:rFonts w:hint="eastAsia"/>
          <w:sz w:val="24"/>
        </w:rPr>
        <w:t>后续研究主要沿用这种计量方式，</w:t>
      </w:r>
      <w:r w:rsidR="00505FD3">
        <w:rPr>
          <w:rFonts w:hint="eastAsia"/>
          <w:sz w:val="24"/>
        </w:rPr>
        <w:t>Li</w:t>
      </w:r>
      <w:r w:rsidR="00505FD3">
        <w:rPr>
          <w:rFonts w:hint="eastAsia"/>
          <w:sz w:val="24"/>
        </w:rPr>
        <w:t>等（</w:t>
      </w:r>
      <w:r w:rsidR="00505FD3">
        <w:rPr>
          <w:rFonts w:hint="eastAsia"/>
          <w:sz w:val="24"/>
        </w:rPr>
        <w:t>2018</w:t>
      </w:r>
      <w:r w:rsidR="00505FD3">
        <w:rPr>
          <w:rFonts w:hint="eastAsia"/>
          <w:sz w:val="24"/>
        </w:rPr>
        <w:t>）、</w:t>
      </w:r>
      <w:r w:rsidR="00505FD3">
        <w:rPr>
          <w:rFonts w:hint="eastAsia"/>
          <w:sz w:val="24"/>
        </w:rPr>
        <w:t>Cui</w:t>
      </w:r>
      <w:r w:rsidR="00505FD3">
        <w:rPr>
          <w:rFonts w:hint="eastAsia"/>
          <w:sz w:val="24"/>
        </w:rPr>
        <w:t>等（</w:t>
      </w:r>
      <w:r w:rsidR="00505FD3">
        <w:rPr>
          <w:rFonts w:hint="eastAsia"/>
          <w:sz w:val="24"/>
        </w:rPr>
        <w:t>2021</w:t>
      </w:r>
      <w:r w:rsidR="00505FD3">
        <w:rPr>
          <w:rFonts w:hint="eastAsia"/>
          <w:sz w:val="24"/>
        </w:rPr>
        <w:t>）、</w:t>
      </w:r>
      <w:r w:rsidR="0080360E">
        <w:rPr>
          <w:rFonts w:hint="eastAsia"/>
          <w:sz w:val="24"/>
        </w:rPr>
        <w:t>Hasan</w:t>
      </w:r>
      <w:r w:rsidR="0080360E">
        <w:rPr>
          <w:rFonts w:hint="eastAsia"/>
          <w:sz w:val="24"/>
        </w:rPr>
        <w:t>等</w:t>
      </w:r>
      <w:r w:rsidR="0080360E">
        <w:rPr>
          <w:rFonts w:hint="eastAsia"/>
          <w:sz w:val="24"/>
        </w:rPr>
        <w:lastRenderedPageBreak/>
        <w:t>（</w:t>
      </w:r>
      <w:r w:rsidR="0080360E">
        <w:rPr>
          <w:rFonts w:hint="eastAsia"/>
          <w:sz w:val="24"/>
        </w:rPr>
        <w:t>2021</w:t>
      </w:r>
      <w:r w:rsidR="0080360E">
        <w:rPr>
          <w:rFonts w:hint="eastAsia"/>
          <w:sz w:val="24"/>
        </w:rPr>
        <w:t>）</w:t>
      </w:r>
      <w:r w:rsidR="00F01297">
        <w:rPr>
          <w:rFonts w:hint="eastAsia"/>
          <w:sz w:val="24"/>
        </w:rPr>
        <w:t>和</w:t>
      </w:r>
      <w:r w:rsidR="00505FD3">
        <w:rPr>
          <w:rFonts w:hint="eastAsia"/>
          <w:sz w:val="24"/>
        </w:rPr>
        <w:t>蔡雪玲（</w:t>
      </w:r>
      <w:r w:rsidR="00505FD3">
        <w:rPr>
          <w:rFonts w:hint="eastAsia"/>
          <w:sz w:val="24"/>
        </w:rPr>
        <w:t>2024</w:t>
      </w:r>
      <w:r w:rsidR="00505FD3">
        <w:rPr>
          <w:rFonts w:hint="eastAsia"/>
          <w:sz w:val="24"/>
        </w:rPr>
        <w:t>）</w:t>
      </w:r>
      <w:r w:rsidR="0080360E">
        <w:rPr>
          <w:rFonts w:hint="eastAsia"/>
          <w:sz w:val="24"/>
        </w:rPr>
        <w:t>等学者</w:t>
      </w:r>
      <w:r w:rsidR="00505FD3">
        <w:rPr>
          <w:rFonts w:hint="eastAsia"/>
          <w:sz w:val="24"/>
        </w:rPr>
        <w:t>均</w:t>
      </w:r>
      <w:r w:rsidR="00F01297">
        <w:rPr>
          <w:rFonts w:hint="eastAsia"/>
          <w:sz w:val="24"/>
        </w:rPr>
        <w:t>通过调整参数来拓展计量场景</w:t>
      </w:r>
      <w:r w:rsidR="00505FD3">
        <w:rPr>
          <w:rFonts w:hint="eastAsia"/>
          <w:sz w:val="24"/>
        </w:rPr>
        <w:t>。</w:t>
      </w:r>
    </w:p>
    <w:p w14:paraId="2B5259CE" w14:textId="2A7C11AE" w:rsidR="00F01297" w:rsidRDefault="00F01297" w:rsidP="00613EDF">
      <w:pPr>
        <w:spacing w:line="360" w:lineRule="auto"/>
        <w:ind w:firstLineChars="200" w:firstLine="480"/>
        <w:jc w:val="left"/>
        <w:rPr>
          <w:sz w:val="24"/>
        </w:rPr>
      </w:pPr>
      <w:r>
        <w:rPr>
          <w:rFonts w:hint="eastAsia"/>
          <w:sz w:val="24"/>
        </w:rPr>
        <w:t>问卷法则依赖定性调研来衡量</w:t>
      </w:r>
      <w:r w:rsidR="00F64963" w:rsidRPr="00086241">
        <w:rPr>
          <w:rFonts w:hint="eastAsia"/>
          <w:sz w:val="24"/>
        </w:rPr>
        <w:t>公司的组织特征和管理实践（</w:t>
      </w:r>
      <w:r w:rsidR="00F64963" w:rsidRPr="00086241">
        <w:rPr>
          <w:sz w:val="24"/>
        </w:rPr>
        <w:t>Caroli and Van Reenen (2001), Bloom and Van Reenen (2007)</w:t>
      </w:r>
      <w:r w:rsidR="00B9596C">
        <w:rPr>
          <w:rFonts w:hint="eastAsia"/>
          <w:sz w:val="24"/>
        </w:rPr>
        <w:t>，刘海建和陈传明（</w:t>
      </w:r>
      <w:r w:rsidR="00B9596C">
        <w:rPr>
          <w:rFonts w:hint="eastAsia"/>
          <w:sz w:val="24"/>
        </w:rPr>
        <w:t>2007</w:t>
      </w:r>
      <w:r w:rsidR="00B9596C">
        <w:rPr>
          <w:rFonts w:hint="eastAsia"/>
          <w:sz w:val="24"/>
        </w:rPr>
        <w:t>）</w:t>
      </w:r>
      <w:r w:rsidR="00F64963" w:rsidRPr="00086241">
        <w:rPr>
          <w:rFonts w:hint="eastAsia"/>
          <w:sz w:val="24"/>
        </w:rPr>
        <w:t>）。</w:t>
      </w:r>
      <w:r w:rsidR="0080360E">
        <w:rPr>
          <w:rFonts w:hint="eastAsia"/>
          <w:sz w:val="24"/>
        </w:rPr>
        <w:t>以刘海建和陈传明（</w:t>
      </w:r>
      <w:r w:rsidR="0080360E">
        <w:rPr>
          <w:rFonts w:hint="eastAsia"/>
          <w:sz w:val="24"/>
        </w:rPr>
        <w:t>2007</w:t>
      </w:r>
      <w:r w:rsidR="0080360E">
        <w:rPr>
          <w:rFonts w:hint="eastAsia"/>
          <w:sz w:val="24"/>
        </w:rPr>
        <w:t>）为例，通过量</w:t>
      </w:r>
      <w:proofErr w:type="gramStart"/>
      <w:r w:rsidR="0080360E">
        <w:rPr>
          <w:rFonts w:hint="eastAsia"/>
          <w:sz w:val="24"/>
        </w:rPr>
        <w:t>表方式</w:t>
      </w:r>
      <w:proofErr w:type="gramEnd"/>
      <w:r w:rsidR="0080360E">
        <w:rPr>
          <w:rFonts w:hint="eastAsia"/>
          <w:sz w:val="24"/>
        </w:rPr>
        <w:t>询问高管和员工关于权力、规则和知识管理等相关组织问题</w:t>
      </w:r>
      <w:r>
        <w:rPr>
          <w:rFonts w:hint="eastAsia"/>
          <w:sz w:val="24"/>
        </w:rPr>
        <w:t>并进行打分。</w:t>
      </w:r>
    </w:p>
    <w:p w14:paraId="2C52538D" w14:textId="05E542E3" w:rsidR="00F64963" w:rsidRDefault="00F01297" w:rsidP="00613EDF">
      <w:pPr>
        <w:spacing w:line="360" w:lineRule="auto"/>
        <w:ind w:firstLineChars="200" w:firstLine="480"/>
        <w:jc w:val="left"/>
        <w:rPr>
          <w:sz w:val="24"/>
        </w:rPr>
      </w:pPr>
      <w:r>
        <w:rPr>
          <w:rFonts w:hint="eastAsia"/>
          <w:sz w:val="24"/>
        </w:rPr>
        <w:t>模型构建法通过函数残差</w:t>
      </w:r>
      <w:r w:rsidR="00557F01">
        <w:rPr>
          <w:rFonts w:hint="eastAsia"/>
          <w:sz w:val="24"/>
        </w:rPr>
        <w:t>等方式</w:t>
      </w:r>
      <w:r>
        <w:rPr>
          <w:rFonts w:hint="eastAsia"/>
          <w:sz w:val="24"/>
        </w:rPr>
        <w:t>估计组织资本。</w:t>
      </w:r>
      <w:r w:rsidRPr="00F01297">
        <w:rPr>
          <w:rFonts w:hint="eastAsia"/>
          <w:sz w:val="24"/>
        </w:rPr>
        <w:t>Lev</w:t>
      </w:r>
      <w:r w:rsidR="0010312E">
        <w:rPr>
          <w:rFonts w:hint="eastAsia"/>
          <w:sz w:val="24"/>
        </w:rPr>
        <w:t>和</w:t>
      </w:r>
      <w:r w:rsidRPr="00F01297">
        <w:rPr>
          <w:rFonts w:hint="eastAsia"/>
          <w:sz w:val="24"/>
        </w:rPr>
        <w:t>Radhakrishnan</w:t>
      </w:r>
      <w:r w:rsidRPr="00F01297">
        <w:rPr>
          <w:rFonts w:hint="eastAsia"/>
          <w:sz w:val="24"/>
        </w:rPr>
        <w:t>（</w:t>
      </w:r>
      <w:r w:rsidRPr="00F01297">
        <w:rPr>
          <w:rFonts w:hint="eastAsia"/>
          <w:sz w:val="24"/>
        </w:rPr>
        <w:t>2005</w:t>
      </w:r>
      <w:r w:rsidRPr="00F01297">
        <w:rPr>
          <w:rFonts w:hint="eastAsia"/>
          <w:sz w:val="24"/>
        </w:rPr>
        <w:t>）将企业产出对物质资本等要素回归后的残差视为组织资本存量</w:t>
      </w:r>
      <w:r>
        <w:rPr>
          <w:rFonts w:hint="eastAsia"/>
          <w:sz w:val="24"/>
        </w:rPr>
        <w:t>。该方法虽然能够规避</w:t>
      </w:r>
      <w:r w:rsidR="00F64963" w:rsidRPr="00086241">
        <w:rPr>
          <w:rFonts w:hint="eastAsia"/>
          <w:sz w:val="24"/>
        </w:rPr>
        <w:t>直接衡量无形资产</w:t>
      </w:r>
      <w:r>
        <w:rPr>
          <w:rFonts w:hint="eastAsia"/>
          <w:sz w:val="24"/>
        </w:rPr>
        <w:t>的难题</w:t>
      </w:r>
      <w:r w:rsidR="00F64963" w:rsidRPr="00086241">
        <w:rPr>
          <w:rFonts w:hint="eastAsia"/>
          <w:sz w:val="24"/>
        </w:rPr>
        <w:t>，但结果对</w:t>
      </w:r>
      <w:r>
        <w:rPr>
          <w:rFonts w:hint="eastAsia"/>
          <w:sz w:val="24"/>
        </w:rPr>
        <w:t>模型设定和变量选取</w:t>
      </w:r>
      <w:r w:rsidR="00F64963" w:rsidRPr="00086241">
        <w:rPr>
          <w:rFonts w:hint="eastAsia"/>
          <w:sz w:val="24"/>
        </w:rPr>
        <w:t>非常敏感。</w:t>
      </w:r>
      <w:r w:rsidR="00557F01">
        <w:rPr>
          <w:rFonts w:hint="eastAsia"/>
          <w:sz w:val="24"/>
        </w:rPr>
        <w:t>Peter</w:t>
      </w:r>
      <w:r w:rsidR="0010312E">
        <w:rPr>
          <w:rFonts w:hint="eastAsia"/>
          <w:sz w:val="24"/>
        </w:rPr>
        <w:t>s</w:t>
      </w:r>
      <w:r w:rsidR="00557F01">
        <w:rPr>
          <w:rFonts w:hint="eastAsia"/>
          <w:sz w:val="24"/>
        </w:rPr>
        <w:t>等（</w:t>
      </w:r>
      <w:r w:rsidR="00557F01">
        <w:rPr>
          <w:rFonts w:hint="eastAsia"/>
          <w:sz w:val="24"/>
        </w:rPr>
        <w:t>20</w:t>
      </w:r>
      <w:r w:rsidR="00E853C5">
        <w:rPr>
          <w:rFonts w:hint="eastAsia"/>
          <w:sz w:val="24"/>
        </w:rPr>
        <w:t>25</w:t>
      </w:r>
      <w:r w:rsidR="00557F01">
        <w:rPr>
          <w:rFonts w:hint="eastAsia"/>
          <w:sz w:val="24"/>
        </w:rPr>
        <w:t>）利用公开交易的股权价格和退出事件价格反推出无形资本参数并带入累计模型计算。</w:t>
      </w:r>
    </w:p>
    <w:p w14:paraId="34EEA564" w14:textId="5530E92E" w:rsidR="008075D6" w:rsidRPr="00086241" w:rsidRDefault="00467006" w:rsidP="00613EDF">
      <w:pPr>
        <w:spacing w:line="360" w:lineRule="auto"/>
        <w:ind w:firstLineChars="200" w:firstLine="480"/>
        <w:jc w:val="left"/>
        <w:rPr>
          <w:sz w:val="24"/>
        </w:rPr>
      </w:pPr>
      <w:r>
        <w:rPr>
          <w:rFonts w:hint="eastAsia"/>
          <w:sz w:val="24"/>
        </w:rPr>
        <w:t>文献研究</w:t>
      </w:r>
      <w:r w:rsidR="00F01297">
        <w:rPr>
          <w:rFonts w:hint="eastAsia"/>
          <w:sz w:val="24"/>
        </w:rPr>
        <w:t>表明：</w:t>
      </w:r>
      <w:r>
        <w:rPr>
          <w:rFonts w:hint="eastAsia"/>
          <w:sz w:val="24"/>
        </w:rPr>
        <w:t>永续年金法计算简便，且</w:t>
      </w:r>
      <w:r w:rsidR="00F01297">
        <w:rPr>
          <w:rFonts w:hint="eastAsia"/>
          <w:sz w:val="24"/>
        </w:rPr>
        <w:t>参数敏感性低</w:t>
      </w:r>
      <w:r>
        <w:rPr>
          <w:rFonts w:hint="eastAsia"/>
          <w:sz w:val="24"/>
        </w:rPr>
        <w:t>，但基于</w:t>
      </w:r>
      <w:r>
        <w:rPr>
          <w:rFonts w:hint="eastAsia"/>
          <w:sz w:val="24"/>
        </w:rPr>
        <w:t>SG&amp;A</w:t>
      </w:r>
      <w:r>
        <w:rPr>
          <w:rFonts w:hint="eastAsia"/>
          <w:sz w:val="24"/>
        </w:rPr>
        <w:t>费用算出的组织资本难以区隔有效组织资本</w:t>
      </w:r>
      <w:r w:rsidR="00F01297">
        <w:rPr>
          <w:rFonts w:hint="eastAsia"/>
          <w:sz w:val="24"/>
        </w:rPr>
        <w:t>积累</w:t>
      </w:r>
      <w:r>
        <w:rPr>
          <w:rFonts w:hint="eastAsia"/>
          <w:sz w:val="24"/>
        </w:rPr>
        <w:t>和无效</w:t>
      </w:r>
      <w:r w:rsidR="00F01297">
        <w:rPr>
          <w:rFonts w:hint="eastAsia"/>
          <w:sz w:val="24"/>
        </w:rPr>
        <w:t>资源消耗</w:t>
      </w:r>
      <w:r w:rsidR="00557F01">
        <w:rPr>
          <w:rFonts w:hint="eastAsia"/>
          <w:sz w:val="24"/>
        </w:rPr>
        <w:t>。</w:t>
      </w:r>
      <w:r>
        <w:rPr>
          <w:rFonts w:hint="eastAsia"/>
          <w:sz w:val="24"/>
        </w:rPr>
        <w:t>问卷法设计复杂且耗时，但能收集定性内容，适合做补充。</w:t>
      </w:r>
      <w:r w:rsidR="00557F01">
        <w:rPr>
          <w:rFonts w:hint="eastAsia"/>
          <w:sz w:val="24"/>
        </w:rPr>
        <w:t>模型构建法</w:t>
      </w:r>
      <w:r>
        <w:rPr>
          <w:rFonts w:hint="eastAsia"/>
          <w:sz w:val="24"/>
        </w:rPr>
        <w:t>对变量设定敏感，同样适合作为补充计算方式</w:t>
      </w:r>
      <w:r w:rsidR="005E4130">
        <w:rPr>
          <w:rFonts w:hint="eastAsia"/>
          <w:sz w:val="24"/>
        </w:rPr>
        <w:t>。</w:t>
      </w:r>
    </w:p>
    <w:p w14:paraId="6D5C0A28" w14:textId="09CB4AAB" w:rsidR="00F64963" w:rsidRPr="00C74EB6" w:rsidRDefault="00F64963" w:rsidP="00C74EB6">
      <w:pPr>
        <w:pStyle w:val="3"/>
      </w:pPr>
      <w:bookmarkStart w:id="48" w:name="_Toc191420733"/>
      <w:bookmarkStart w:id="49" w:name="_Toc191574104"/>
      <w:bookmarkStart w:id="50" w:name="_Toc198286976"/>
      <w:r w:rsidRPr="00C74EB6">
        <w:rPr>
          <w:rFonts w:hint="eastAsia"/>
        </w:rPr>
        <w:t>组织资本对企业的影响</w:t>
      </w:r>
      <w:bookmarkStart w:id="51" w:name="_Hlk168308635"/>
      <w:bookmarkEnd w:id="48"/>
      <w:bookmarkEnd w:id="49"/>
      <w:bookmarkEnd w:id="50"/>
    </w:p>
    <w:p w14:paraId="41A5C796" w14:textId="549F187A" w:rsidR="006520B5" w:rsidRPr="006520B5" w:rsidRDefault="006520B5" w:rsidP="006520B5">
      <w:pPr>
        <w:spacing w:line="360" w:lineRule="auto"/>
        <w:ind w:firstLineChars="200" w:firstLine="480"/>
        <w:jc w:val="left"/>
        <w:rPr>
          <w:sz w:val="24"/>
        </w:rPr>
      </w:pPr>
      <w:r w:rsidRPr="006520B5">
        <w:rPr>
          <w:rFonts w:hint="eastAsia"/>
          <w:sz w:val="24"/>
        </w:rPr>
        <w:t>组织资本贯穿于企业价值创造各个环节，影响着方方面面的决策与表现。</w:t>
      </w:r>
    </w:p>
    <w:p w14:paraId="0FE68DBA" w14:textId="0AB8001B" w:rsidR="006520B5" w:rsidRPr="006520B5" w:rsidRDefault="006520B5" w:rsidP="006520B5">
      <w:pPr>
        <w:spacing w:line="360" w:lineRule="auto"/>
        <w:ind w:firstLineChars="200" w:firstLine="480"/>
        <w:jc w:val="left"/>
        <w:rPr>
          <w:sz w:val="24"/>
        </w:rPr>
      </w:pPr>
      <w:r w:rsidRPr="006520B5">
        <w:rPr>
          <w:rFonts w:hint="eastAsia"/>
          <w:sz w:val="24"/>
        </w:rPr>
        <w:t>组织资本与公司经营业绩之间存在显著的正相关关系。这体现在组织资本通过权力架构的合理设置、规则体系的有效执行和知识网络的高效管理，优化公司研发、生产与销售流程，进而显著提升全要素生产率（刘海建和陈传明，</w:t>
      </w:r>
      <w:r w:rsidRPr="006520B5">
        <w:rPr>
          <w:rFonts w:hint="eastAsia"/>
          <w:sz w:val="24"/>
        </w:rPr>
        <w:t>2007</w:t>
      </w:r>
      <w:r w:rsidRPr="006520B5">
        <w:rPr>
          <w:rFonts w:hint="eastAsia"/>
          <w:sz w:val="24"/>
        </w:rPr>
        <w:t>；杨俊仙和周洁，</w:t>
      </w:r>
      <w:r w:rsidRPr="006520B5">
        <w:rPr>
          <w:rFonts w:hint="eastAsia"/>
          <w:sz w:val="24"/>
        </w:rPr>
        <w:t>2016</w:t>
      </w:r>
      <w:r w:rsidRPr="006520B5">
        <w:rPr>
          <w:rFonts w:hint="eastAsia"/>
          <w:sz w:val="24"/>
        </w:rPr>
        <w:t>）。同时，组织资本高的公司设计更强的锦标赛激励，进而提升了企业托宾</w:t>
      </w:r>
      <w:r w:rsidRPr="006520B5">
        <w:rPr>
          <w:rFonts w:hint="eastAsia"/>
          <w:sz w:val="24"/>
        </w:rPr>
        <w:t>Q</w:t>
      </w:r>
      <w:r w:rsidRPr="006520B5">
        <w:rPr>
          <w:rFonts w:hint="eastAsia"/>
          <w:sz w:val="24"/>
        </w:rPr>
        <w:t>值和</w:t>
      </w:r>
      <w:r w:rsidRPr="006520B5">
        <w:rPr>
          <w:rFonts w:hint="eastAsia"/>
          <w:sz w:val="24"/>
        </w:rPr>
        <w:t>ROE</w:t>
      </w:r>
      <w:r w:rsidRPr="006520B5">
        <w:rPr>
          <w:rFonts w:hint="eastAsia"/>
          <w:sz w:val="24"/>
        </w:rPr>
        <w:t>，改善业绩表现（</w:t>
      </w:r>
      <w:r w:rsidRPr="006520B5">
        <w:rPr>
          <w:rFonts w:hint="eastAsia"/>
          <w:sz w:val="24"/>
        </w:rPr>
        <w:t>Boubaker</w:t>
      </w:r>
      <w:r w:rsidRPr="006520B5">
        <w:rPr>
          <w:rFonts w:hint="eastAsia"/>
          <w:sz w:val="24"/>
        </w:rPr>
        <w:t>等，</w:t>
      </w:r>
      <w:r w:rsidRPr="006520B5">
        <w:rPr>
          <w:rFonts w:hint="eastAsia"/>
          <w:sz w:val="24"/>
        </w:rPr>
        <w:t>2022</w:t>
      </w:r>
      <w:r w:rsidRPr="006520B5">
        <w:rPr>
          <w:rFonts w:hint="eastAsia"/>
          <w:sz w:val="24"/>
        </w:rPr>
        <w:t>）。</w:t>
      </w:r>
    </w:p>
    <w:p w14:paraId="1AD7CFF2" w14:textId="047EF9B1" w:rsidR="006520B5" w:rsidRPr="006520B5" w:rsidRDefault="006520B5" w:rsidP="006520B5">
      <w:pPr>
        <w:spacing w:line="360" w:lineRule="auto"/>
        <w:ind w:firstLineChars="200" w:firstLine="480"/>
        <w:jc w:val="left"/>
        <w:rPr>
          <w:sz w:val="24"/>
        </w:rPr>
      </w:pPr>
      <w:proofErr w:type="gramStart"/>
      <w:r w:rsidRPr="006520B5">
        <w:rPr>
          <w:rFonts w:hint="eastAsia"/>
          <w:sz w:val="24"/>
        </w:rPr>
        <w:t>高组织</w:t>
      </w:r>
      <w:proofErr w:type="gramEnd"/>
      <w:r w:rsidRPr="006520B5">
        <w:rPr>
          <w:rFonts w:hint="eastAsia"/>
          <w:sz w:val="24"/>
        </w:rPr>
        <w:t>资本的公司通常更容易做出优质的投资决策，包括研发创新、运营投入和收购。组织资本越高的公司，相较于行业竞争对手，获得的专利及其引用次数更多（</w:t>
      </w:r>
      <w:r w:rsidRPr="006520B5">
        <w:rPr>
          <w:rFonts w:hint="eastAsia"/>
          <w:sz w:val="24"/>
        </w:rPr>
        <w:t>Cui</w:t>
      </w:r>
      <w:r w:rsidRPr="006520B5">
        <w:rPr>
          <w:rFonts w:hint="eastAsia"/>
          <w:sz w:val="24"/>
        </w:rPr>
        <w:t>等，</w:t>
      </w:r>
      <w:r w:rsidRPr="006520B5">
        <w:rPr>
          <w:rFonts w:hint="eastAsia"/>
          <w:sz w:val="24"/>
        </w:rPr>
        <w:t>2021</w:t>
      </w:r>
      <w:r w:rsidRPr="006520B5">
        <w:rPr>
          <w:rFonts w:hint="eastAsia"/>
          <w:sz w:val="24"/>
        </w:rPr>
        <w:t>；</w:t>
      </w:r>
      <w:r w:rsidRPr="006520B5">
        <w:rPr>
          <w:rFonts w:hint="eastAsia"/>
          <w:sz w:val="24"/>
        </w:rPr>
        <w:t>Francis</w:t>
      </w:r>
      <w:r w:rsidRPr="006520B5">
        <w:rPr>
          <w:rFonts w:hint="eastAsia"/>
          <w:sz w:val="24"/>
        </w:rPr>
        <w:t>等，</w:t>
      </w:r>
      <w:r w:rsidRPr="006520B5">
        <w:rPr>
          <w:rFonts w:hint="eastAsia"/>
          <w:sz w:val="24"/>
        </w:rPr>
        <w:t>2021</w:t>
      </w:r>
      <w:r w:rsidRPr="006520B5">
        <w:rPr>
          <w:rFonts w:hint="eastAsia"/>
          <w:sz w:val="24"/>
        </w:rPr>
        <w:t>；蒋艺翅和姚树洁，</w:t>
      </w:r>
      <w:r w:rsidRPr="006520B5">
        <w:rPr>
          <w:rFonts w:hint="eastAsia"/>
          <w:sz w:val="24"/>
        </w:rPr>
        <w:t>2023</w:t>
      </w:r>
      <w:r w:rsidRPr="006520B5">
        <w:rPr>
          <w:rFonts w:hint="eastAsia"/>
          <w:sz w:val="24"/>
        </w:rPr>
        <w:t>），这主要是由于此类公司在创新过程中解决问题的能力更强，且面临的职业问题威胁更小，因此员工更乐于参与创新项目。此外，这些公司也倾向于在</w:t>
      </w:r>
      <w:r w:rsidRPr="006520B5">
        <w:rPr>
          <w:rFonts w:hint="eastAsia"/>
          <w:sz w:val="24"/>
        </w:rPr>
        <w:t>IT</w:t>
      </w:r>
      <w:r w:rsidRPr="006520B5">
        <w:rPr>
          <w:rFonts w:hint="eastAsia"/>
          <w:sz w:val="24"/>
        </w:rPr>
        <w:t>领域投入更多资源，以提高运营效率，其投入比例往往是</w:t>
      </w:r>
      <w:proofErr w:type="gramStart"/>
      <w:r w:rsidRPr="006520B5">
        <w:rPr>
          <w:rFonts w:hint="eastAsia"/>
          <w:sz w:val="24"/>
        </w:rPr>
        <w:t>低组织</w:t>
      </w:r>
      <w:proofErr w:type="gramEnd"/>
      <w:r w:rsidRPr="006520B5">
        <w:rPr>
          <w:rFonts w:hint="eastAsia"/>
          <w:sz w:val="24"/>
        </w:rPr>
        <w:t>资本公司的两倍（</w:t>
      </w:r>
      <w:r w:rsidR="00026DC9">
        <w:rPr>
          <w:rFonts w:hint="eastAsia"/>
          <w:sz w:val="24"/>
        </w:rPr>
        <w:t>Eisfeldt</w:t>
      </w:r>
      <w:r w:rsidRPr="006520B5">
        <w:rPr>
          <w:rFonts w:hint="eastAsia"/>
          <w:sz w:val="24"/>
        </w:rPr>
        <w:t xml:space="preserve"> </w:t>
      </w:r>
      <w:r w:rsidRPr="006520B5">
        <w:rPr>
          <w:rFonts w:hint="eastAsia"/>
          <w:sz w:val="24"/>
        </w:rPr>
        <w:t>和</w:t>
      </w:r>
      <w:r w:rsidRPr="006520B5">
        <w:rPr>
          <w:rFonts w:hint="eastAsia"/>
          <w:sz w:val="24"/>
        </w:rPr>
        <w:t>Papanikolaou</w:t>
      </w:r>
      <w:r w:rsidRPr="006520B5">
        <w:rPr>
          <w:rFonts w:hint="eastAsia"/>
          <w:sz w:val="24"/>
        </w:rPr>
        <w:t>，</w:t>
      </w:r>
      <w:r w:rsidRPr="006520B5">
        <w:rPr>
          <w:rFonts w:hint="eastAsia"/>
          <w:sz w:val="24"/>
        </w:rPr>
        <w:t>2013</w:t>
      </w:r>
      <w:r w:rsidRPr="006520B5">
        <w:rPr>
          <w:rFonts w:hint="eastAsia"/>
          <w:sz w:val="24"/>
        </w:rPr>
        <w:t>），这也顺应了企业数字化的时代潮流。在进行收购等投资决策时，</w:t>
      </w:r>
      <w:proofErr w:type="gramStart"/>
      <w:r w:rsidRPr="006520B5">
        <w:rPr>
          <w:rFonts w:hint="eastAsia"/>
          <w:sz w:val="24"/>
        </w:rPr>
        <w:t>高组织</w:t>
      </w:r>
      <w:proofErr w:type="gramEnd"/>
      <w:r w:rsidRPr="006520B5">
        <w:rPr>
          <w:rFonts w:hint="eastAsia"/>
          <w:sz w:val="24"/>
        </w:rPr>
        <w:t>资本的公司往往取得更好的交易表现，如宣告期内</w:t>
      </w:r>
      <w:r w:rsidRPr="006520B5">
        <w:rPr>
          <w:rFonts w:hint="eastAsia"/>
          <w:sz w:val="24"/>
        </w:rPr>
        <w:lastRenderedPageBreak/>
        <w:t>异常股票收益率的提高和收购后</w:t>
      </w:r>
      <w:r w:rsidRPr="006520B5">
        <w:rPr>
          <w:rFonts w:hint="eastAsia"/>
          <w:sz w:val="24"/>
        </w:rPr>
        <w:t>ROA</w:t>
      </w:r>
      <w:r w:rsidRPr="006520B5">
        <w:rPr>
          <w:rFonts w:hint="eastAsia"/>
          <w:sz w:val="24"/>
        </w:rPr>
        <w:t>和股票收益率的改善。在此过程中，组织资本能够减少更多的销售成本，且提升总资产周转率和创新效率。不过，程冕等（</w:t>
      </w:r>
      <w:r w:rsidRPr="006520B5">
        <w:rPr>
          <w:rFonts w:hint="eastAsia"/>
          <w:sz w:val="24"/>
        </w:rPr>
        <w:t>2019</w:t>
      </w:r>
      <w:r w:rsidRPr="006520B5">
        <w:rPr>
          <w:rFonts w:hint="eastAsia"/>
          <w:sz w:val="24"/>
        </w:rPr>
        <w:t>）研究发现，</w:t>
      </w:r>
      <w:proofErr w:type="gramStart"/>
      <w:r w:rsidRPr="006520B5">
        <w:rPr>
          <w:rFonts w:hint="eastAsia"/>
          <w:sz w:val="24"/>
        </w:rPr>
        <w:t>高组织</w:t>
      </w:r>
      <w:proofErr w:type="gramEnd"/>
      <w:r w:rsidRPr="006520B5">
        <w:rPr>
          <w:rFonts w:hint="eastAsia"/>
          <w:sz w:val="24"/>
        </w:rPr>
        <w:t>资本的公司更不乐于产生并购行为，这与以往核准制的制度、国内并购对象缺乏等原因有关。</w:t>
      </w:r>
    </w:p>
    <w:p w14:paraId="6451334E" w14:textId="3FFC69FB" w:rsidR="006520B5" w:rsidRPr="006520B5" w:rsidRDefault="006520B5" w:rsidP="006520B5">
      <w:pPr>
        <w:spacing w:line="360" w:lineRule="auto"/>
        <w:ind w:firstLineChars="200" w:firstLine="480"/>
        <w:jc w:val="left"/>
        <w:rPr>
          <w:sz w:val="24"/>
        </w:rPr>
      </w:pPr>
      <w:r w:rsidRPr="006520B5">
        <w:rPr>
          <w:rFonts w:hint="eastAsia"/>
          <w:sz w:val="24"/>
        </w:rPr>
        <w:t>组织资本也影响着公司治理</w:t>
      </w:r>
      <w:r w:rsidR="00756AC2">
        <w:rPr>
          <w:rFonts w:hint="eastAsia"/>
          <w:sz w:val="24"/>
        </w:rPr>
        <w:t>质量</w:t>
      </w:r>
      <w:r w:rsidRPr="006520B5">
        <w:rPr>
          <w:rFonts w:hint="eastAsia"/>
          <w:sz w:val="24"/>
        </w:rPr>
        <w:t>。一方面，组织资本的积累可能带来委托代理冲突。这些公司往往对关键人才领袖的雇佣和培训进行大量的投入，从而构建更强大的团队和核心竞争力；然而，当面临前沿技术冲击时，竞争对手的组织资本效率也可能同步提升；为了留住关键人才，股东需要支付更高的薪酬，这将导致现金流总额的减少。在此情景下，股东从组织资本获得的剩余现金流也随之下降，天然地导致委托代理</w:t>
      </w:r>
      <w:r w:rsidR="00DE0689">
        <w:rPr>
          <w:rFonts w:hint="eastAsia"/>
          <w:sz w:val="24"/>
        </w:rPr>
        <w:t>冲突</w:t>
      </w:r>
      <w:r w:rsidRPr="006520B5">
        <w:rPr>
          <w:rFonts w:hint="eastAsia"/>
          <w:sz w:val="24"/>
        </w:rPr>
        <w:t>（</w:t>
      </w:r>
      <w:r w:rsidR="00026DC9">
        <w:rPr>
          <w:rFonts w:hint="eastAsia"/>
          <w:sz w:val="24"/>
        </w:rPr>
        <w:t>Eisfeldt</w:t>
      </w:r>
      <w:r w:rsidRPr="006520B5">
        <w:rPr>
          <w:rFonts w:hint="eastAsia"/>
          <w:sz w:val="24"/>
        </w:rPr>
        <w:t xml:space="preserve"> </w:t>
      </w:r>
      <w:r w:rsidRPr="006520B5">
        <w:rPr>
          <w:rFonts w:hint="eastAsia"/>
          <w:sz w:val="24"/>
        </w:rPr>
        <w:t>和</w:t>
      </w:r>
      <w:r w:rsidRPr="006520B5">
        <w:rPr>
          <w:rFonts w:hint="eastAsia"/>
          <w:sz w:val="24"/>
        </w:rPr>
        <w:t>Papanikolaou</w:t>
      </w:r>
      <w:r w:rsidRPr="006520B5">
        <w:rPr>
          <w:rFonts w:hint="eastAsia"/>
          <w:sz w:val="24"/>
        </w:rPr>
        <w:t>，</w:t>
      </w:r>
      <w:r w:rsidRPr="006520B5">
        <w:rPr>
          <w:rFonts w:hint="eastAsia"/>
          <w:sz w:val="24"/>
        </w:rPr>
        <w:t>2013</w:t>
      </w:r>
      <w:r w:rsidRPr="006520B5">
        <w:rPr>
          <w:rFonts w:hint="eastAsia"/>
          <w:sz w:val="24"/>
        </w:rPr>
        <w:t>；</w:t>
      </w:r>
      <w:r w:rsidRPr="006520B5">
        <w:rPr>
          <w:rFonts w:hint="eastAsia"/>
          <w:sz w:val="24"/>
        </w:rPr>
        <w:t>Hasan</w:t>
      </w:r>
      <w:r w:rsidRPr="006520B5">
        <w:rPr>
          <w:rFonts w:hint="eastAsia"/>
          <w:sz w:val="24"/>
        </w:rPr>
        <w:t>和</w:t>
      </w:r>
      <w:r w:rsidRPr="006520B5">
        <w:rPr>
          <w:rFonts w:hint="eastAsia"/>
          <w:sz w:val="24"/>
        </w:rPr>
        <w:t>Uddin</w:t>
      </w:r>
      <w:r w:rsidRPr="006520B5">
        <w:rPr>
          <w:rFonts w:hint="eastAsia"/>
          <w:sz w:val="24"/>
        </w:rPr>
        <w:t>，</w:t>
      </w:r>
      <w:r w:rsidRPr="006520B5">
        <w:rPr>
          <w:rFonts w:hint="eastAsia"/>
          <w:sz w:val="24"/>
        </w:rPr>
        <w:t>2022</w:t>
      </w:r>
      <w:r w:rsidRPr="006520B5">
        <w:rPr>
          <w:rFonts w:hint="eastAsia"/>
          <w:sz w:val="24"/>
        </w:rPr>
        <w:t>）。另外，这些公司的高管薪酬占比总资产的比例相对较高，反映其对人才的吸引力。</w:t>
      </w:r>
      <w:proofErr w:type="gramStart"/>
      <w:r w:rsidRPr="006520B5">
        <w:rPr>
          <w:rFonts w:hint="eastAsia"/>
          <w:sz w:val="24"/>
        </w:rPr>
        <w:t>高组织</w:t>
      </w:r>
      <w:proofErr w:type="gramEnd"/>
      <w:r w:rsidRPr="006520B5">
        <w:rPr>
          <w:rFonts w:hint="eastAsia"/>
          <w:sz w:val="24"/>
        </w:rPr>
        <w:t>资本公司的员工离职率也相对较低（</w:t>
      </w:r>
      <w:r w:rsidRPr="006520B5">
        <w:rPr>
          <w:rFonts w:hint="eastAsia"/>
          <w:sz w:val="24"/>
        </w:rPr>
        <w:t>Carlin</w:t>
      </w:r>
      <w:r w:rsidR="00C0628E">
        <w:rPr>
          <w:rFonts w:hint="eastAsia"/>
          <w:sz w:val="24"/>
        </w:rPr>
        <w:t>等，</w:t>
      </w:r>
      <w:r w:rsidRPr="006520B5">
        <w:rPr>
          <w:rFonts w:hint="eastAsia"/>
          <w:sz w:val="24"/>
        </w:rPr>
        <w:t>2012</w:t>
      </w:r>
      <w:r w:rsidRPr="006520B5">
        <w:rPr>
          <w:rFonts w:hint="eastAsia"/>
          <w:sz w:val="24"/>
        </w:rPr>
        <w:t>），一定程度上维护了稳定运营。</w:t>
      </w:r>
    </w:p>
    <w:p w14:paraId="52E1122F" w14:textId="7782666E" w:rsidR="00F64963" w:rsidRPr="00086241" w:rsidRDefault="006520B5" w:rsidP="006520B5">
      <w:pPr>
        <w:spacing w:line="360" w:lineRule="auto"/>
        <w:ind w:firstLineChars="200" w:firstLine="480"/>
        <w:jc w:val="left"/>
        <w:rPr>
          <w:sz w:val="24"/>
        </w:rPr>
      </w:pPr>
      <w:r w:rsidRPr="006520B5">
        <w:rPr>
          <w:rFonts w:hint="eastAsia"/>
          <w:sz w:val="24"/>
        </w:rPr>
        <w:t>在资本市场中，</w:t>
      </w:r>
      <w:proofErr w:type="gramStart"/>
      <w:r w:rsidRPr="006520B5">
        <w:rPr>
          <w:rFonts w:hint="eastAsia"/>
          <w:sz w:val="24"/>
        </w:rPr>
        <w:t>高组织</w:t>
      </w:r>
      <w:proofErr w:type="gramEnd"/>
      <w:r w:rsidRPr="006520B5">
        <w:rPr>
          <w:rFonts w:hint="eastAsia"/>
          <w:sz w:val="24"/>
        </w:rPr>
        <w:t>资本的公司往往表现出更高的平均回报率。从风险补偿角度分析，组织资本较高时，股东获得</w:t>
      </w:r>
      <w:r w:rsidR="00DE0689">
        <w:rPr>
          <w:rFonts w:hint="eastAsia"/>
          <w:sz w:val="24"/>
        </w:rPr>
        <w:t>的</w:t>
      </w:r>
      <w:r w:rsidRPr="006520B5">
        <w:rPr>
          <w:rFonts w:hint="eastAsia"/>
          <w:sz w:val="24"/>
        </w:rPr>
        <w:t>现金流减少，股东会要求更高的风险溢价来补偿潜在损失（</w:t>
      </w:r>
      <w:r w:rsidR="00026DC9">
        <w:rPr>
          <w:rFonts w:hint="eastAsia"/>
          <w:sz w:val="24"/>
        </w:rPr>
        <w:t>Eisfeldt</w:t>
      </w:r>
      <w:r w:rsidRPr="006520B5">
        <w:rPr>
          <w:rFonts w:hint="eastAsia"/>
          <w:sz w:val="24"/>
        </w:rPr>
        <w:t xml:space="preserve"> </w:t>
      </w:r>
      <w:r w:rsidRPr="006520B5">
        <w:rPr>
          <w:rFonts w:hint="eastAsia"/>
          <w:sz w:val="24"/>
        </w:rPr>
        <w:t>和</w:t>
      </w:r>
      <w:r w:rsidRPr="006520B5">
        <w:rPr>
          <w:rFonts w:hint="eastAsia"/>
          <w:sz w:val="24"/>
        </w:rPr>
        <w:t>Papanikolaou</w:t>
      </w:r>
      <w:r w:rsidRPr="006520B5">
        <w:rPr>
          <w:rFonts w:hint="eastAsia"/>
          <w:sz w:val="24"/>
        </w:rPr>
        <w:t>，</w:t>
      </w:r>
      <w:r w:rsidRPr="006520B5">
        <w:rPr>
          <w:rFonts w:hint="eastAsia"/>
          <w:sz w:val="24"/>
        </w:rPr>
        <w:t>2013</w:t>
      </w:r>
      <w:r w:rsidRPr="006520B5">
        <w:rPr>
          <w:rFonts w:hint="eastAsia"/>
          <w:sz w:val="24"/>
        </w:rPr>
        <w:t>）。然而，值得注意的是，组织资本的增加可能会引入信息的复杂性，</w:t>
      </w:r>
      <w:r w:rsidR="00DE0689">
        <w:rPr>
          <w:rFonts w:hint="eastAsia"/>
          <w:sz w:val="24"/>
        </w:rPr>
        <w:t>影响分析</w:t>
      </w:r>
      <w:proofErr w:type="gramStart"/>
      <w:r w:rsidR="00DE0689">
        <w:rPr>
          <w:rFonts w:hint="eastAsia"/>
          <w:sz w:val="24"/>
        </w:rPr>
        <w:t>师判断</w:t>
      </w:r>
      <w:proofErr w:type="gramEnd"/>
      <w:r w:rsidR="00DE0689">
        <w:rPr>
          <w:rFonts w:hint="eastAsia"/>
          <w:sz w:val="24"/>
        </w:rPr>
        <w:t>和估值的准确性，</w:t>
      </w:r>
      <w:r w:rsidRPr="006520B5">
        <w:rPr>
          <w:rFonts w:hint="eastAsia"/>
          <w:sz w:val="24"/>
        </w:rPr>
        <w:t>使他们可能对公司产生偏见（</w:t>
      </w:r>
      <w:r w:rsidRPr="006520B5">
        <w:rPr>
          <w:rFonts w:hint="eastAsia"/>
          <w:sz w:val="24"/>
        </w:rPr>
        <w:t>Kim</w:t>
      </w:r>
      <w:r w:rsidRPr="006520B5">
        <w:rPr>
          <w:rFonts w:hint="eastAsia"/>
          <w:sz w:val="24"/>
        </w:rPr>
        <w:t>等，</w:t>
      </w:r>
      <w:r w:rsidRPr="006520B5">
        <w:rPr>
          <w:rFonts w:hint="eastAsia"/>
          <w:sz w:val="24"/>
        </w:rPr>
        <w:t>2021</w:t>
      </w:r>
      <w:r w:rsidRPr="006520B5">
        <w:rPr>
          <w:rFonts w:hint="eastAsia"/>
          <w:sz w:val="24"/>
        </w:rPr>
        <w:t>）。组织资本也会影响公司的股利政策，或通过信号通路增加股息支付比例（</w:t>
      </w:r>
      <w:r w:rsidRPr="006520B5">
        <w:rPr>
          <w:rFonts w:hint="eastAsia"/>
          <w:sz w:val="24"/>
        </w:rPr>
        <w:t>Hasan</w:t>
      </w:r>
      <w:r w:rsidRPr="006520B5">
        <w:rPr>
          <w:rFonts w:hint="eastAsia"/>
          <w:sz w:val="24"/>
        </w:rPr>
        <w:t>和</w:t>
      </w:r>
      <w:r w:rsidRPr="006520B5">
        <w:rPr>
          <w:rFonts w:hint="eastAsia"/>
          <w:sz w:val="24"/>
        </w:rPr>
        <w:t>Uddin</w:t>
      </w:r>
      <w:r w:rsidRPr="006520B5">
        <w:rPr>
          <w:rFonts w:hint="eastAsia"/>
          <w:sz w:val="24"/>
        </w:rPr>
        <w:t>，</w:t>
      </w:r>
      <w:r w:rsidRPr="006520B5">
        <w:rPr>
          <w:rFonts w:hint="eastAsia"/>
          <w:sz w:val="24"/>
        </w:rPr>
        <w:t>2022</w:t>
      </w:r>
      <w:r w:rsidRPr="006520B5">
        <w:rPr>
          <w:rFonts w:hint="eastAsia"/>
          <w:sz w:val="24"/>
        </w:rPr>
        <w:t>）。</w:t>
      </w:r>
    </w:p>
    <w:p w14:paraId="0F48C3EF" w14:textId="31E23B5F" w:rsidR="00F64963" w:rsidRDefault="00756AC2" w:rsidP="00CF5062">
      <w:pPr>
        <w:spacing w:line="360" w:lineRule="auto"/>
        <w:ind w:firstLineChars="200" w:firstLine="480"/>
        <w:rPr>
          <w:sz w:val="24"/>
        </w:rPr>
      </w:pPr>
      <w:r>
        <w:rPr>
          <w:rFonts w:hint="eastAsia"/>
          <w:sz w:val="24"/>
        </w:rPr>
        <w:t>在信贷市场中，</w:t>
      </w:r>
      <w:r w:rsidR="00F64963" w:rsidRPr="00086241">
        <w:rPr>
          <w:rFonts w:hint="eastAsia"/>
          <w:sz w:val="24"/>
        </w:rPr>
        <w:t>由于组织资本</w:t>
      </w:r>
      <w:r w:rsidR="00372082">
        <w:rPr>
          <w:rFonts w:hint="eastAsia"/>
          <w:sz w:val="24"/>
        </w:rPr>
        <w:t>难以作为抵押品，因此组织资本高的企业理应会具有更高的融资成本，会增加这一融资挑战。不过，</w:t>
      </w:r>
      <w:r w:rsidR="00372082">
        <w:rPr>
          <w:rFonts w:hint="eastAsia"/>
          <w:sz w:val="24"/>
        </w:rPr>
        <w:t>Cheng</w:t>
      </w:r>
      <w:r w:rsidR="00372082">
        <w:rPr>
          <w:rFonts w:hint="eastAsia"/>
          <w:sz w:val="24"/>
        </w:rPr>
        <w:t>等（</w:t>
      </w:r>
      <w:r w:rsidR="00372082">
        <w:rPr>
          <w:rFonts w:hint="eastAsia"/>
          <w:sz w:val="24"/>
        </w:rPr>
        <w:t>2022</w:t>
      </w:r>
      <w:r w:rsidR="00372082">
        <w:rPr>
          <w:rFonts w:hint="eastAsia"/>
          <w:sz w:val="24"/>
        </w:rPr>
        <w:t>）研究发现组织资本能在一定程度上缓解融资约束，</w:t>
      </w:r>
      <w:r w:rsidR="00372082" w:rsidRPr="00086241">
        <w:rPr>
          <w:rFonts w:hint="eastAsia"/>
          <w:sz w:val="24"/>
        </w:rPr>
        <w:t>其中信息不对称和运营效率被认为是两个潜在的中介变量</w:t>
      </w:r>
      <w:r w:rsidR="00372082">
        <w:rPr>
          <w:rFonts w:hint="eastAsia"/>
          <w:sz w:val="24"/>
        </w:rPr>
        <w:t>。</w:t>
      </w:r>
      <w:bookmarkEnd w:id="51"/>
    </w:p>
    <w:p w14:paraId="399CC474" w14:textId="67EE6850" w:rsidR="00FA0E89" w:rsidRPr="00CD2947" w:rsidRDefault="00CD2947" w:rsidP="00CD2947">
      <w:pPr>
        <w:spacing w:line="360" w:lineRule="auto"/>
        <w:ind w:firstLineChars="200" w:firstLine="480"/>
        <w:jc w:val="left"/>
        <w:rPr>
          <w:sz w:val="24"/>
        </w:rPr>
      </w:pPr>
      <w:r>
        <w:rPr>
          <w:rFonts w:hint="eastAsia"/>
          <w:sz w:val="24"/>
        </w:rPr>
        <w:t>综上所述，</w:t>
      </w:r>
      <w:r w:rsidR="00FA0E89">
        <w:rPr>
          <w:rFonts w:hint="eastAsia"/>
          <w:sz w:val="24"/>
        </w:rPr>
        <w:t>学界对组织资本</w:t>
      </w:r>
      <w:r>
        <w:rPr>
          <w:rFonts w:hint="eastAsia"/>
          <w:sz w:val="24"/>
        </w:rPr>
        <w:t>的作用的研究领域集中在企业绩效、资本市场和信贷市场中，</w:t>
      </w:r>
      <w:r w:rsidRPr="006520B5">
        <w:rPr>
          <w:rFonts w:hint="eastAsia"/>
          <w:sz w:val="24"/>
        </w:rPr>
        <w:t>从投入产出视角出发，组织资本不仅与业绩的提升紧密相连，还驱动企业科技创新、绿色创新，提升技术竞争力。资本市场中，组织资本能提升风险溢价和回报率、影响分析师的判断和股利政策；信贷市场中，组织资本的特性可能</w:t>
      </w:r>
      <w:r>
        <w:rPr>
          <w:rFonts w:hint="eastAsia"/>
          <w:sz w:val="24"/>
        </w:rPr>
        <w:t>给企业带来挑战，也可能缓解财务约束</w:t>
      </w:r>
      <w:r w:rsidRPr="006520B5">
        <w:rPr>
          <w:rFonts w:hint="eastAsia"/>
          <w:sz w:val="24"/>
        </w:rPr>
        <w:t>。</w:t>
      </w:r>
      <w:r>
        <w:rPr>
          <w:rFonts w:hint="eastAsia"/>
          <w:sz w:val="24"/>
        </w:rPr>
        <w:t>然而，鲜有学者研究组织资本对企业内部控制质量或风险控制的影响。</w:t>
      </w:r>
    </w:p>
    <w:p w14:paraId="4780BCF2" w14:textId="4FD1EDFE" w:rsidR="00CF5062" w:rsidRPr="00C74EB6" w:rsidRDefault="00F64963" w:rsidP="00C74EB6">
      <w:pPr>
        <w:pStyle w:val="2"/>
      </w:pPr>
      <w:bookmarkStart w:id="52" w:name="_Toc191420734"/>
      <w:bookmarkStart w:id="53" w:name="_Toc191574105"/>
      <w:bookmarkStart w:id="54" w:name="_Toc198286977"/>
      <w:r w:rsidRPr="00C74EB6">
        <w:rPr>
          <w:rFonts w:hint="eastAsia"/>
        </w:rPr>
        <w:lastRenderedPageBreak/>
        <w:t>董</w:t>
      </w:r>
      <w:proofErr w:type="gramStart"/>
      <w:r w:rsidRPr="00C74EB6">
        <w:rPr>
          <w:rFonts w:hint="eastAsia"/>
        </w:rPr>
        <w:t>监高责任</w:t>
      </w:r>
      <w:proofErr w:type="gramEnd"/>
      <w:r w:rsidRPr="00C74EB6">
        <w:rPr>
          <w:rFonts w:hint="eastAsia"/>
        </w:rPr>
        <w:t>险</w:t>
      </w:r>
      <w:bookmarkEnd w:id="52"/>
      <w:bookmarkEnd w:id="53"/>
      <w:bookmarkEnd w:id="54"/>
    </w:p>
    <w:p w14:paraId="5A52BF04" w14:textId="635FCD88" w:rsidR="00846508" w:rsidRPr="00C74EB6" w:rsidRDefault="00F64963" w:rsidP="00C74EB6">
      <w:pPr>
        <w:pStyle w:val="3"/>
      </w:pPr>
      <w:bookmarkStart w:id="55" w:name="_Toc191420736"/>
      <w:bookmarkStart w:id="56" w:name="_Toc191574107"/>
      <w:bookmarkStart w:id="57" w:name="_Toc198286978"/>
      <w:r w:rsidRPr="00C74EB6">
        <w:rPr>
          <w:rFonts w:hint="eastAsia"/>
        </w:rPr>
        <w:t>董</w:t>
      </w:r>
      <w:proofErr w:type="gramStart"/>
      <w:r w:rsidRPr="00C74EB6">
        <w:rPr>
          <w:rFonts w:hint="eastAsia"/>
        </w:rPr>
        <w:t>监高责任</w:t>
      </w:r>
      <w:proofErr w:type="gramEnd"/>
      <w:r w:rsidRPr="00C74EB6">
        <w:rPr>
          <w:rFonts w:hint="eastAsia"/>
        </w:rPr>
        <w:t>险的</w:t>
      </w:r>
      <w:r w:rsidR="00223F5F" w:rsidRPr="00C74EB6">
        <w:rPr>
          <w:rFonts w:hint="eastAsia"/>
        </w:rPr>
        <w:t>投保</w:t>
      </w:r>
      <w:r w:rsidR="00226B75" w:rsidRPr="00C74EB6">
        <w:rPr>
          <w:rFonts w:hint="eastAsia"/>
        </w:rPr>
        <w:t>效益</w:t>
      </w:r>
      <w:bookmarkStart w:id="58" w:name="_Hlk168308793"/>
      <w:bookmarkEnd w:id="55"/>
      <w:bookmarkEnd w:id="56"/>
      <w:bookmarkEnd w:id="57"/>
    </w:p>
    <w:p w14:paraId="31A9C399" w14:textId="2E97B44C" w:rsidR="00540675" w:rsidRDefault="00793087" w:rsidP="00D94887">
      <w:pPr>
        <w:spacing w:line="360" w:lineRule="auto"/>
        <w:ind w:firstLineChars="200" w:firstLine="480"/>
        <w:jc w:val="left"/>
        <w:rPr>
          <w:sz w:val="24"/>
        </w:rPr>
      </w:pPr>
      <w:r>
        <w:rPr>
          <w:rFonts w:hint="eastAsia"/>
          <w:sz w:val="24"/>
        </w:rPr>
        <w:t>学术界对董</w:t>
      </w:r>
      <w:proofErr w:type="gramStart"/>
      <w:r>
        <w:rPr>
          <w:rFonts w:hint="eastAsia"/>
          <w:sz w:val="24"/>
        </w:rPr>
        <w:t>监高责任</w:t>
      </w:r>
      <w:proofErr w:type="gramEnd"/>
      <w:r>
        <w:rPr>
          <w:rFonts w:hint="eastAsia"/>
          <w:sz w:val="24"/>
        </w:rPr>
        <w:t>险的治理</w:t>
      </w:r>
      <w:r w:rsidR="003A22A9">
        <w:rPr>
          <w:rFonts w:hint="eastAsia"/>
          <w:sz w:val="24"/>
        </w:rPr>
        <w:t>评价</w:t>
      </w:r>
      <w:r>
        <w:rPr>
          <w:rFonts w:hint="eastAsia"/>
          <w:sz w:val="24"/>
        </w:rPr>
        <w:t>褒贬不一</w:t>
      </w:r>
      <w:r w:rsidR="00846508">
        <w:rPr>
          <w:rFonts w:hint="eastAsia"/>
          <w:sz w:val="24"/>
        </w:rPr>
        <w:t>。</w:t>
      </w:r>
      <w:r w:rsidR="00C63B08">
        <w:rPr>
          <w:rFonts w:hint="eastAsia"/>
          <w:sz w:val="24"/>
        </w:rPr>
        <w:t>一方面，董</w:t>
      </w:r>
      <w:proofErr w:type="gramStart"/>
      <w:r w:rsidR="00C63B08">
        <w:rPr>
          <w:rFonts w:hint="eastAsia"/>
          <w:sz w:val="24"/>
        </w:rPr>
        <w:t>监高责任险能够</w:t>
      </w:r>
      <w:proofErr w:type="gramEnd"/>
      <w:r w:rsidR="00C63B08">
        <w:rPr>
          <w:rFonts w:hint="eastAsia"/>
          <w:sz w:val="24"/>
        </w:rPr>
        <w:t>有效保护</w:t>
      </w:r>
      <w:proofErr w:type="gramStart"/>
      <w:r w:rsidR="00C63B08">
        <w:rPr>
          <w:rFonts w:hint="eastAsia"/>
          <w:sz w:val="24"/>
        </w:rPr>
        <w:t>董监高和</w:t>
      </w:r>
      <w:proofErr w:type="gramEnd"/>
      <w:r w:rsidR="00C63B08">
        <w:rPr>
          <w:rFonts w:hint="eastAsia"/>
          <w:sz w:val="24"/>
        </w:rPr>
        <w:t>投资者的权益，完善</w:t>
      </w:r>
      <w:r w:rsidR="00DD7656">
        <w:rPr>
          <w:rFonts w:hint="eastAsia"/>
          <w:sz w:val="24"/>
        </w:rPr>
        <w:t>外部监督和内部</w:t>
      </w:r>
      <w:r w:rsidR="00C63B08">
        <w:rPr>
          <w:rFonts w:hint="eastAsia"/>
          <w:sz w:val="24"/>
        </w:rPr>
        <w:t>治理机制；</w:t>
      </w:r>
      <w:r w:rsidR="00AD30A2">
        <w:rPr>
          <w:rFonts w:hint="eastAsia"/>
          <w:sz w:val="24"/>
        </w:rPr>
        <w:t>另</w:t>
      </w:r>
      <w:r w:rsidR="00C63B08">
        <w:rPr>
          <w:rFonts w:hint="eastAsia"/>
          <w:sz w:val="24"/>
        </w:rPr>
        <w:t>一方面，董</w:t>
      </w:r>
      <w:proofErr w:type="gramStart"/>
      <w:r w:rsidR="00C63B08">
        <w:rPr>
          <w:rFonts w:hint="eastAsia"/>
          <w:sz w:val="24"/>
        </w:rPr>
        <w:t>监高责任险可能</w:t>
      </w:r>
      <w:proofErr w:type="gramEnd"/>
      <w:r>
        <w:rPr>
          <w:rFonts w:hint="eastAsia"/>
          <w:sz w:val="24"/>
        </w:rPr>
        <w:t>放大</w:t>
      </w:r>
      <w:r w:rsidR="00C63B08">
        <w:rPr>
          <w:rFonts w:hint="eastAsia"/>
          <w:sz w:val="24"/>
        </w:rPr>
        <w:t>道德风险，刺激管理层和控股股东</w:t>
      </w:r>
      <w:r>
        <w:rPr>
          <w:rFonts w:hint="eastAsia"/>
          <w:sz w:val="24"/>
        </w:rPr>
        <w:t>的</w:t>
      </w:r>
      <w:r w:rsidR="00C63B08">
        <w:rPr>
          <w:rFonts w:hint="eastAsia"/>
          <w:sz w:val="24"/>
        </w:rPr>
        <w:t>委托代理行为。</w:t>
      </w:r>
    </w:p>
    <w:p w14:paraId="380A2AA4" w14:textId="64A7078B" w:rsidR="001D52D1" w:rsidRDefault="00846508" w:rsidP="00D94887">
      <w:pPr>
        <w:spacing w:line="360" w:lineRule="auto"/>
        <w:ind w:firstLineChars="200" w:firstLine="480"/>
        <w:jc w:val="left"/>
        <w:rPr>
          <w:sz w:val="24"/>
        </w:rPr>
      </w:pPr>
      <w:r>
        <w:rPr>
          <w:rFonts w:hint="eastAsia"/>
          <w:sz w:val="24"/>
        </w:rPr>
        <w:t>董</w:t>
      </w:r>
      <w:proofErr w:type="gramStart"/>
      <w:r>
        <w:rPr>
          <w:rFonts w:hint="eastAsia"/>
          <w:sz w:val="24"/>
        </w:rPr>
        <w:t>监高责任</w:t>
      </w:r>
      <w:proofErr w:type="gramEnd"/>
      <w:r>
        <w:rPr>
          <w:rFonts w:hint="eastAsia"/>
          <w:sz w:val="24"/>
        </w:rPr>
        <w:t>险的支持声音认为，董</w:t>
      </w:r>
      <w:proofErr w:type="gramStart"/>
      <w:r>
        <w:rPr>
          <w:rFonts w:hint="eastAsia"/>
          <w:sz w:val="24"/>
        </w:rPr>
        <w:t>监高责任</w:t>
      </w:r>
      <w:proofErr w:type="gramEnd"/>
      <w:r>
        <w:rPr>
          <w:rFonts w:hint="eastAsia"/>
          <w:sz w:val="24"/>
        </w:rPr>
        <w:t>险能</w:t>
      </w:r>
      <w:r w:rsidR="00C13291">
        <w:rPr>
          <w:rFonts w:hint="eastAsia"/>
          <w:sz w:val="24"/>
        </w:rPr>
        <w:t>充分</w:t>
      </w:r>
      <w:r>
        <w:rPr>
          <w:rFonts w:hint="eastAsia"/>
          <w:sz w:val="24"/>
        </w:rPr>
        <w:t>利用</w:t>
      </w:r>
      <w:r w:rsidR="00AD30A2">
        <w:rPr>
          <w:rFonts w:hint="eastAsia"/>
          <w:sz w:val="24"/>
        </w:rPr>
        <w:t>保险公司的外部监督</w:t>
      </w:r>
      <w:r>
        <w:rPr>
          <w:rFonts w:hint="eastAsia"/>
          <w:sz w:val="24"/>
        </w:rPr>
        <w:t>功能</w:t>
      </w:r>
      <w:r w:rsidR="00AD30A2">
        <w:rPr>
          <w:rFonts w:hint="eastAsia"/>
          <w:sz w:val="24"/>
        </w:rPr>
        <w:t>和保险的内部激励功能</w:t>
      </w:r>
      <w:r w:rsidR="00C13291">
        <w:rPr>
          <w:rFonts w:hint="eastAsia"/>
          <w:sz w:val="24"/>
        </w:rPr>
        <w:t>（</w:t>
      </w:r>
      <w:r w:rsidR="00C13291">
        <w:rPr>
          <w:rFonts w:hint="eastAsia"/>
          <w:sz w:val="24"/>
        </w:rPr>
        <w:t>Core</w:t>
      </w:r>
      <w:r w:rsidR="00C13291">
        <w:rPr>
          <w:rFonts w:hint="eastAsia"/>
          <w:sz w:val="24"/>
        </w:rPr>
        <w:t>，</w:t>
      </w:r>
      <w:r w:rsidR="00C13291">
        <w:rPr>
          <w:rFonts w:hint="eastAsia"/>
          <w:sz w:val="24"/>
        </w:rPr>
        <w:t>1997</w:t>
      </w:r>
      <w:r w:rsidR="00C13291">
        <w:rPr>
          <w:rFonts w:hint="eastAsia"/>
          <w:sz w:val="24"/>
        </w:rPr>
        <w:t>；</w:t>
      </w:r>
      <w:r w:rsidR="00C756F7" w:rsidRPr="00C756F7">
        <w:rPr>
          <w:sz w:val="24"/>
        </w:rPr>
        <w:t>O'Sullivan</w:t>
      </w:r>
      <w:r w:rsidR="00C0628E">
        <w:rPr>
          <w:rFonts w:hint="eastAsia"/>
          <w:sz w:val="24"/>
        </w:rPr>
        <w:t>，</w:t>
      </w:r>
      <w:r w:rsidR="00C13291">
        <w:rPr>
          <w:rFonts w:hint="eastAsia"/>
          <w:sz w:val="24"/>
        </w:rPr>
        <w:t>1997</w:t>
      </w:r>
      <w:r w:rsidR="00C13291">
        <w:rPr>
          <w:rFonts w:hint="eastAsia"/>
          <w:sz w:val="24"/>
        </w:rPr>
        <w:t>；</w:t>
      </w:r>
      <w:r w:rsidR="00C13291">
        <w:rPr>
          <w:rFonts w:hint="eastAsia"/>
          <w:sz w:val="24"/>
        </w:rPr>
        <w:t xml:space="preserve">Baker </w:t>
      </w:r>
      <w:r w:rsidR="00C13291">
        <w:rPr>
          <w:rFonts w:hint="eastAsia"/>
          <w:sz w:val="24"/>
        </w:rPr>
        <w:t>和</w:t>
      </w:r>
      <w:r w:rsidR="00C13291">
        <w:rPr>
          <w:rFonts w:hint="eastAsia"/>
          <w:sz w:val="24"/>
        </w:rPr>
        <w:t>Griffith</w:t>
      </w:r>
      <w:r w:rsidR="00C13291">
        <w:rPr>
          <w:rFonts w:hint="eastAsia"/>
          <w:sz w:val="24"/>
        </w:rPr>
        <w:t>，</w:t>
      </w:r>
      <w:r w:rsidR="00C13291">
        <w:rPr>
          <w:rFonts w:hint="eastAsia"/>
          <w:sz w:val="24"/>
        </w:rPr>
        <w:t>2007</w:t>
      </w:r>
      <w:r w:rsidR="00C13291">
        <w:rPr>
          <w:rFonts w:hint="eastAsia"/>
          <w:sz w:val="24"/>
        </w:rPr>
        <w:t>），</w:t>
      </w:r>
      <w:r>
        <w:rPr>
          <w:rFonts w:hint="eastAsia"/>
          <w:sz w:val="24"/>
        </w:rPr>
        <w:t>降低公司费用粘性</w:t>
      </w:r>
      <w:r w:rsidR="00AD30A2">
        <w:rPr>
          <w:rFonts w:hint="eastAsia"/>
          <w:sz w:val="24"/>
        </w:rPr>
        <w:t>并缓解代理冲突</w:t>
      </w:r>
      <w:r w:rsidR="00C13291">
        <w:rPr>
          <w:rFonts w:hint="eastAsia"/>
          <w:sz w:val="24"/>
        </w:rPr>
        <w:t>（</w:t>
      </w:r>
      <w:r>
        <w:rPr>
          <w:rFonts w:hint="eastAsia"/>
          <w:sz w:val="24"/>
        </w:rPr>
        <w:t>凌士显和白锐锋，</w:t>
      </w:r>
      <w:r>
        <w:rPr>
          <w:rFonts w:hint="eastAsia"/>
          <w:sz w:val="24"/>
        </w:rPr>
        <w:t>2018</w:t>
      </w:r>
      <w:r>
        <w:rPr>
          <w:rFonts w:hint="eastAsia"/>
          <w:sz w:val="24"/>
        </w:rPr>
        <w:t>），</w:t>
      </w:r>
      <w:r w:rsidR="001D52D1">
        <w:rPr>
          <w:rFonts w:hint="eastAsia"/>
          <w:sz w:val="24"/>
        </w:rPr>
        <w:t>也</w:t>
      </w:r>
      <w:r w:rsidR="00540675">
        <w:rPr>
          <w:rFonts w:hint="eastAsia"/>
          <w:sz w:val="24"/>
        </w:rPr>
        <w:t>促进独立董事更敢于质疑、表达不同声音（</w:t>
      </w:r>
      <w:r w:rsidR="00540675">
        <w:rPr>
          <w:rFonts w:hint="eastAsia"/>
          <w:sz w:val="24"/>
        </w:rPr>
        <w:t>Li</w:t>
      </w:r>
      <w:r w:rsidR="00540675">
        <w:rPr>
          <w:rFonts w:hint="eastAsia"/>
          <w:sz w:val="24"/>
        </w:rPr>
        <w:t>等，</w:t>
      </w:r>
      <w:r w:rsidR="00540675">
        <w:rPr>
          <w:rFonts w:hint="eastAsia"/>
          <w:sz w:val="24"/>
        </w:rPr>
        <w:t>2022</w:t>
      </w:r>
      <w:r w:rsidR="00540675">
        <w:rPr>
          <w:rFonts w:hint="eastAsia"/>
          <w:sz w:val="24"/>
        </w:rPr>
        <w:t>）。</w:t>
      </w:r>
      <w:r w:rsidR="00AD30A2">
        <w:rPr>
          <w:rFonts w:hint="eastAsia"/>
          <w:sz w:val="24"/>
        </w:rPr>
        <w:t>同时，配置了</w:t>
      </w:r>
      <w:r w:rsidR="00A44C7A">
        <w:rPr>
          <w:rFonts w:hint="eastAsia"/>
          <w:sz w:val="24"/>
        </w:rPr>
        <w:t>董</w:t>
      </w:r>
      <w:proofErr w:type="gramStart"/>
      <w:r w:rsidR="00A44C7A">
        <w:rPr>
          <w:rFonts w:hint="eastAsia"/>
          <w:sz w:val="24"/>
        </w:rPr>
        <w:t>监高</w:t>
      </w:r>
      <w:r w:rsidR="00AD30A2">
        <w:rPr>
          <w:rFonts w:hint="eastAsia"/>
          <w:sz w:val="24"/>
        </w:rPr>
        <w:t>责任</w:t>
      </w:r>
      <w:proofErr w:type="gramEnd"/>
      <w:r w:rsidR="00AD30A2">
        <w:rPr>
          <w:rFonts w:hint="eastAsia"/>
          <w:sz w:val="24"/>
        </w:rPr>
        <w:t>险的公司的</w:t>
      </w:r>
      <w:r w:rsidR="00AD30A2">
        <w:rPr>
          <w:rFonts w:hint="eastAsia"/>
          <w:sz w:val="24"/>
        </w:rPr>
        <w:t>ESG</w:t>
      </w:r>
      <w:r w:rsidR="00AD30A2">
        <w:rPr>
          <w:rFonts w:hint="eastAsia"/>
          <w:sz w:val="24"/>
        </w:rPr>
        <w:t>披露信息质量更高</w:t>
      </w:r>
      <w:r w:rsidR="001D52D1">
        <w:rPr>
          <w:rFonts w:hint="eastAsia"/>
          <w:sz w:val="24"/>
        </w:rPr>
        <w:t>（</w:t>
      </w:r>
      <w:proofErr w:type="spellStart"/>
      <w:r w:rsidR="001D52D1">
        <w:rPr>
          <w:rFonts w:hint="eastAsia"/>
          <w:sz w:val="24"/>
        </w:rPr>
        <w:t>Deshui</w:t>
      </w:r>
      <w:proofErr w:type="spellEnd"/>
      <w:r w:rsidR="001D52D1">
        <w:rPr>
          <w:rFonts w:hint="eastAsia"/>
          <w:sz w:val="24"/>
        </w:rPr>
        <w:t>等，</w:t>
      </w:r>
      <w:r w:rsidR="001D52D1">
        <w:rPr>
          <w:rFonts w:hint="eastAsia"/>
          <w:sz w:val="24"/>
        </w:rPr>
        <w:t>2024</w:t>
      </w:r>
      <w:r w:rsidR="001D52D1">
        <w:rPr>
          <w:rFonts w:hint="eastAsia"/>
          <w:sz w:val="24"/>
        </w:rPr>
        <w:t>）</w:t>
      </w:r>
      <w:r w:rsidR="00AD30A2">
        <w:rPr>
          <w:rFonts w:hint="eastAsia"/>
          <w:sz w:val="24"/>
        </w:rPr>
        <w:t>，</w:t>
      </w:r>
      <w:r w:rsidR="001D52D1">
        <w:rPr>
          <w:rFonts w:hint="eastAsia"/>
          <w:sz w:val="24"/>
        </w:rPr>
        <w:t>这也是公司内控质量提升的有利表现。</w:t>
      </w:r>
      <w:r w:rsidR="00BA6043">
        <w:rPr>
          <w:rFonts w:hint="eastAsia"/>
          <w:sz w:val="24"/>
        </w:rPr>
        <w:t>更进一步地，当投保合同中保险公司的除外责任范围越小、公司需要履行的告知义务条款越多时，外部监督力量更强，更有利于发挥董</w:t>
      </w:r>
      <w:proofErr w:type="gramStart"/>
      <w:r w:rsidR="00BA6043">
        <w:rPr>
          <w:rFonts w:hint="eastAsia"/>
          <w:sz w:val="24"/>
        </w:rPr>
        <w:t>监高责任</w:t>
      </w:r>
      <w:proofErr w:type="gramEnd"/>
      <w:r w:rsidR="00BA6043">
        <w:rPr>
          <w:rFonts w:hint="eastAsia"/>
          <w:sz w:val="24"/>
        </w:rPr>
        <w:t>险的监督功效（</w:t>
      </w:r>
      <w:r w:rsidR="00BA6043" w:rsidRPr="00C13291">
        <w:rPr>
          <w:rFonts w:hint="eastAsia"/>
          <w:sz w:val="24"/>
        </w:rPr>
        <w:t>彭韶兵</w:t>
      </w:r>
      <w:r w:rsidR="00BA6043">
        <w:rPr>
          <w:rFonts w:hint="eastAsia"/>
          <w:sz w:val="24"/>
        </w:rPr>
        <w:t>等，</w:t>
      </w:r>
      <w:r w:rsidR="00BA6043">
        <w:rPr>
          <w:rFonts w:hint="eastAsia"/>
          <w:sz w:val="24"/>
        </w:rPr>
        <w:t>2018</w:t>
      </w:r>
      <w:r w:rsidR="00BA6043">
        <w:rPr>
          <w:rFonts w:hint="eastAsia"/>
          <w:sz w:val="24"/>
        </w:rPr>
        <w:t>）。</w:t>
      </w:r>
    </w:p>
    <w:p w14:paraId="17EFDB03" w14:textId="6AC8D874" w:rsidR="00540675" w:rsidRDefault="00793087" w:rsidP="00D94887">
      <w:pPr>
        <w:spacing w:line="360" w:lineRule="auto"/>
        <w:ind w:firstLineChars="200" w:firstLine="480"/>
        <w:jc w:val="left"/>
        <w:rPr>
          <w:sz w:val="24"/>
        </w:rPr>
      </w:pPr>
      <w:r>
        <w:rPr>
          <w:rFonts w:hint="eastAsia"/>
          <w:sz w:val="24"/>
        </w:rPr>
        <w:t>公司治理能力提升后，</w:t>
      </w:r>
      <w:r w:rsidR="001D52D1">
        <w:rPr>
          <w:rFonts w:hint="eastAsia"/>
          <w:sz w:val="24"/>
        </w:rPr>
        <w:t>保险的配置有助于企业做出更加优质的投资决策。</w:t>
      </w:r>
      <w:r w:rsidR="001D52D1" w:rsidRPr="00086241">
        <w:rPr>
          <w:rFonts w:hint="eastAsia"/>
          <w:sz w:val="24"/>
        </w:rPr>
        <w:t>李筱乐等</w:t>
      </w:r>
      <w:r w:rsidR="001D52D1">
        <w:rPr>
          <w:rFonts w:hint="eastAsia"/>
          <w:sz w:val="24"/>
        </w:rPr>
        <w:t>（</w:t>
      </w:r>
      <w:r w:rsidR="001D52D1" w:rsidRPr="00086241">
        <w:rPr>
          <w:rFonts w:hint="eastAsia"/>
          <w:sz w:val="24"/>
        </w:rPr>
        <w:t>202</w:t>
      </w:r>
      <w:r w:rsidR="001D52D1">
        <w:rPr>
          <w:rFonts w:hint="eastAsia"/>
          <w:sz w:val="24"/>
        </w:rPr>
        <w:t>3</w:t>
      </w:r>
      <w:r w:rsidR="001D52D1">
        <w:rPr>
          <w:rFonts w:hint="eastAsia"/>
          <w:sz w:val="24"/>
        </w:rPr>
        <w:t>）研究发现保险的配置</w:t>
      </w:r>
      <w:r>
        <w:rPr>
          <w:rFonts w:hint="eastAsia"/>
          <w:sz w:val="24"/>
        </w:rPr>
        <w:t>有利于增加企业的声誉，</w:t>
      </w:r>
      <w:r w:rsidR="001D52D1">
        <w:rPr>
          <w:rFonts w:hint="eastAsia"/>
          <w:sz w:val="24"/>
        </w:rPr>
        <w:t>能够吸引更多合作伙伴，进而加大企业绿色创新的力度。</w:t>
      </w:r>
      <w:r w:rsidR="00BA6043">
        <w:rPr>
          <w:rFonts w:hint="eastAsia"/>
          <w:sz w:val="24"/>
        </w:rPr>
        <w:t>Wang</w:t>
      </w:r>
      <w:r w:rsidR="00BA6043">
        <w:rPr>
          <w:rFonts w:hint="eastAsia"/>
          <w:sz w:val="24"/>
        </w:rPr>
        <w:t>和</w:t>
      </w:r>
      <w:r w:rsidR="00BA6043">
        <w:rPr>
          <w:rFonts w:hint="eastAsia"/>
          <w:sz w:val="24"/>
        </w:rPr>
        <w:t>Sun</w:t>
      </w:r>
      <w:r w:rsidR="00BA6043">
        <w:rPr>
          <w:rFonts w:hint="eastAsia"/>
          <w:sz w:val="24"/>
        </w:rPr>
        <w:t>（</w:t>
      </w:r>
      <w:r w:rsidR="00BA6043">
        <w:rPr>
          <w:rFonts w:hint="eastAsia"/>
          <w:sz w:val="24"/>
        </w:rPr>
        <w:t>2023</w:t>
      </w:r>
      <w:r w:rsidR="00BA6043">
        <w:rPr>
          <w:rFonts w:hint="eastAsia"/>
          <w:sz w:val="24"/>
        </w:rPr>
        <w:t>）实证了董</w:t>
      </w:r>
      <w:proofErr w:type="gramStart"/>
      <w:r w:rsidR="00BA6043">
        <w:rPr>
          <w:rFonts w:hint="eastAsia"/>
          <w:sz w:val="24"/>
        </w:rPr>
        <w:t>监高责任</w:t>
      </w:r>
      <w:proofErr w:type="gramEnd"/>
      <w:r w:rsidR="00BA6043">
        <w:rPr>
          <w:rFonts w:hint="eastAsia"/>
          <w:sz w:val="24"/>
        </w:rPr>
        <w:t>险的监督作用，能够抑制过度投资。</w:t>
      </w:r>
      <w:r w:rsidR="00BA6043">
        <w:rPr>
          <w:rFonts w:hint="eastAsia"/>
          <w:sz w:val="24"/>
        </w:rPr>
        <w:t>Nguyen</w:t>
      </w:r>
      <w:r w:rsidR="00BA6043">
        <w:rPr>
          <w:rFonts w:hint="eastAsia"/>
          <w:sz w:val="24"/>
        </w:rPr>
        <w:t>等（</w:t>
      </w:r>
      <w:r w:rsidR="00BA6043">
        <w:rPr>
          <w:rFonts w:hint="eastAsia"/>
          <w:sz w:val="24"/>
        </w:rPr>
        <w:t>2024</w:t>
      </w:r>
      <w:r w:rsidR="00BA6043">
        <w:rPr>
          <w:rFonts w:hint="eastAsia"/>
          <w:sz w:val="24"/>
        </w:rPr>
        <w:t>）研究表明公司</w:t>
      </w:r>
      <w:r w:rsidR="001D52D1">
        <w:rPr>
          <w:rFonts w:hint="eastAsia"/>
          <w:sz w:val="24"/>
        </w:rPr>
        <w:t>配置了保险之后</w:t>
      </w:r>
      <w:r w:rsidR="00BA6043">
        <w:rPr>
          <w:rFonts w:hint="eastAsia"/>
          <w:sz w:val="24"/>
        </w:rPr>
        <w:t>，</w:t>
      </w:r>
      <w:r w:rsidR="001D52D1">
        <w:rPr>
          <w:rFonts w:hint="eastAsia"/>
          <w:sz w:val="24"/>
        </w:rPr>
        <w:t>体现更好的股东收益和未来的并购业绩。</w:t>
      </w:r>
    </w:p>
    <w:p w14:paraId="6A8676B4" w14:textId="77777777" w:rsidR="003A22A9" w:rsidRDefault="00540675" w:rsidP="00D94887">
      <w:pPr>
        <w:spacing w:line="360" w:lineRule="auto"/>
        <w:ind w:firstLineChars="200" w:firstLine="480"/>
        <w:jc w:val="left"/>
        <w:rPr>
          <w:sz w:val="24"/>
        </w:rPr>
      </w:pPr>
      <w:r>
        <w:rPr>
          <w:rFonts w:hint="eastAsia"/>
          <w:sz w:val="24"/>
        </w:rPr>
        <w:t>董</w:t>
      </w:r>
      <w:proofErr w:type="gramStart"/>
      <w:r>
        <w:rPr>
          <w:rFonts w:hint="eastAsia"/>
          <w:sz w:val="24"/>
        </w:rPr>
        <w:t>监高责任</w:t>
      </w:r>
      <w:proofErr w:type="gramEnd"/>
      <w:r>
        <w:rPr>
          <w:rFonts w:hint="eastAsia"/>
          <w:sz w:val="24"/>
        </w:rPr>
        <w:t>险的反对声音认为，</w:t>
      </w:r>
      <w:r w:rsidR="00AB1E2F">
        <w:rPr>
          <w:rFonts w:hint="eastAsia"/>
          <w:sz w:val="24"/>
        </w:rPr>
        <w:t>董</w:t>
      </w:r>
      <w:proofErr w:type="gramStart"/>
      <w:r w:rsidR="00AB1E2F">
        <w:rPr>
          <w:rFonts w:hint="eastAsia"/>
          <w:sz w:val="24"/>
        </w:rPr>
        <w:t>监高责任</w:t>
      </w:r>
      <w:proofErr w:type="gramEnd"/>
      <w:r w:rsidR="00AB1E2F">
        <w:rPr>
          <w:rFonts w:hint="eastAsia"/>
          <w:sz w:val="24"/>
        </w:rPr>
        <w:t>险</w:t>
      </w:r>
      <w:r w:rsidR="00BA6043">
        <w:rPr>
          <w:rFonts w:hint="eastAsia"/>
          <w:sz w:val="24"/>
        </w:rPr>
        <w:t>弥补了</w:t>
      </w:r>
      <w:proofErr w:type="gramStart"/>
      <w:r w:rsidR="00283F29">
        <w:rPr>
          <w:rFonts w:hint="eastAsia"/>
          <w:sz w:val="24"/>
        </w:rPr>
        <w:t>董监高在</w:t>
      </w:r>
      <w:proofErr w:type="gramEnd"/>
      <w:r w:rsidR="00283F29">
        <w:rPr>
          <w:rFonts w:hint="eastAsia"/>
          <w:sz w:val="24"/>
        </w:rPr>
        <w:t>面对诉讼风险时的现金流损失，这将</w:t>
      </w:r>
      <w:r w:rsidR="00AB1E2F">
        <w:rPr>
          <w:rFonts w:hint="eastAsia"/>
          <w:sz w:val="24"/>
        </w:rPr>
        <w:t>引发被保险人的道德风险，</w:t>
      </w:r>
      <w:r w:rsidR="00BA6043">
        <w:rPr>
          <w:rFonts w:hint="eastAsia"/>
          <w:sz w:val="24"/>
        </w:rPr>
        <w:t>致使</w:t>
      </w:r>
      <w:r w:rsidR="00AB1E2F">
        <w:rPr>
          <w:rFonts w:hint="eastAsia"/>
          <w:sz w:val="24"/>
        </w:rPr>
        <w:t>保险</w:t>
      </w:r>
      <w:r w:rsidR="00BA6043">
        <w:rPr>
          <w:rFonts w:hint="eastAsia"/>
          <w:sz w:val="24"/>
        </w:rPr>
        <w:t>成为了一种</w:t>
      </w:r>
      <w:r w:rsidR="00AB1E2F">
        <w:rPr>
          <w:rFonts w:hint="eastAsia"/>
          <w:sz w:val="24"/>
        </w:rPr>
        <w:t>免责声明。</w:t>
      </w:r>
      <w:r w:rsidR="00AB1E2F" w:rsidRPr="00086241">
        <w:rPr>
          <w:rFonts w:hint="eastAsia"/>
          <w:sz w:val="24"/>
        </w:rPr>
        <w:t>Jia</w:t>
      </w:r>
      <w:r w:rsidR="00AB1E2F" w:rsidRPr="00086241">
        <w:rPr>
          <w:rFonts w:hint="eastAsia"/>
          <w:sz w:val="24"/>
        </w:rPr>
        <w:t>和</w:t>
      </w:r>
      <w:r w:rsidR="00AB1E2F" w:rsidRPr="00086241">
        <w:rPr>
          <w:rFonts w:hint="eastAsia"/>
          <w:sz w:val="24"/>
        </w:rPr>
        <w:t>Tang</w:t>
      </w:r>
      <w:r w:rsidR="00AB1E2F" w:rsidRPr="00086241">
        <w:rPr>
          <w:rFonts w:hint="eastAsia"/>
          <w:sz w:val="24"/>
        </w:rPr>
        <w:t>（</w:t>
      </w:r>
      <w:r w:rsidR="00AB1E2F" w:rsidRPr="00086241">
        <w:rPr>
          <w:rFonts w:hint="eastAsia"/>
          <w:sz w:val="24"/>
        </w:rPr>
        <w:t>2016</w:t>
      </w:r>
      <w:r w:rsidR="00AB1E2F" w:rsidRPr="00086241">
        <w:rPr>
          <w:rFonts w:hint="eastAsia"/>
          <w:sz w:val="24"/>
        </w:rPr>
        <w:t>）基于中国数据，认为董</w:t>
      </w:r>
      <w:proofErr w:type="gramStart"/>
      <w:r w:rsidR="00AB1E2F" w:rsidRPr="00086241">
        <w:rPr>
          <w:rFonts w:hint="eastAsia"/>
          <w:sz w:val="24"/>
        </w:rPr>
        <w:t>监高责任险降低</w:t>
      </w:r>
      <w:proofErr w:type="gramEnd"/>
      <w:r w:rsidR="00AB1E2F" w:rsidRPr="00086241">
        <w:rPr>
          <w:rFonts w:hint="eastAsia"/>
          <w:sz w:val="24"/>
        </w:rPr>
        <w:t>了独立董事的出席率</w:t>
      </w:r>
      <w:r w:rsidR="00AB1E2F">
        <w:rPr>
          <w:rFonts w:hint="eastAsia"/>
          <w:sz w:val="24"/>
        </w:rPr>
        <w:t>和在工作报告中的努力程度，甚至催生其担任多个要职的现象，凭着手中的“免死金牌”走遍天下。</w:t>
      </w:r>
    </w:p>
    <w:p w14:paraId="562CBC5A" w14:textId="2AC03617" w:rsidR="00AB1E2F" w:rsidRDefault="00AB1E2F" w:rsidP="00D94887">
      <w:pPr>
        <w:spacing w:line="360" w:lineRule="auto"/>
        <w:ind w:firstLineChars="200" w:firstLine="480"/>
        <w:jc w:val="left"/>
        <w:rPr>
          <w:sz w:val="24"/>
        </w:rPr>
      </w:pPr>
      <w:r>
        <w:rPr>
          <w:rFonts w:hint="eastAsia"/>
          <w:sz w:val="24"/>
        </w:rPr>
        <w:t>公司治理能力下降，也</w:t>
      </w:r>
      <w:r w:rsidR="00523C35">
        <w:rPr>
          <w:rFonts w:hint="eastAsia"/>
          <w:sz w:val="24"/>
        </w:rPr>
        <w:t>拖累</w:t>
      </w:r>
      <w:r>
        <w:rPr>
          <w:rFonts w:hint="eastAsia"/>
          <w:sz w:val="24"/>
        </w:rPr>
        <w:t>市场表现和公司业绩，例如，</w:t>
      </w:r>
      <w:r w:rsidR="00523C35">
        <w:rPr>
          <w:rFonts w:hint="eastAsia"/>
          <w:sz w:val="24"/>
        </w:rPr>
        <w:t>该保险的配置导致</w:t>
      </w:r>
      <w:r w:rsidR="00523C35">
        <w:rPr>
          <w:rFonts w:hint="eastAsia"/>
          <w:sz w:val="24"/>
        </w:rPr>
        <w:t>EPS</w:t>
      </w:r>
      <w:r w:rsidR="00523C35">
        <w:rPr>
          <w:rFonts w:hint="eastAsia"/>
          <w:sz w:val="24"/>
        </w:rPr>
        <w:t>下降</w:t>
      </w:r>
      <w:r>
        <w:rPr>
          <w:rFonts w:hint="eastAsia"/>
          <w:sz w:val="24"/>
        </w:rPr>
        <w:t>（凌士显和白锐锋，</w:t>
      </w:r>
      <w:r>
        <w:rPr>
          <w:rFonts w:hint="eastAsia"/>
          <w:sz w:val="24"/>
        </w:rPr>
        <w:t>201</w:t>
      </w:r>
      <w:r w:rsidR="002F764E">
        <w:rPr>
          <w:rFonts w:hint="eastAsia"/>
          <w:sz w:val="24"/>
        </w:rPr>
        <w:t>7</w:t>
      </w:r>
      <w:r>
        <w:rPr>
          <w:rFonts w:hint="eastAsia"/>
          <w:sz w:val="24"/>
        </w:rPr>
        <w:t>）。从收购投资出发，</w:t>
      </w:r>
      <w:r w:rsidR="006229D4">
        <w:rPr>
          <w:rFonts w:hint="eastAsia"/>
          <w:sz w:val="24"/>
        </w:rPr>
        <w:t>董</w:t>
      </w:r>
      <w:proofErr w:type="gramStart"/>
      <w:r w:rsidR="006229D4">
        <w:rPr>
          <w:rFonts w:hint="eastAsia"/>
          <w:sz w:val="24"/>
        </w:rPr>
        <w:t>监高</w:t>
      </w:r>
      <w:r>
        <w:rPr>
          <w:rFonts w:hint="eastAsia"/>
          <w:sz w:val="24"/>
        </w:rPr>
        <w:t>责任险可能</w:t>
      </w:r>
      <w:proofErr w:type="gramEnd"/>
      <w:r>
        <w:rPr>
          <w:rFonts w:hint="eastAsia"/>
          <w:sz w:val="24"/>
        </w:rPr>
        <w:t>降低收购宣告期间的异常股票收益率，</w:t>
      </w:r>
      <w:r w:rsidR="006229D4">
        <w:rPr>
          <w:rFonts w:hint="eastAsia"/>
          <w:sz w:val="24"/>
        </w:rPr>
        <w:t>这主要是因为管理层为构建商业帝国过度支付收购定价或选择不合适的标的，造成较低的协同效应（</w:t>
      </w:r>
      <w:r w:rsidR="006229D4">
        <w:rPr>
          <w:rFonts w:hint="eastAsia"/>
          <w:sz w:val="24"/>
        </w:rPr>
        <w:t>Lin</w:t>
      </w:r>
      <w:r w:rsidR="006229D4">
        <w:rPr>
          <w:rFonts w:hint="eastAsia"/>
          <w:sz w:val="24"/>
        </w:rPr>
        <w:t>等，</w:t>
      </w:r>
      <w:r w:rsidR="006229D4">
        <w:rPr>
          <w:rFonts w:hint="eastAsia"/>
          <w:sz w:val="24"/>
        </w:rPr>
        <w:t>2011</w:t>
      </w:r>
      <w:r w:rsidR="006229D4">
        <w:rPr>
          <w:rFonts w:hint="eastAsia"/>
          <w:sz w:val="24"/>
        </w:rPr>
        <w:t>）</w:t>
      </w:r>
      <w:r>
        <w:rPr>
          <w:rFonts w:hint="eastAsia"/>
          <w:sz w:val="24"/>
        </w:rPr>
        <w:t>。</w:t>
      </w:r>
    </w:p>
    <w:p w14:paraId="5042480A" w14:textId="57DB6599" w:rsidR="00F64963" w:rsidRPr="00086241" w:rsidRDefault="00C13291" w:rsidP="00BA6043">
      <w:pPr>
        <w:spacing w:line="360" w:lineRule="auto"/>
        <w:ind w:firstLineChars="200" w:firstLine="480"/>
        <w:jc w:val="left"/>
        <w:rPr>
          <w:sz w:val="24"/>
        </w:rPr>
      </w:pPr>
      <w:r>
        <w:rPr>
          <w:rFonts w:hint="eastAsia"/>
          <w:sz w:val="24"/>
        </w:rPr>
        <w:t>基于文献研究，董</w:t>
      </w:r>
      <w:proofErr w:type="gramStart"/>
      <w:r>
        <w:rPr>
          <w:rFonts w:hint="eastAsia"/>
          <w:sz w:val="24"/>
        </w:rPr>
        <w:t>监高责任险对</w:t>
      </w:r>
      <w:proofErr w:type="gramEnd"/>
      <w:r>
        <w:rPr>
          <w:rFonts w:hint="eastAsia"/>
          <w:sz w:val="24"/>
        </w:rPr>
        <w:t>被保险人的内部激励作用和风险转移功能值得肯定。</w:t>
      </w:r>
      <w:r w:rsidR="00CD2947">
        <w:rPr>
          <w:rFonts w:hint="eastAsia"/>
          <w:sz w:val="24"/>
        </w:rPr>
        <w:t>部分实证</w:t>
      </w:r>
      <w:r>
        <w:rPr>
          <w:rFonts w:hint="eastAsia"/>
          <w:sz w:val="24"/>
        </w:rPr>
        <w:t>董</w:t>
      </w:r>
      <w:proofErr w:type="gramStart"/>
      <w:r>
        <w:rPr>
          <w:rFonts w:hint="eastAsia"/>
          <w:sz w:val="24"/>
        </w:rPr>
        <w:t>监高责任</w:t>
      </w:r>
      <w:proofErr w:type="gramEnd"/>
      <w:r>
        <w:rPr>
          <w:rFonts w:hint="eastAsia"/>
          <w:sz w:val="24"/>
        </w:rPr>
        <w:t>险不利于公司治理和表现的证据并非单纯否定</w:t>
      </w:r>
      <w:r w:rsidR="00BA6043">
        <w:rPr>
          <w:rFonts w:hint="eastAsia"/>
          <w:sz w:val="24"/>
        </w:rPr>
        <w:lastRenderedPageBreak/>
        <w:t>该险种</w:t>
      </w:r>
      <w:r>
        <w:rPr>
          <w:rFonts w:hint="eastAsia"/>
          <w:sz w:val="24"/>
        </w:rPr>
        <w:t>的</w:t>
      </w:r>
      <w:r w:rsidR="002F764E">
        <w:rPr>
          <w:rFonts w:hint="eastAsia"/>
          <w:sz w:val="24"/>
        </w:rPr>
        <w:t>存在意义。相反，董</w:t>
      </w:r>
      <w:proofErr w:type="gramStart"/>
      <w:r w:rsidR="002F764E">
        <w:rPr>
          <w:rFonts w:hint="eastAsia"/>
          <w:sz w:val="24"/>
        </w:rPr>
        <w:t>监高责任险应该</w:t>
      </w:r>
      <w:proofErr w:type="gramEnd"/>
      <w:r w:rsidR="002F764E">
        <w:rPr>
          <w:rFonts w:hint="eastAsia"/>
          <w:sz w:val="24"/>
        </w:rPr>
        <w:t>存在，这是逐步完善证券市场的必经之路，是维护合法董</w:t>
      </w:r>
      <w:proofErr w:type="gramStart"/>
      <w:r w:rsidR="002F764E">
        <w:rPr>
          <w:rFonts w:hint="eastAsia"/>
          <w:sz w:val="24"/>
        </w:rPr>
        <w:t>监高利益</w:t>
      </w:r>
      <w:proofErr w:type="gramEnd"/>
      <w:r w:rsidR="002F764E">
        <w:rPr>
          <w:rFonts w:hint="eastAsia"/>
          <w:sz w:val="24"/>
        </w:rPr>
        <w:t>和中小股东的重要保险途径。细究背后原因，不同国家对法律条款的不同规定、不同保司</w:t>
      </w:r>
      <w:r w:rsidR="00A44C7A">
        <w:rPr>
          <w:rFonts w:hint="eastAsia"/>
          <w:sz w:val="24"/>
        </w:rPr>
        <w:t>设定</w:t>
      </w:r>
      <w:r w:rsidR="002F764E">
        <w:rPr>
          <w:rFonts w:hint="eastAsia"/>
          <w:sz w:val="24"/>
        </w:rPr>
        <w:t>的</w:t>
      </w:r>
      <w:r w:rsidR="00A44C7A">
        <w:rPr>
          <w:rFonts w:hint="eastAsia"/>
          <w:sz w:val="24"/>
        </w:rPr>
        <w:t>不同</w:t>
      </w:r>
      <w:r w:rsidR="002F764E">
        <w:rPr>
          <w:rFonts w:hint="eastAsia"/>
          <w:sz w:val="24"/>
        </w:rPr>
        <w:t>投保明细，均会影响董</w:t>
      </w:r>
      <w:proofErr w:type="gramStart"/>
      <w:r w:rsidR="002F764E">
        <w:rPr>
          <w:rFonts w:hint="eastAsia"/>
          <w:sz w:val="24"/>
        </w:rPr>
        <w:t>监高责任</w:t>
      </w:r>
      <w:proofErr w:type="gramEnd"/>
      <w:r w:rsidR="002F764E">
        <w:rPr>
          <w:rFonts w:hint="eastAsia"/>
          <w:sz w:val="24"/>
        </w:rPr>
        <w:t>险的配置效益。因此，学术界可在实证研究中关注更多董</w:t>
      </w:r>
      <w:proofErr w:type="gramStart"/>
      <w:r w:rsidR="002F764E">
        <w:rPr>
          <w:rFonts w:hint="eastAsia"/>
          <w:sz w:val="24"/>
        </w:rPr>
        <w:t>监高责任险合同</w:t>
      </w:r>
      <w:proofErr w:type="gramEnd"/>
      <w:r w:rsidR="002F764E">
        <w:rPr>
          <w:rFonts w:hint="eastAsia"/>
          <w:sz w:val="24"/>
        </w:rPr>
        <w:t>设计的细节，例如保费、保额、条款性质</w:t>
      </w:r>
      <w:r w:rsidR="00A44C7A">
        <w:rPr>
          <w:rFonts w:hint="eastAsia"/>
          <w:sz w:val="24"/>
        </w:rPr>
        <w:t>、</w:t>
      </w:r>
      <w:r w:rsidR="002F764E">
        <w:rPr>
          <w:rFonts w:hint="eastAsia"/>
          <w:sz w:val="24"/>
        </w:rPr>
        <w:t>数量</w:t>
      </w:r>
      <w:r w:rsidR="00A44C7A">
        <w:rPr>
          <w:rFonts w:hint="eastAsia"/>
          <w:sz w:val="24"/>
        </w:rPr>
        <w:t>和细节</w:t>
      </w:r>
      <w:r w:rsidR="002F764E">
        <w:rPr>
          <w:rFonts w:hint="eastAsia"/>
          <w:sz w:val="24"/>
        </w:rPr>
        <w:t>等，以</w:t>
      </w:r>
      <w:r w:rsidR="00BA6043">
        <w:rPr>
          <w:rFonts w:hint="eastAsia"/>
          <w:sz w:val="24"/>
        </w:rPr>
        <w:t>帮助</w:t>
      </w:r>
      <w:r w:rsidR="002F764E">
        <w:rPr>
          <w:rFonts w:hint="eastAsia"/>
          <w:sz w:val="24"/>
        </w:rPr>
        <w:t>董</w:t>
      </w:r>
      <w:proofErr w:type="gramStart"/>
      <w:r w:rsidR="002F764E">
        <w:rPr>
          <w:rFonts w:hint="eastAsia"/>
          <w:sz w:val="24"/>
        </w:rPr>
        <w:t>监高责任险</w:t>
      </w:r>
      <w:r w:rsidR="00BA6043">
        <w:rPr>
          <w:rFonts w:hint="eastAsia"/>
          <w:sz w:val="24"/>
        </w:rPr>
        <w:t>找到</w:t>
      </w:r>
      <w:proofErr w:type="gramEnd"/>
      <w:r w:rsidR="00BA6043">
        <w:rPr>
          <w:rFonts w:hint="eastAsia"/>
          <w:sz w:val="24"/>
        </w:rPr>
        <w:t>适合本国制度和经济特色的健康发展方向。</w:t>
      </w:r>
      <w:bookmarkEnd w:id="58"/>
    </w:p>
    <w:p w14:paraId="56C5EBD4" w14:textId="05894E6E" w:rsidR="00DC49DA" w:rsidRPr="00C74EB6" w:rsidRDefault="00427373" w:rsidP="00C74EB6">
      <w:pPr>
        <w:pStyle w:val="3"/>
      </w:pPr>
      <w:bookmarkStart w:id="59" w:name="_Toc191420737"/>
      <w:bookmarkStart w:id="60" w:name="_Toc191574108"/>
      <w:bookmarkStart w:id="61" w:name="_Toc198286979"/>
      <w:r w:rsidRPr="00C74EB6">
        <w:rPr>
          <w:rFonts w:hint="eastAsia"/>
        </w:rPr>
        <w:t>董</w:t>
      </w:r>
      <w:proofErr w:type="gramStart"/>
      <w:r w:rsidRPr="00C74EB6">
        <w:rPr>
          <w:rFonts w:hint="eastAsia"/>
        </w:rPr>
        <w:t>监高责任</w:t>
      </w:r>
      <w:proofErr w:type="gramEnd"/>
      <w:r w:rsidRPr="00C74EB6">
        <w:rPr>
          <w:rFonts w:hint="eastAsia"/>
        </w:rPr>
        <w:t>险的</w:t>
      </w:r>
      <w:r w:rsidR="00223F5F" w:rsidRPr="00C74EB6">
        <w:rPr>
          <w:rFonts w:hint="eastAsia"/>
        </w:rPr>
        <w:t>投保</w:t>
      </w:r>
      <w:r w:rsidRPr="00C74EB6">
        <w:rPr>
          <w:rFonts w:hint="eastAsia"/>
        </w:rPr>
        <w:t>动机</w:t>
      </w:r>
      <w:bookmarkStart w:id="62" w:name="_Hlk168308888"/>
      <w:bookmarkEnd w:id="59"/>
      <w:bookmarkEnd w:id="60"/>
      <w:bookmarkEnd w:id="61"/>
    </w:p>
    <w:p w14:paraId="01F5116A" w14:textId="307948F0" w:rsidR="00DC49DA" w:rsidRDefault="00DC49DA" w:rsidP="00DC49DA">
      <w:pPr>
        <w:spacing w:line="360" w:lineRule="auto"/>
        <w:ind w:firstLineChars="200" w:firstLine="480"/>
        <w:jc w:val="left"/>
        <w:rPr>
          <w:sz w:val="24"/>
        </w:rPr>
      </w:pPr>
      <w:r>
        <w:rPr>
          <w:rFonts w:hint="eastAsia"/>
          <w:sz w:val="24"/>
        </w:rPr>
        <w:t>诉讼风险是配置董</w:t>
      </w:r>
      <w:proofErr w:type="gramStart"/>
      <w:r>
        <w:rPr>
          <w:rFonts w:hint="eastAsia"/>
          <w:sz w:val="24"/>
        </w:rPr>
        <w:t>监高责任</w:t>
      </w:r>
      <w:proofErr w:type="gramEnd"/>
      <w:r>
        <w:rPr>
          <w:rFonts w:hint="eastAsia"/>
          <w:sz w:val="24"/>
        </w:rPr>
        <w:t>险的首要动机。</w:t>
      </w:r>
      <w:r w:rsidRPr="00086241">
        <w:rPr>
          <w:rFonts w:hint="eastAsia"/>
          <w:sz w:val="24"/>
        </w:rPr>
        <w:t>随着诉讼风险的增加，公司</w:t>
      </w:r>
      <w:r>
        <w:rPr>
          <w:rFonts w:hint="eastAsia"/>
          <w:sz w:val="24"/>
        </w:rPr>
        <w:t>出于风险规避，</w:t>
      </w:r>
      <w:r w:rsidRPr="00086241">
        <w:rPr>
          <w:rFonts w:hint="eastAsia"/>
          <w:sz w:val="24"/>
        </w:rPr>
        <w:t>往往需要采取措施来保护自己免受法律风险和经济损失，此时购买董</w:t>
      </w:r>
      <w:proofErr w:type="gramStart"/>
      <w:r w:rsidRPr="00086241">
        <w:rPr>
          <w:rFonts w:hint="eastAsia"/>
          <w:sz w:val="24"/>
        </w:rPr>
        <w:t>监高责任险成为</w:t>
      </w:r>
      <w:proofErr w:type="gramEnd"/>
      <w:r w:rsidRPr="00086241">
        <w:rPr>
          <w:rFonts w:hint="eastAsia"/>
          <w:sz w:val="24"/>
        </w:rPr>
        <w:t>一种有效的风险管理手段</w:t>
      </w:r>
      <w:r>
        <w:rPr>
          <w:rFonts w:hint="eastAsia"/>
          <w:sz w:val="24"/>
        </w:rPr>
        <w:t>（</w:t>
      </w:r>
      <w:r>
        <w:rPr>
          <w:rFonts w:hint="eastAsia"/>
          <w:sz w:val="24"/>
        </w:rPr>
        <w:t>Core</w:t>
      </w:r>
      <w:r>
        <w:rPr>
          <w:rFonts w:hint="eastAsia"/>
          <w:sz w:val="24"/>
        </w:rPr>
        <w:t>，</w:t>
      </w:r>
      <w:r>
        <w:rPr>
          <w:rFonts w:hint="eastAsia"/>
          <w:sz w:val="24"/>
        </w:rPr>
        <w:t>1997</w:t>
      </w:r>
      <w:r>
        <w:rPr>
          <w:rFonts w:hint="eastAsia"/>
          <w:sz w:val="24"/>
        </w:rPr>
        <w:t>）</w:t>
      </w:r>
      <w:r w:rsidRPr="00DF390F">
        <w:rPr>
          <w:rFonts w:hint="eastAsia"/>
          <w:sz w:val="24"/>
        </w:rPr>
        <w:t>。</w:t>
      </w:r>
      <w:r w:rsidR="00427373">
        <w:rPr>
          <w:rFonts w:hint="eastAsia"/>
          <w:sz w:val="24"/>
        </w:rPr>
        <w:t>当企业所处的法律环境越薄弱，</w:t>
      </w:r>
      <w:r w:rsidR="00F74053">
        <w:rPr>
          <w:rFonts w:hint="eastAsia"/>
          <w:sz w:val="24"/>
        </w:rPr>
        <w:t>法律风险越高，公司也越倾向于</w:t>
      </w:r>
      <w:r w:rsidR="008E596C">
        <w:rPr>
          <w:rFonts w:hint="eastAsia"/>
          <w:sz w:val="24"/>
        </w:rPr>
        <w:t>购买</w:t>
      </w:r>
      <w:r w:rsidR="00F74053">
        <w:rPr>
          <w:rFonts w:hint="eastAsia"/>
          <w:sz w:val="24"/>
        </w:rPr>
        <w:t>董</w:t>
      </w:r>
      <w:proofErr w:type="gramStart"/>
      <w:r w:rsidR="00F74053">
        <w:rPr>
          <w:rFonts w:hint="eastAsia"/>
          <w:sz w:val="24"/>
        </w:rPr>
        <w:t>监高责任</w:t>
      </w:r>
      <w:proofErr w:type="gramEnd"/>
      <w:r w:rsidR="00F74053">
        <w:rPr>
          <w:rFonts w:hint="eastAsia"/>
          <w:sz w:val="24"/>
        </w:rPr>
        <w:t>险</w:t>
      </w:r>
      <w:r w:rsidR="00F74053" w:rsidRPr="00A44C7A">
        <w:rPr>
          <w:sz w:val="24"/>
        </w:rPr>
        <w:t>（</w:t>
      </w:r>
      <w:r w:rsidR="00F74053" w:rsidRPr="00A44C7A">
        <w:rPr>
          <w:sz w:val="24"/>
        </w:rPr>
        <w:t>Hu</w:t>
      </w:r>
      <w:r w:rsidR="00F74053" w:rsidRPr="00A44C7A">
        <w:rPr>
          <w:sz w:val="24"/>
        </w:rPr>
        <w:t>和</w:t>
      </w:r>
      <w:r w:rsidR="00F74053" w:rsidRPr="00A44C7A">
        <w:rPr>
          <w:sz w:val="24"/>
        </w:rPr>
        <w:t>Fang</w:t>
      </w:r>
      <w:r w:rsidR="00A44C7A" w:rsidRPr="00A44C7A">
        <w:rPr>
          <w:sz w:val="24"/>
        </w:rPr>
        <w:t>，</w:t>
      </w:r>
      <w:r w:rsidR="00F74053" w:rsidRPr="00A44C7A">
        <w:rPr>
          <w:sz w:val="24"/>
        </w:rPr>
        <w:t>2022</w:t>
      </w:r>
      <w:r w:rsidR="00A44C7A" w:rsidRPr="00A44C7A">
        <w:rPr>
          <w:sz w:val="24"/>
        </w:rPr>
        <w:t>）</w:t>
      </w:r>
      <w:r w:rsidR="00F74053">
        <w:rPr>
          <w:rFonts w:hint="eastAsia"/>
          <w:sz w:val="24"/>
        </w:rPr>
        <w:t>。</w:t>
      </w:r>
      <w:r w:rsidR="00A44C7A">
        <w:rPr>
          <w:rFonts w:hint="eastAsia"/>
          <w:sz w:val="24"/>
        </w:rPr>
        <w:t>以</w:t>
      </w:r>
      <w:proofErr w:type="gramStart"/>
      <w:r w:rsidR="00A44C7A">
        <w:rPr>
          <w:rFonts w:hint="eastAsia"/>
          <w:sz w:val="24"/>
        </w:rPr>
        <w:t>独董险</w:t>
      </w:r>
      <w:proofErr w:type="gramEnd"/>
      <w:r w:rsidR="00A44C7A">
        <w:rPr>
          <w:rFonts w:hint="eastAsia"/>
          <w:sz w:val="24"/>
        </w:rPr>
        <w:t>为例，由于保险公司和独立董事分别持有风险中性、</w:t>
      </w:r>
      <w:proofErr w:type="gramStart"/>
      <w:r w:rsidR="00A44C7A">
        <w:rPr>
          <w:rFonts w:hint="eastAsia"/>
          <w:sz w:val="24"/>
        </w:rPr>
        <w:t>独风险</w:t>
      </w:r>
      <w:proofErr w:type="gramEnd"/>
      <w:r w:rsidR="00A44C7A">
        <w:rPr>
          <w:rFonts w:hint="eastAsia"/>
          <w:sz w:val="24"/>
        </w:rPr>
        <w:t>规避的态度，当风险溢价的增长速度高于保费的增长速度时，公司会倾向于购买保险以转移风险。</w:t>
      </w:r>
    </w:p>
    <w:p w14:paraId="31A9CA7A" w14:textId="1A3CF2C4" w:rsidR="00DC49DA" w:rsidRPr="00086241" w:rsidRDefault="00DC49DA" w:rsidP="00184BB7">
      <w:pPr>
        <w:spacing w:line="360" w:lineRule="auto"/>
        <w:ind w:firstLineChars="200" w:firstLine="480"/>
        <w:jc w:val="left"/>
        <w:rPr>
          <w:sz w:val="24"/>
        </w:rPr>
      </w:pPr>
      <w:r>
        <w:rPr>
          <w:rFonts w:hint="eastAsia"/>
          <w:sz w:val="24"/>
        </w:rPr>
        <w:t>控股股东和中小股东的利益冲突</w:t>
      </w:r>
      <w:r w:rsidR="008E596C">
        <w:rPr>
          <w:rFonts w:hint="eastAsia"/>
          <w:sz w:val="24"/>
        </w:rPr>
        <w:t>促</w:t>
      </w:r>
      <w:r w:rsidR="00A44C7A">
        <w:rPr>
          <w:rFonts w:hint="eastAsia"/>
          <w:sz w:val="24"/>
        </w:rPr>
        <w:t>提升</w:t>
      </w:r>
      <w:r w:rsidRPr="00086241">
        <w:rPr>
          <w:rFonts w:hint="eastAsia"/>
          <w:sz w:val="24"/>
        </w:rPr>
        <w:t>董</w:t>
      </w:r>
      <w:proofErr w:type="gramStart"/>
      <w:r w:rsidRPr="00086241">
        <w:rPr>
          <w:rFonts w:hint="eastAsia"/>
          <w:sz w:val="24"/>
        </w:rPr>
        <w:t>监高责任</w:t>
      </w:r>
      <w:proofErr w:type="gramEnd"/>
      <w:r w:rsidRPr="00086241">
        <w:rPr>
          <w:rFonts w:hint="eastAsia"/>
          <w:sz w:val="24"/>
        </w:rPr>
        <w:t>险的</w:t>
      </w:r>
      <w:r w:rsidR="00A44C7A">
        <w:rPr>
          <w:rFonts w:hint="eastAsia"/>
          <w:sz w:val="24"/>
        </w:rPr>
        <w:t>购买需求</w:t>
      </w:r>
      <w:r w:rsidRPr="00086241">
        <w:rPr>
          <w:rFonts w:hint="eastAsia"/>
          <w:sz w:val="24"/>
        </w:rPr>
        <w:t>。</w:t>
      </w:r>
      <w:r>
        <w:rPr>
          <w:rFonts w:hint="eastAsia"/>
          <w:sz w:val="24"/>
        </w:rPr>
        <w:t>此类公司的</w:t>
      </w:r>
      <w:r w:rsidRPr="00086241">
        <w:rPr>
          <w:rFonts w:hint="eastAsia"/>
          <w:sz w:val="24"/>
        </w:rPr>
        <w:t>控股股东通常通过披露虚假信息和滥用关联交易两种方式来侵占少数股东的财产或资源，这也是私人投资者常常进行诉讼的案件。董监高参与到此类冲突较为严重的公司经营中，会不可避免地主动或被动参与到侵占少数股东利益的过程中，因此面临着诉讼的风险。在没有保险的情况下，董事和高管可能不愿意与控股股东合作。因此，控股股东更倾向于购买董事和高管责任保险，以减轻董事和高管的诉讼风险，从而留住人才且侵占更多的私人利益</w:t>
      </w:r>
      <w:r w:rsidR="00A44C7A">
        <w:rPr>
          <w:rFonts w:hint="eastAsia"/>
          <w:sz w:val="24"/>
        </w:rPr>
        <w:t>（</w:t>
      </w:r>
      <w:r>
        <w:rPr>
          <w:rFonts w:hint="eastAsia"/>
          <w:sz w:val="24"/>
        </w:rPr>
        <w:t>Core</w:t>
      </w:r>
      <w:r>
        <w:rPr>
          <w:rFonts w:hint="eastAsia"/>
          <w:sz w:val="24"/>
        </w:rPr>
        <w:t>，</w:t>
      </w:r>
      <w:r>
        <w:rPr>
          <w:rFonts w:hint="eastAsia"/>
          <w:sz w:val="24"/>
        </w:rPr>
        <w:t>1997</w:t>
      </w:r>
      <w:r>
        <w:rPr>
          <w:rFonts w:hint="eastAsia"/>
          <w:sz w:val="24"/>
        </w:rPr>
        <w:t>；</w:t>
      </w:r>
      <w:r w:rsidRPr="00086241">
        <w:rPr>
          <w:rFonts w:hint="eastAsia"/>
          <w:sz w:val="24"/>
        </w:rPr>
        <w:t>Zou</w:t>
      </w:r>
      <w:r w:rsidRPr="00086241">
        <w:rPr>
          <w:rFonts w:hint="eastAsia"/>
          <w:sz w:val="24"/>
        </w:rPr>
        <w:t>等，</w:t>
      </w:r>
      <w:r w:rsidRPr="00086241">
        <w:rPr>
          <w:rFonts w:hint="eastAsia"/>
          <w:sz w:val="24"/>
        </w:rPr>
        <w:t>20</w:t>
      </w:r>
      <w:r w:rsidR="001019E8">
        <w:rPr>
          <w:rFonts w:hint="eastAsia"/>
          <w:sz w:val="24"/>
        </w:rPr>
        <w:t>08</w:t>
      </w:r>
      <w:r w:rsidRPr="00086241">
        <w:rPr>
          <w:rFonts w:hint="eastAsia"/>
          <w:sz w:val="24"/>
        </w:rPr>
        <w:t>；</w:t>
      </w:r>
      <w:r w:rsidRPr="00086241">
        <w:rPr>
          <w:sz w:val="24"/>
        </w:rPr>
        <w:t>Baker</w:t>
      </w:r>
      <w:r w:rsidR="00B92969">
        <w:rPr>
          <w:rFonts w:hint="eastAsia"/>
          <w:sz w:val="24"/>
        </w:rPr>
        <w:t>和</w:t>
      </w:r>
      <w:r w:rsidRPr="00086241">
        <w:rPr>
          <w:sz w:val="24"/>
        </w:rPr>
        <w:t>Griffith, 201</w:t>
      </w:r>
      <w:r w:rsidRPr="00086241">
        <w:rPr>
          <w:rFonts w:hint="eastAsia"/>
          <w:sz w:val="24"/>
        </w:rPr>
        <w:t>9</w:t>
      </w:r>
      <w:r w:rsidRPr="00086241">
        <w:rPr>
          <w:rFonts w:hint="eastAsia"/>
          <w:sz w:val="24"/>
        </w:rPr>
        <w:t>）。</w:t>
      </w:r>
    </w:p>
    <w:p w14:paraId="59C9824A" w14:textId="1EAE4FA2" w:rsidR="00DC49DA" w:rsidRDefault="00427373" w:rsidP="00D94887">
      <w:pPr>
        <w:spacing w:line="360" w:lineRule="auto"/>
        <w:ind w:firstLineChars="200" w:firstLine="480"/>
        <w:jc w:val="left"/>
        <w:rPr>
          <w:sz w:val="24"/>
        </w:rPr>
      </w:pPr>
      <w:r>
        <w:rPr>
          <w:rFonts w:hint="eastAsia"/>
          <w:sz w:val="24"/>
        </w:rPr>
        <w:t>管理层出于机会主义的动机也会考虑</w:t>
      </w:r>
      <w:r w:rsidR="008E596C">
        <w:rPr>
          <w:rFonts w:hint="eastAsia"/>
          <w:sz w:val="24"/>
        </w:rPr>
        <w:t>购买</w:t>
      </w:r>
      <w:r w:rsidR="00DC49DA" w:rsidRPr="00086241">
        <w:rPr>
          <w:rFonts w:hint="eastAsia"/>
          <w:sz w:val="24"/>
        </w:rPr>
        <w:t>董</w:t>
      </w:r>
      <w:proofErr w:type="gramStart"/>
      <w:r w:rsidR="00DC49DA" w:rsidRPr="00086241">
        <w:rPr>
          <w:rFonts w:hint="eastAsia"/>
          <w:sz w:val="24"/>
        </w:rPr>
        <w:t>监高责任</w:t>
      </w:r>
      <w:proofErr w:type="gramEnd"/>
      <w:r w:rsidR="00DC49DA" w:rsidRPr="00086241">
        <w:rPr>
          <w:rFonts w:hint="eastAsia"/>
          <w:sz w:val="24"/>
        </w:rPr>
        <w:t>险。以即将</w:t>
      </w:r>
      <w:r w:rsidR="00DC49DA" w:rsidRPr="00086241">
        <w:rPr>
          <w:rFonts w:hint="eastAsia"/>
          <w:sz w:val="24"/>
        </w:rPr>
        <w:t>IPO</w:t>
      </w:r>
      <w:r w:rsidR="00DC49DA" w:rsidRPr="00086241">
        <w:rPr>
          <w:rFonts w:hint="eastAsia"/>
          <w:sz w:val="24"/>
        </w:rPr>
        <w:t>的公司为例，该保险的配置需求与公司</w:t>
      </w:r>
      <w:r w:rsidR="00DC49DA" w:rsidRPr="00086241">
        <w:rPr>
          <w:rFonts w:hint="eastAsia"/>
          <w:sz w:val="24"/>
        </w:rPr>
        <w:t>IPO</w:t>
      </w:r>
      <w:r w:rsidR="00DC49DA" w:rsidRPr="00086241">
        <w:rPr>
          <w:rFonts w:hint="eastAsia"/>
          <w:sz w:val="24"/>
        </w:rPr>
        <w:t>后股市表现呈现显著的负相关关系（</w:t>
      </w:r>
      <w:r w:rsidR="00DC49DA" w:rsidRPr="00086241">
        <w:rPr>
          <w:rFonts w:hint="eastAsia"/>
          <w:sz w:val="24"/>
        </w:rPr>
        <w:t>Chalmers</w:t>
      </w:r>
      <w:r w:rsidR="00DC49DA" w:rsidRPr="00086241">
        <w:rPr>
          <w:rFonts w:hint="eastAsia"/>
          <w:sz w:val="24"/>
        </w:rPr>
        <w:t>等，</w:t>
      </w:r>
      <w:r w:rsidR="00DC49DA" w:rsidRPr="00086241">
        <w:rPr>
          <w:rFonts w:hint="eastAsia"/>
          <w:sz w:val="24"/>
        </w:rPr>
        <w:t>2002</w:t>
      </w:r>
      <w:r w:rsidR="00DC49DA" w:rsidRPr="00086241">
        <w:rPr>
          <w:rFonts w:hint="eastAsia"/>
          <w:sz w:val="24"/>
        </w:rPr>
        <w:t>）。这主要是出于管理层的机会主义行为：由于管理</w:t>
      </w:r>
      <w:proofErr w:type="gramStart"/>
      <w:r w:rsidR="00DC49DA" w:rsidRPr="00086241">
        <w:rPr>
          <w:rFonts w:hint="eastAsia"/>
          <w:sz w:val="24"/>
        </w:rPr>
        <w:t>层拥有</w:t>
      </w:r>
      <w:proofErr w:type="gramEnd"/>
      <w:r w:rsidR="00DC49DA" w:rsidRPr="00086241">
        <w:rPr>
          <w:rFonts w:hint="eastAsia"/>
          <w:sz w:val="24"/>
        </w:rPr>
        <w:t>更多信息优势，其出于理性思考会偏好在外界高估公司实际价值时将公司股票卖出。而估值泡沫会在随后几年被股东识破，股东有可能会对管理层提起诉讼。而管理层害怕被</w:t>
      </w:r>
      <w:proofErr w:type="gramStart"/>
      <w:r w:rsidR="00DC49DA" w:rsidRPr="00086241">
        <w:rPr>
          <w:rFonts w:hint="eastAsia"/>
          <w:sz w:val="24"/>
        </w:rPr>
        <w:t>讨伐高</w:t>
      </w:r>
      <w:proofErr w:type="gramEnd"/>
      <w:r w:rsidR="00DC49DA" w:rsidRPr="00086241">
        <w:rPr>
          <w:rFonts w:hint="eastAsia"/>
          <w:sz w:val="24"/>
        </w:rPr>
        <w:t>估值，因此更倾向购买</w:t>
      </w:r>
      <w:r w:rsidR="008E596C" w:rsidRPr="00086241">
        <w:rPr>
          <w:rFonts w:hint="eastAsia"/>
          <w:sz w:val="24"/>
        </w:rPr>
        <w:t>董</w:t>
      </w:r>
      <w:proofErr w:type="gramStart"/>
      <w:r w:rsidR="008E596C" w:rsidRPr="00086241">
        <w:rPr>
          <w:rFonts w:hint="eastAsia"/>
          <w:sz w:val="24"/>
        </w:rPr>
        <w:t>监高责任</w:t>
      </w:r>
      <w:proofErr w:type="gramEnd"/>
      <w:r w:rsidR="008E596C" w:rsidRPr="00086241">
        <w:rPr>
          <w:rFonts w:hint="eastAsia"/>
          <w:sz w:val="24"/>
        </w:rPr>
        <w:t>险</w:t>
      </w:r>
      <w:r w:rsidR="00DC49DA" w:rsidRPr="00086241">
        <w:rPr>
          <w:rFonts w:hint="eastAsia"/>
          <w:sz w:val="24"/>
        </w:rPr>
        <w:t>。</w:t>
      </w:r>
    </w:p>
    <w:p w14:paraId="3E48C9BF" w14:textId="5B9B019F" w:rsidR="00427373" w:rsidRDefault="00FA0E89" w:rsidP="00D94887">
      <w:pPr>
        <w:spacing w:line="360" w:lineRule="auto"/>
        <w:ind w:firstLineChars="200" w:firstLine="480"/>
        <w:jc w:val="left"/>
        <w:rPr>
          <w:sz w:val="24"/>
        </w:rPr>
      </w:pPr>
      <w:proofErr w:type="gramStart"/>
      <w:r>
        <w:rPr>
          <w:rFonts w:hint="eastAsia"/>
          <w:sz w:val="24"/>
        </w:rPr>
        <w:t>董监高的</w:t>
      </w:r>
      <w:proofErr w:type="gramEnd"/>
      <w:r w:rsidR="00427373">
        <w:rPr>
          <w:rFonts w:hint="eastAsia"/>
          <w:sz w:val="24"/>
        </w:rPr>
        <w:t>社会关系也</w:t>
      </w:r>
      <w:r w:rsidR="008E596C">
        <w:rPr>
          <w:rFonts w:hint="eastAsia"/>
          <w:sz w:val="24"/>
        </w:rPr>
        <w:t>是影响保险</w:t>
      </w:r>
      <w:r w:rsidR="00D473F8">
        <w:rPr>
          <w:rFonts w:hint="eastAsia"/>
          <w:sz w:val="24"/>
        </w:rPr>
        <w:t>投保意向</w:t>
      </w:r>
      <w:r w:rsidR="008E596C">
        <w:rPr>
          <w:rFonts w:hint="eastAsia"/>
          <w:sz w:val="24"/>
        </w:rPr>
        <w:t>的重要</w:t>
      </w:r>
      <w:r w:rsidR="00427373">
        <w:rPr>
          <w:rFonts w:hint="eastAsia"/>
          <w:sz w:val="24"/>
        </w:rPr>
        <w:t>动机。</w:t>
      </w:r>
      <w:r w:rsidR="00427373">
        <w:rPr>
          <w:rFonts w:hint="eastAsia"/>
          <w:sz w:val="24"/>
        </w:rPr>
        <w:t>Hu</w:t>
      </w:r>
      <w:r w:rsidR="00427373">
        <w:rPr>
          <w:rFonts w:hint="eastAsia"/>
          <w:sz w:val="24"/>
        </w:rPr>
        <w:t>和</w:t>
      </w:r>
      <w:r w:rsidR="00427373">
        <w:rPr>
          <w:rFonts w:hint="eastAsia"/>
          <w:sz w:val="24"/>
        </w:rPr>
        <w:t>Fang</w:t>
      </w:r>
      <w:r w:rsidR="00427373">
        <w:rPr>
          <w:rFonts w:hint="eastAsia"/>
          <w:sz w:val="24"/>
        </w:rPr>
        <w:lastRenderedPageBreak/>
        <w:t>（</w:t>
      </w:r>
      <w:r w:rsidR="00427373">
        <w:rPr>
          <w:rFonts w:hint="eastAsia"/>
          <w:sz w:val="24"/>
        </w:rPr>
        <w:t>2022</w:t>
      </w:r>
      <w:r w:rsidR="00427373">
        <w:rPr>
          <w:rFonts w:hint="eastAsia"/>
          <w:sz w:val="24"/>
        </w:rPr>
        <w:t>）研究发现</w:t>
      </w:r>
      <w:r>
        <w:rPr>
          <w:rFonts w:hint="eastAsia"/>
          <w:sz w:val="24"/>
        </w:rPr>
        <w:t>，若两家企业的高管是校友，则共同配置董</w:t>
      </w:r>
      <w:proofErr w:type="gramStart"/>
      <w:r>
        <w:rPr>
          <w:rFonts w:hint="eastAsia"/>
          <w:sz w:val="24"/>
        </w:rPr>
        <w:t>监高责任</w:t>
      </w:r>
      <w:proofErr w:type="gramEnd"/>
      <w:r>
        <w:rPr>
          <w:rFonts w:hint="eastAsia"/>
          <w:sz w:val="24"/>
        </w:rPr>
        <w:t>险的概率更高，即</w:t>
      </w:r>
      <w:r w:rsidR="00F74053">
        <w:rPr>
          <w:rFonts w:hint="eastAsia"/>
          <w:sz w:val="24"/>
        </w:rPr>
        <w:t>彼此参照和效仿对方的保险配置。特别是在市场化程度越高的环境中，信息交流和迭代更快，</w:t>
      </w:r>
      <w:r w:rsidR="00A44C7A">
        <w:rPr>
          <w:rFonts w:hint="eastAsia"/>
          <w:sz w:val="24"/>
        </w:rPr>
        <w:t>这种正向作用会更加明显</w:t>
      </w:r>
      <w:r w:rsidR="00F74053">
        <w:rPr>
          <w:rFonts w:hint="eastAsia"/>
          <w:sz w:val="24"/>
        </w:rPr>
        <w:t>。</w:t>
      </w:r>
    </w:p>
    <w:p w14:paraId="6904D898" w14:textId="19B436E0" w:rsidR="00FA0E89" w:rsidRDefault="00FA0E89" w:rsidP="00FA0E89">
      <w:pPr>
        <w:spacing w:line="360" w:lineRule="auto"/>
        <w:ind w:firstLineChars="200" w:firstLine="480"/>
        <w:jc w:val="left"/>
        <w:rPr>
          <w:sz w:val="24"/>
        </w:rPr>
      </w:pPr>
      <w:r>
        <w:rPr>
          <w:rFonts w:hint="eastAsia"/>
          <w:sz w:val="24"/>
        </w:rPr>
        <w:t>政治关联显著</w:t>
      </w:r>
      <w:r w:rsidR="008E596C">
        <w:rPr>
          <w:rFonts w:hint="eastAsia"/>
          <w:sz w:val="24"/>
        </w:rPr>
        <w:t>抑制</w:t>
      </w:r>
      <w:r>
        <w:rPr>
          <w:rFonts w:hint="eastAsia"/>
          <w:sz w:val="24"/>
        </w:rPr>
        <w:t>董</w:t>
      </w:r>
      <w:proofErr w:type="gramStart"/>
      <w:r>
        <w:rPr>
          <w:rFonts w:hint="eastAsia"/>
          <w:sz w:val="24"/>
        </w:rPr>
        <w:t>监高责任</w:t>
      </w:r>
      <w:proofErr w:type="gramEnd"/>
      <w:r>
        <w:rPr>
          <w:rFonts w:hint="eastAsia"/>
          <w:sz w:val="24"/>
        </w:rPr>
        <w:t>险的</w:t>
      </w:r>
      <w:r w:rsidR="00D473F8">
        <w:rPr>
          <w:rFonts w:hint="eastAsia"/>
          <w:sz w:val="24"/>
        </w:rPr>
        <w:t>投保意向</w:t>
      </w:r>
      <w:r>
        <w:rPr>
          <w:rFonts w:hint="eastAsia"/>
          <w:sz w:val="24"/>
        </w:rPr>
        <w:t>。</w:t>
      </w:r>
      <w:r>
        <w:rPr>
          <w:rFonts w:hint="eastAsia"/>
          <w:sz w:val="24"/>
        </w:rPr>
        <w:t>Jia</w:t>
      </w:r>
      <w:r>
        <w:rPr>
          <w:rFonts w:hint="eastAsia"/>
          <w:sz w:val="24"/>
        </w:rPr>
        <w:t>等（</w:t>
      </w:r>
      <w:r>
        <w:rPr>
          <w:rFonts w:hint="eastAsia"/>
          <w:sz w:val="24"/>
        </w:rPr>
        <w:t>2019</w:t>
      </w:r>
      <w:r>
        <w:rPr>
          <w:rFonts w:hint="eastAsia"/>
          <w:sz w:val="24"/>
        </w:rPr>
        <w:t>）研究发现</w:t>
      </w:r>
      <w:r w:rsidR="00443308">
        <w:rPr>
          <w:rFonts w:hint="eastAsia"/>
          <w:sz w:val="24"/>
        </w:rPr>
        <w:t>当</w:t>
      </w:r>
      <w:r w:rsidR="00443308">
        <w:rPr>
          <w:rFonts w:hint="eastAsia"/>
          <w:sz w:val="24"/>
        </w:rPr>
        <w:t>CEO</w:t>
      </w:r>
      <w:r w:rsidR="00443308">
        <w:rPr>
          <w:rFonts w:hint="eastAsia"/>
          <w:sz w:val="24"/>
        </w:rPr>
        <w:t>曾担任或正在担任政府部门高级职位时，公司被起诉的概率和起诉后</w:t>
      </w:r>
      <w:r w:rsidR="00FB770C">
        <w:rPr>
          <w:rFonts w:hint="eastAsia"/>
          <w:sz w:val="24"/>
        </w:rPr>
        <w:t>败诉</w:t>
      </w:r>
      <w:r w:rsidR="00443308">
        <w:rPr>
          <w:rFonts w:hint="eastAsia"/>
          <w:sz w:val="24"/>
        </w:rPr>
        <w:t>的概率更</w:t>
      </w:r>
      <w:r w:rsidR="00FB770C">
        <w:rPr>
          <w:rFonts w:hint="eastAsia"/>
          <w:sz w:val="24"/>
        </w:rPr>
        <w:t>低</w:t>
      </w:r>
      <w:r w:rsidR="00443308">
        <w:rPr>
          <w:rFonts w:hint="eastAsia"/>
          <w:sz w:val="24"/>
        </w:rPr>
        <w:t>，进而降低诉讼风险，</w:t>
      </w:r>
      <w:r>
        <w:rPr>
          <w:rFonts w:hint="eastAsia"/>
          <w:sz w:val="24"/>
        </w:rPr>
        <w:t>削弱其配置保险的动机。而在市场和法律环境好的地区，这种负向作用被削减。</w:t>
      </w:r>
    </w:p>
    <w:p w14:paraId="09B3DD00" w14:textId="1B12B9E3" w:rsidR="00CD2947" w:rsidRDefault="00CD2947" w:rsidP="00FA0E89">
      <w:pPr>
        <w:spacing w:line="360" w:lineRule="auto"/>
        <w:ind w:firstLineChars="200" w:firstLine="480"/>
        <w:jc w:val="left"/>
        <w:rPr>
          <w:sz w:val="24"/>
        </w:rPr>
      </w:pPr>
      <w:r>
        <w:rPr>
          <w:rFonts w:hint="eastAsia"/>
          <w:sz w:val="24"/>
        </w:rPr>
        <w:t>综上所述，学界</w:t>
      </w:r>
      <w:r w:rsidR="00523C35">
        <w:rPr>
          <w:rFonts w:hint="eastAsia"/>
          <w:sz w:val="24"/>
        </w:rPr>
        <w:t>对董</w:t>
      </w:r>
      <w:proofErr w:type="gramStart"/>
      <w:r w:rsidR="00523C35">
        <w:rPr>
          <w:rFonts w:hint="eastAsia"/>
          <w:sz w:val="24"/>
        </w:rPr>
        <w:t>监高责任</w:t>
      </w:r>
      <w:proofErr w:type="gramEnd"/>
      <w:r w:rsidR="00523C35">
        <w:rPr>
          <w:rFonts w:hint="eastAsia"/>
          <w:sz w:val="24"/>
        </w:rPr>
        <w:t>险</w:t>
      </w:r>
      <w:r w:rsidR="008E596C">
        <w:rPr>
          <w:rFonts w:hint="eastAsia"/>
          <w:sz w:val="24"/>
        </w:rPr>
        <w:t>购买动机</w:t>
      </w:r>
      <w:r w:rsidR="00523C35">
        <w:rPr>
          <w:rFonts w:hint="eastAsia"/>
          <w:sz w:val="24"/>
        </w:rPr>
        <w:t>的研究，主要</w:t>
      </w:r>
      <w:r>
        <w:rPr>
          <w:rFonts w:hint="eastAsia"/>
          <w:sz w:val="24"/>
        </w:rPr>
        <w:t>关注诉讼风险</w:t>
      </w:r>
      <w:r w:rsidR="00523C35">
        <w:rPr>
          <w:rFonts w:hint="eastAsia"/>
          <w:sz w:val="24"/>
        </w:rPr>
        <w:t>和</w:t>
      </w:r>
      <w:r>
        <w:rPr>
          <w:rFonts w:hint="eastAsia"/>
          <w:sz w:val="24"/>
        </w:rPr>
        <w:t>双重委托代理</w:t>
      </w:r>
      <w:r w:rsidR="00523C35">
        <w:rPr>
          <w:rFonts w:hint="eastAsia"/>
          <w:sz w:val="24"/>
        </w:rPr>
        <w:t>冲突，</w:t>
      </w:r>
      <w:r>
        <w:rPr>
          <w:rFonts w:hint="eastAsia"/>
          <w:sz w:val="24"/>
        </w:rPr>
        <w:t>近几年也引入了政治关联、社会关系等</w:t>
      </w:r>
      <w:r w:rsidR="00523C35">
        <w:rPr>
          <w:rFonts w:hint="eastAsia"/>
          <w:sz w:val="24"/>
        </w:rPr>
        <w:t>新视角</w:t>
      </w:r>
      <w:r>
        <w:rPr>
          <w:rFonts w:hint="eastAsia"/>
          <w:sz w:val="24"/>
        </w:rPr>
        <w:t>。</w:t>
      </w:r>
      <w:r w:rsidR="00523C35">
        <w:rPr>
          <w:rFonts w:hint="eastAsia"/>
          <w:sz w:val="24"/>
        </w:rPr>
        <w:t>目前，大多研究围绕公司是否购买董</w:t>
      </w:r>
      <w:proofErr w:type="gramStart"/>
      <w:r w:rsidR="00523C35">
        <w:rPr>
          <w:rFonts w:hint="eastAsia"/>
          <w:sz w:val="24"/>
        </w:rPr>
        <w:t>监高责任</w:t>
      </w:r>
      <w:proofErr w:type="gramEnd"/>
      <w:r w:rsidR="00523C35">
        <w:rPr>
          <w:rFonts w:hint="eastAsia"/>
          <w:sz w:val="24"/>
        </w:rPr>
        <w:t>险这一变量设定，尚未深入拓展至保额设定、条款细则等相关维度，这也与数据的可得性和信息的透明度有关。并且，专门讨论董</w:t>
      </w:r>
      <w:proofErr w:type="gramStart"/>
      <w:r w:rsidR="00523C35">
        <w:rPr>
          <w:rFonts w:hint="eastAsia"/>
          <w:sz w:val="24"/>
        </w:rPr>
        <w:t>监高责任</w:t>
      </w:r>
      <w:proofErr w:type="gramEnd"/>
      <w:r w:rsidR="00523C35">
        <w:rPr>
          <w:rFonts w:hint="eastAsia"/>
          <w:sz w:val="24"/>
        </w:rPr>
        <w:t>险</w:t>
      </w:r>
      <w:r w:rsidR="008E596C">
        <w:rPr>
          <w:rFonts w:hint="eastAsia"/>
          <w:sz w:val="24"/>
        </w:rPr>
        <w:t>购买动机</w:t>
      </w:r>
      <w:r w:rsidR="00523C35">
        <w:rPr>
          <w:rFonts w:hint="eastAsia"/>
          <w:sz w:val="24"/>
        </w:rPr>
        <w:t>的文献数量较少。</w:t>
      </w:r>
      <w:r>
        <w:rPr>
          <w:rFonts w:hint="eastAsia"/>
          <w:sz w:val="24"/>
        </w:rPr>
        <w:t>然而，研究</w:t>
      </w:r>
      <w:r w:rsidR="00523C35">
        <w:rPr>
          <w:rFonts w:hint="eastAsia"/>
          <w:sz w:val="24"/>
        </w:rPr>
        <w:t>保险</w:t>
      </w:r>
      <w:r w:rsidR="008E596C">
        <w:rPr>
          <w:rFonts w:hint="eastAsia"/>
          <w:sz w:val="24"/>
        </w:rPr>
        <w:t>购买动机</w:t>
      </w:r>
      <w:r w:rsidR="00523C35">
        <w:rPr>
          <w:rFonts w:hint="eastAsia"/>
          <w:sz w:val="24"/>
        </w:rPr>
        <w:t>的</w:t>
      </w:r>
      <w:r>
        <w:rPr>
          <w:rFonts w:hint="eastAsia"/>
          <w:sz w:val="24"/>
        </w:rPr>
        <w:t>意义重大，因为这能让企业和监管部门关注配置的差异化、让保</w:t>
      </w:r>
      <w:proofErr w:type="gramStart"/>
      <w:r>
        <w:rPr>
          <w:rFonts w:hint="eastAsia"/>
          <w:sz w:val="24"/>
        </w:rPr>
        <w:t>司关注</w:t>
      </w:r>
      <w:proofErr w:type="gramEnd"/>
      <w:r w:rsidR="00523C35">
        <w:rPr>
          <w:rFonts w:hint="eastAsia"/>
          <w:sz w:val="24"/>
        </w:rPr>
        <w:t>合同设计</w:t>
      </w:r>
      <w:r>
        <w:rPr>
          <w:rFonts w:hint="eastAsia"/>
          <w:sz w:val="24"/>
        </w:rPr>
        <w:t>的差异化</w:t>
      </w:r>
      <w:r w:rsidR="00523C35">
        <w:rPr>
          <w:rFonts w:hint="eastAsia"/>
          <w:sz w:val="24"/>
        </w:rPr>
        <w:t>，进而设计和使用更优质的保险合同</w:t>
      </w:r>
      <w:r>
        <w:rPr>
          <w:rFonts w:hint="eastAsia"/>
          <w:sz w:val="24"/>
        </w:rPr>
        <w:t>。</w:t>
      </w:r>
    </w:p>
    <w:p w14:paraId="022B4D60" w14:textId="1288E0D8" w:rsidR="00CD27C5" w:rsidRPr="00C74EB6" w:rsidRDefault="0006721A" w:rsidP="00C74EB6">
      <w:pPr>
        <w:pStyle w:val="2"/>
      </w:pPr>
      <w:bookmarkStart w:id="63" w:name="_Toc191420738"/>
      <w:bookmarkStart w:id="64" w:name="_Toc191574109"/>
      <w:bookmarkStart w:id="65" w:name="_Toc198286980"/>
      <w:bookmarkEnd w:id="62"/>
      <w:r w:rsidRPr="00C74EB6">
        <w:rPr>
          <w:rFonts w:hint="eastAsia"/>
        </w:rPr>
        <w:t>理论基础与研究假设</w:t>
      </w:r>
      <w:bookmarkEnd w:id="63"/>
      <w:bookmarkEnd w:id="64"/>
      <w:bookmarkEnd w:id="65"/>
    </w:p>
    <w:p w14:paraId="29AE46A1" w14:textId="0A072977" w:rsidR="004D24AB" w:rsidRPr="00C74EB6" w:rsidRDefault="00D4430C" w:rsidP="00C74EB6">
      <w:pPr>
        <w:pStyle w:val="3"/>
      </w:pPr>
      <w:bookmarkStart w:id="66" w:name="_Toc191574110"/>
      <w:bookmarkStart w:id="67" w:name="_Toc198286981"/>
      <w:r w:rsidRPr="00C74EB6">
        <w:rPr>
          <w:rFonts w:hint="eastAsia"/>
        </w:rPr>
        <w:t>理论基础</w:t>
      </w:r>
      <w:bookmarkEnd w:id="66"/>
      <w:bookmarkEnd w:id="67"/>
    </w:p>
    <w:p w14:paraId="4A8EBF0B" w14:textId="201CA56E" w:rsidR="005940F7" w:rsidRPr="00C74EB6" w:rsidRDefault="007E6FB3" w:rsidP="00DA3709">
      <w:pPr>
        <w:spacing w:line="360" w:lineRule="auto"/>
        <w:jc w:val="left"/>
        <w:rPr>
          <w:sz w:val="24"/>
        </w:rPr>
      </w:pPr>
      <w:r w:rsidRPr="00C74EB6">
        <w:rPr>
          <w:rFonts w:hint="eastAsia"/>
          <w:sz w:val="24"/>
        </w:rPr>
        <w:t>（一）双重委托代理理论</w:t>
      </w:r>
    </w:p>
    <w:p w14:paraId="4F9848D6" w14:textId="2F809E58" w:rsidR="007E6FB3" w:rsidRPr="00C74EB6" w:rsidRDefault="007E6FB3" w:rsidP="004D24AB">
      <w:pPr>
        <w:spacing w:line="360" w:lineRule="auto"/>
        <w:ind w:firstLineChars="200" w:firstLine="480"/>
        <w:jc w:val="left"/>
        <w:rPr>
          <w:sz w:val="24"/>
        </w:rPr>
      </w:pPr>
      <w:r w:rsidRPr="00C74EB6">
        <w:rPr>
          <w:rFonts w:hint="eastAsia"/>
          <w:sz w:val="24"/>
        </w:rPr>
        <w:t>双重委托代理理论源于两类异质性冲突，第一类为股东与管理层之间的</w:t>
      </w:r>
      <w:r w:rsidR="00A0182D" w:rsidRPr="00C74EB6">
        <w:rPr>
          <w:rFonts w:hint="eastAsia"/>
          <w:sz w:val="24"/>
        </w:rPr>
        <w:t>效用函数</w:t>
      </w:r>
      <w:r w:rsidRPr="00C74EB6">
        <w:rPr>
          <w:rFonts w:hint="eastAsia"/>
          <w:sz w:val="24"/>
        </w:rPr>
        <w:t>背离，第二类为控股股东对少数股东的控制权私利侵占。</w:t>
      </w:r>
    </w:p>
    <w:p w14:paraId="42ED90EB" w14:textId="0F93528E" w:rsidR="00A0182D" w:rsidRPr="00C74EB6" w:rsidRDefault="006D425D" w:rsidP="00A0182D">
      <w:pPr>
        <w:spacing w:line="360" w:lineRule="auto"/>
        <w:ind w:firstLineChars="200" w:firstLine="480"/>
        <w:jc w:val="left"/>
        <w:rPr>
          <w:sz w:val="24"/>
        </w:rPr>
      </w:pPr>
      <w:r w:rsidRPr="00C74EB6">
        <w:rPr>
          <w:rFonts w:hint="eastAsia"/>
          <w:sz w:val="24"/>
        </w:rPr>
        <w:t>传统委托代理问题源于</w:t>
      </w:r>
      <w:r w:rsidR="001C49A4" w:rsidRPr="00C74EB6">
        <w:rPr>
          <w:rFonts w:hint="eastAsia"/>
          <w:sz w:val="24"/>
        </w:rPr>
        <w:t>股权高度分散下</w:t>
      </w:r>
      <w:r w:rsidR="004D24AB" w:rsidRPr="00C74EB6">
        <w:rPr>
          <w:rFonts w:hint="eastAsia"/>
          <w:sz w:val="24"/>
        </w:rPr>
        <w:t>经营权与所有权</w:t>
      </w:r>
      <w:r w:rsidR="001C49A4" w:rsidRPr="00C74EB6">
        <w:rPr>
          <w:rFonts w:hint="eastAsia"/>
          <w:sz w:val="24"/>
        </w:rPr>
        <w:t>的</w:t>
      </w:r>
      <w:r w:rsidR="004D24AB" w:rsidRPr="00C74EB6">
        <w:rPr>
          <w:rFonts w:hint="eastAsia"/>
          <w:sz w:val="24"/>
        </w:rPr>
        <w:t>分离，股东逆向选择和管理</w:t>
      </w:r>
      <w:proofErr w:type="gramStart"/>
      <w:r w:rsidR="004D24AB" w:rsidRPr="00C74EB6">
        <w:rPr>
          <w:rFonts w:hint="eastAsia"/>
          <w:sz w:val="24"/>
        </w:rPr>
        <w:t>层道德</w:t>
      </w:r>
      <w:proofErr w:type="gramEnd"/>
      <w:r w:rsidR="004D24AB" w:rsidRPr="00C74EB6">
        <w:rPr>
          <w:rFonts w:hint="eastAsia"/>
          <w:sz w:val="24"/>
        </w:rPr>
        <w:t>风险</w:t>
      </w:r>
      <w:r w:rsidR="001C49A4" w:rsidRPr="00C74EB6">
        <w:rPr>
          <w:rFonts w:hint="eastAsia"/>
          <w:sz w:val="24"/>
        </w:rPr>
        <w:t>造成</w:t>
      </w:r>
      <w:r w:rsidR="00A0182D" w:rsidRPr="00C74EB6">
        <w:rPr>
          <w:rFonts w:hint="eastAsia"/>
          <w:sz w:val="24"/>
        </w:rPr>
        <w:t>股东和管理层之间的</w:t>
      </w:r>
      <w:r w:rsidR="001C49A4" w:rsidRPr="00C74EB6">
        <w:rPr>
          <w:rFonts w:hint="eastAsia"/>
          <w:sz w:val="24"/>
        </w:rPr>
        <w:t>利益冲突</w:t>
      </w:r>
      <w:r w:rsidR="00A0182D" w:rsidRPr="00C74EB6">
        <w:rPr>
          <w:rFonts w:hint="eastAsia"/>
          <w:sz w:val="24"/>
        </w:rPr>
        <w:t>（</w:t>
      </w:r>
      <w:r w:rsidR="00C756F7" w:rsidRPr="00C74EB6">
        <w:rPr>
          <w:rFonts w:hint="eastAsia"/>
          <w:sz w:val="24"/>
        </w:rPr>
        <w:t>Meckling</w:t>
      </w:r>
      <w:r w:rsidR="00C756F7" w:rsidRPr="00C74EB6">
        <w:rPr>
          <w:rFonts w:hint="eastAsia"/>
          <w:sz w:val="24"/>
        </w:rPr>
        <w:t>和</w:t>
      </w:r>
      <w:r w:rsidR="00A0182D" w:rsidRPr="00C74EB6">
        <w:rPr>
          <w:rFonts w:hint="eastAsia"/>
          <w:sz w:val="24"/>
        </w:rPr>
        <w:t>Jensen</w:t>
      </w:r>
      <w:r w:rsidR="00C756F7" w:rsidRPr="00C74EB6">
        <w:rPr>
          <w:rFonts w:hint="eastAsia"/>
          <w:sz w:val="24"/>
        </w:rPr>
        <w:t>，</w:t>
      </w:r>
      <w:r w:rsidR="00A0182D" w:rsidRPr="00C74EB6">
        <w:rPr>
          <w:rFonts w:hint="eastAsia"/>
          <w:sz w:val="24"/>
        </w:rPr>
        <w:t>1976</w:t>
      </w:r>
      <w:r w:rsidR="00A0182D" w:rsidRPr="00C74EB6">
        <w:rPr>
          <w:rFonts w:hint="eastAsia"/>
          <w:sz w:val="24"/>
        </w:rPr>
        <w:t>）</w:t>
      </w:r>
      <w:r w:rsidR="004D24AB" w:rsidRPr="00C74EB6">
        <w:rPr>
          <w:rFonts w:hint="eastAsia"/>
          <w:sz w:val="24"/>
        </w:rPr>
        <w:t>。能力不足或动机不纯的低质量管理者，可能通过夸大自身能力、</w:t>
      </w:r>
      <w:proofErr w:type="gramStart"/>
      <w:r w:rsidR="004D24AB" w:rsidRPr="00C74EB6">
        <w:rPr>
          <w:rFonts w:hint="eastAsia"/>
          <w:sz w:val="24"/>
        </w:rPr>
        <w:t>作出</w:t>
      </w:r>
      <w:proofErr w:type="gramEnd"/>
      <w:r w:rsidR="004D24AB" w:rsidRPr="00C74EB6">
        <w:rPr>
          <w:rFonts w:hint="eastAsia"/>
          <w:sz w:val="24"/>
        </w:rPr>
        <w:t>短期承诺来吸引股东；而真正有能力的候选人或许因要求更高的薪酬、更长期的激励，或不愿意参与短期业绩粉饰而遭忽视。股东因难以全面了解管理层的能力、努力程度和动机，最终可能选择低质量管理者，致使高质量管理者退出市场。管理者</w:t>
      </w:r>
      <w:r w:rsidR="0012372C">
        <w:rPr>
          <w:rFonts w:hint="eastAsia"/>
          <w:sz w:val="24"/>
        </w:rPr>
        <w:t>属于</w:t>
      </w:r>
      <w:r w:rsidR="004D24AB" w:rsidRPr="00C74EB6">
        <w:rPr>
          <w:rFonts w:hint="eastAsia"/>
          <w:sz w:val="24"/>
        </w:rPr>
        <w:t>理性</w:t>
      </w:r>
      <w:proofErr w:type="gramStart"/>
      <w:r w:rsidR="004D24AB" w:rsidRPr="00C74EB6">
        <w:rPr>
          <w:rFonts w:hint="eastAsia"/>
          <w:sz w:val="24"/>
        </w:rPr>
        <w:t>经济人</w:t>
      </w:r>
      <w:proofErr w:type="gramEnd"/>
      <w:r w:rsidR="0012372C">
        <w:rPr>
          <w:rFonts w:hint="eastAsia"/>
          <w:sz w:val="24"/>
        </w:rPr>
        <w:t>范畴</w:t>
      </w:r>
      <w:r w:rsidR="004D24AB" w:rsidRPr="00C74EB6">
        <w:rPr>
          <w:rFonts w:hint="eastAsia"/>
          <w:sz w:val="24"/>
        </w:rPr>
        <w:t>，</w:t>
      </w:r>
      <w:r w:rsidR="0012372C">
        <w:rPr>
          <w:rFonts w:hint="eastAsia"/>
          <w:sz w:val="24"/>
        </w:rPr>
        <w:t>有着</w:t>
      </w:r>
      <w:r w:rsidR="004D24AB" w:rsidRPr="00C74EB6">
        <w:rPr>
          <w:rFonts w:hint="eastAsia"/>
          <w:sz w:val="24"/>
        </w:rPr>
        <w:t>追求自身利益最大化的</w:t>
      </w:r>
      <w:r w:rsidR="0012372C">
        <w:rPr>
          <w:rFonts w:hint="eastAsia"/>
          <w:sz w:val="24"/>
        </w:rPr>
        <w:t>内在驱动力</w:t>
      </w:r>
      <w:r w:rsidR="004D24AB" w:rsidRPr="00C74EB6">
        <w:rPr>
          <w:rFonts w:hint="eastAsia"/>
          <w:sz w:val="24"/>
        </w:rPr>
        <w:t>。在有限的任期内，</w:t>
      </w:r>
      <w:r w:rsidR="007E6FB3" w:rsidRPr="00C74EB6">
        <w:rPr>
          <w:rFonts w:hint="eastAsia"/>
          <w:sz w:val="24"/>
        </w:rPr>
        <w:t>他们</w:t>
      </w:r>
      <w:r w:rsidR="004D24AB" w:rsidRPr="00C74EB6">
        <w:rPr>
          <w:rFonts w:hint="eastAsia"/>
          <w:sz w:val="24"/>
        </w:rPr>
        <w:t>可能</w:t>
      </w:r>
      <w:proofErr w:type="gramStart"/>
      <w:r w:rsidR="004D24AB" w:rsidRPr="00C74EB6">
        <w:rPr>
          <w:rFonts w:hint="eastAsia"/>
          <w:sz w:val="24"/>
        </w:rPr>
        <w:t>凭借管理</w:t>
      </w:r>
      <w:proofErr w:type="gramEnd"/>
      <w:r w:rsidR="004D24AB" w:rsidRPr="00C74EB6">
        <w:rPr>
          <w:rFonts w:hint="eastAsia"/>
          <w:sz w:val="24"/>
        </w:rPr>
        <w:t>权利，</w:t>
      </w:r>
      <w:r w:rsidR="00F75212">
        <w:rPr>
          <w:rFonts w:hint="eastAsia"/>
          <w:sz w:val="24"/>
        </w:rPr>
        <w:t>从事超出必要范围的职务消费、</w:t>
      </w:r>
      <w:r w:rsidR="00A0182D" w:rsidRPr="00C74EB6">
        <w:rPr>
          <w:rFonts w:hint="eastAsia"/>
          <w:sz w:val="24"/>
        </w:rPr>
        <w:t>非效率投资、</w:t>
      </w:r>
      <w:r w:rsidR="00F75212">
        <w:rPr>
          <w:rFonts w:hint="eastAsia"/>
          <w:sz w:val="24"/>
        </w:rPr>
        <w:t>追求个人商业扩张等自利行为，最终损害了股东利益</w:t>
      </w:r>
      <w:r w:rsidR="005D3973" w:rsidRPr="00C74EB6">
        <w:rPr>
          <w:rFonts w:hint="eastAsia"/>
          <w:sz w:val="24"/>
        </w:rPr>
        <w:t>。例如，</w:t>
      </w:r>
      <w:r w:rsidR="005D3973" w:rsidRPr="00C74EB6">
        <w:rPr>
          <w:rFonts w:hint="eastAsia"/>
          <w:sz w:val="24"/>
        </w:rPr>
        <w:t xml:space="preserve"> </w:t>
      </w:r>
      <w:r w:rsidR="005D3973" w:rsidRPr="00C74EB6">
        <w:rPr>
          <w:rFonts w:hint="eastAsia"/>
          <w:sz w:val="24"/>
        </w:rPr>
        <w:t>高管通过调整业绩预测发布的信息含量和披露窗口人为影响</w:t>
      </w:r>
      <w:r w:rsidR="006C7CE0" w:rsidRPr="00C74EB6">
        <w:rPr>
          <w:rFonts w:hint="eastAsia"/>
          <w:sz w:val="24"/>
        </w:rPr>
        <w:t>股价，</w:t>
      </w:r>
      <w:r w:rsidR="005D3973" w:rsidRPr="00C74EB6">
        <w:rPr>
          <w:rFonts w:hint="eastAsia"/>
          <w:sz w:val="24"/>
        </w:rPr>
        <w:t>进而</w:t>
      </w:r>
      <w:r w:rsidR="005D3973" w:rsidRPr="00C74EB6">
        <w:rPr>
          <w:rFonts w:hint="eastAsia"/>
          <w:sz w:val="24"/>
        </w:rPr>
        <w:lastRenderedPageBreak/>
        <w:t>形成有利于自己买卖交易的股价水平（</w:t>
      </w:r>
      <w:proofErr w:type="gramStart"/>
      <w:r w:rsidR="005D3973" w:rsidRPr="00C74EB6">
        <w:rPr>
          <w:rFonts w:hint="eastAsia"/>
          <w:sz w:val="24"/>
        </w:rPr>
        <w:t>李欢和</w:t>
      </w:r>
      <w:proofErr w:type="gramEnd"/>
      <w:r w:rsidR="005D3973" w:rsidRPr="00C74EB6">
        <w:rPr>
          <w:rFonts w:hint="eastAsia"/>
          <w:sz w:val="24"/>
        </w:rPr>
        <w:t>罗婷，</w:t>
      </w:r>
      <w:r w:rsidR="005D3973" w:rsidRPr="00C74EB6">
        <w:rPr>
          <w:rFonts w:hint="eastAsia"/>
          <w:sz w:val="24"/>
        </w:rPr>
        <w:t>2016</w:t>
      </w:r>
      <w:r w:rsidR="005D3973" w:rsidRPr="00C74EB6">
        <w:rPr>
          <w:rFonts w:hint="eastAsia"/>
          <w:sz w:val="24"/>
        </w:rPr>
        <w:t>）。</w:t>
      </w:r>
    </w:p>
    <w:p w14:paraId="7BE37496" w14:textId="5319D97C" w:rsidR="006C7CE0" w:rsidRPr="00C74EB6" w:rsidRDefault="006D425D" w:rsidP="004D24AB">
      <w:pPr>
        <w:spacing w:line="360" w:lineRule="auto"/>
        <w:ind w:firstLineChars="200" w:firstLine="480"/>
        <w:jc w:val="left"/>
        <w:rPr>
          <w:sz w:val="24"/>
        </w:rPr>
      </w:pPr>
      <w:r w:rsidRPr="00C74EB6">
        <w:rPr>
          <w:rFonts w:hint="eastAsia"/>
          <w:sz w:val="24"/>
        </w:rPr>
        <w:t>除美国和英国以外的国家，大股东</w:t>
      </w:r>
      <w:r w:rsidR="002E7FF9" w:rsidRPr="00C74EB6">
        <w:rPr>
          <w:rFonts w:hint="eastAsia"/>
          <w:sz w:val="24"/>
        </w:rPr>
        <w:t>通</w:t>
      </w:r>
      <w:r w:rsidRPr="00C74EB6">
        <w:rPr>
          <w:rFonts w:hint="eastAsia"/>
          <w:sz w:val="24"/>
        </w:rPr>
        <w:t>常</w:t>
      </w:r>
      <w:r w:rsidR="004720BF" w:rsidRPr="00C74EB6">
        <w:rPr>
          <w:rFonts w:hint="eastAsia"/>
          <w:sz w:val="24"/>
        </w:rPr>
        <w:t>拥有</w:t>
      </w:r>
      <w:r w:rsidR="002E7FF9" w:rsidRPr="00C74EB6">
        <w:rPr>
          <w:rFonts w:hint="eastAsia"/>
          <w:sz w:val="24"/>
        </w:rPr>
        <w:t>较高</w:t>
      </w:r>
      <w:r w:rsidRPr="00C74EB6">
        <w:rPr>
          <w:rFonts w:hint="eastAsia"/>
          <w:sz w:val="24"/>
        </w:rPr>
        <w:t>的投票权</w:t>
      </w:r>
      <w:r w:rsidR="002E7FF9" w:rsidRPr="00C74EB6">
        <w:rPr>
          <w:rFonts w:hint="eastAsia"/>
          <w:sz w:val="24"/>
        </w:rPr>
        <w:t>，</w:t>
      </w:r>
      <w:r w:rsidR="006C7CE0" w:rsidRPr="00C74EB6">
        <w:rPr>
          <w:rFonts w:hint="eastAsia"/>
          <w:sz w:val="24"/>
        </w:rPr>
        <w:t>股权集中</w:t>
      </w:r>
      <w:r w:rsidR="00BD2BAD" w:rsidRPr="00C74EB6">
        <w:rPr>
          <w:rFonts w:hint="eastAsia"/>
          <w:sz w:val="24"/>
        </w:rPr>
        <w:t>容易引发</w:t>
      </w:r>
      <w:r w:rsidR="007E6FB3" w:rsidRPr="00C74EB6">
        <w:rPr>
          <w:rFonts w:hint="eastAsia"/>
          <w:sz w:val="24"/>
        </w:rPr>
        <w:t>第二类委托代理问题，即大股东对少数股东的利益侵占（</w:t>
      </w:r>
      <w:r w:rsidR="00BD2BAD" w:rsidRPr="00C74EB6">
        <w:rPr>
          <w:rFonts w:hint="eastAsia"/>
          <w:sz w:val="24"/>
        </w:rPr>
        <w:t>La Porta</w:t>
      </w:r>
      <w:r w:rsidR="00BD2BAD" w:rsidRPr="00C74EB6">
        <w:rPr>
          <w:rFonts w:hint="eastAsia"/>
          <w:sz w:val="24"/>
        </w:rPr>
        <w:t>等，</w:t>
      </w:r>
      <w:r w:rsidR="00BD2BAD" w:rsidRPr="00C74EB6">
        <w:rPr>
          <w:rFonts w:hint="eastAsia"/>
          <w:sz w:val="24"/>
        </w:rPr>
        <w:t>1999</w:t>
      </w:r>
      <w:r w:rsidR="007E6FB3" w:rsidRPr="00C74EB6">
        <w:rPr>
          <w:rFonts w:hint="eastAsia"/>
          <w:sz w:val="24"/>
        </w:rPr>
        <w:t>）</w:t>
      </w:r>
      <w:r w:rsidR="00BD2BAD" w:rsidRPr="00C74EB6">
        <w:rPr>
          <w:rFonts w:hint="eastAsia"/>
          <w:sz w:val="24"/>
        </w:rPr>
        <w:t>。</w:t>
      </w:r>
      <w:r w:rsidR="00FD4432" w:rsidRPr="00C74EB6">
        <w:rPr>
          <w:rFonts w:hint="eastAsia"/>
          <w:sz w:val="24"/>
        </w:rPr>
        <w:t>控股股东通过交叉持股、金字塔股权结构等设计，形成控制权与</w:t>
      </w:r>
      <w:proofErr w:type="gramStart"/>
      <w:r w:rsidR="00FD4432" w:rsidRPr="00C74EB6">
        <w:rPr>
          <w:rFonts w:hint="eastAsia"/>
          <w:sz w:val="24"/>
        </w:rPr>
        <w:t>现金流权的</w:t>
      </w:r>
      <w:proofErr w:type="gramEnd"/>
      <w:r w:rsidR="00FD4432" w:rsidRPr="00C74EB6">
        <w:rPr>
          <w:rFonts w:hint="eastAsia"/>
          <w:sz w:val="24"/>
        </w:rPr>
        <w:t>分离，而这种权力错配激励其</w:t>
      </w:r>
      <w:r w:rsidR="006C7CE0" w:rsidRPr="00C74EB6">
        <w:rPr>
          <w:rFonts w:hint="eastAsia"/>
          <w:sz w:val="24"/>
        </w:rPr>
        <w:t>自身或与管理层合谋</w:t>
      </w:r>
      <w:r w:rsidR="00FD4432" w:rsidRPr="00C74EB6">
        <w:rPr>
          <w:rFonts w:hint="eastAsia"/>
          <w:sz w:val="24"/>
        </w:rPr>
        <w:t>进行关联交易、违规担保、内幕交易等（</w:t>
      </w:r>
      <w:r w:rsidR="00FD4432" w:rsidRPr="00C74EB6">
        <w:rPr>
          <w:rFonts w:hint="eastAsia"/>
          <w:sz w:val="24"/>
        </w:rPr>
        <w:t>Johnson</w:t>
      </w:r>
      <w:r w:rsidR="00FD4432" w:rsidRPr="00C74EB6">
        <w:rPr>
          <w:rFonts w:hint="eastAsia"/>
          <w:sz w:val="24"/>
        </w:rPr>
        <w:t>等，</w:t>
      </w:r>
      <w:r w:rsidR="00FD4432" w:rsidRPr="00C74EB6">
        <w:rPr>
          <w:rFonts w:hint="eastAsia"/>
          <w:sz w:val="24"/>
        </w:rPr>
        <w:t>2000</w:t>
      </w:r>
      <w:r w:rsidR="00320F36" w:rsidRPr="00C74EB6">
        <w:rPr>
          <w:rFonts w:hint="eastAsia"/>
          <w:sz w:val="24"/>
        </w:rPr>
        <w:t>；白重恩等，</w:t>
      </w:r>
      <w:r w:rsidR="00320F36" w:rsidRPr="00C74EB6">
        <w:rPr>
          <w:rFonts w:hint="eastAsia"/>
          <w:sz w:val="24"/>
        </w:rPr>
        <w:t>2005</w:t>
      </w:r>
      <w:r w:rsidR="00FD4432" w:rsidRPr="00C74EB6">
        <w:rPr>
          <w:rFonts w:hint="eastAsia"/>
          <w:sz w:val="24"/>
        </w:rPr>
        <w:t>）</w:t>
      </w:r>
      <w:r w:rsidR="001C49A4" w:rsidRPr="00C74EB6">
        <w:rPr>
          <w:rFonts w:hint="eastAsia"/>
          <w:sz w:val="24"/>
        </w:rPr>
        <w:t>，形成经典的隧道效应（</w:t>
      </w:r>
      <w:r w:rsidR="001C49A4" w:rsidRPr="00C74EB6">
        <w:rPr>
          <w:rFonts w:hint="eastAsia"/>
          <w:sz w:val="24"/>
        </w:rPr>
        <w:t>Tunneling</w:t>
      </w:r>
      <w:r w:rsidR="001C49A4" w:rsidRPr="00C74EB6">
        <w:rPr>
          <w:rFonts w:hint="eastAsia"/>
          <w:sz w:val="24"/>
        </w:rPr>
        <w:t>）。</w:t>
      </w:r>
      <w:r w:rsidR="004720BF" w:rsidRPr="00C74EB6">
        <w:rPr>
          <w:rFonts w:hint="eastAsia"/>
          <w:sz w:val="24"/>
        </w:rPr>
        <w:t>例如，在</w:t>
      </w:r>
      <w:r w:rsidR="00BD2BAD" w:rsidRPr="00C74EB6">
        <w:rPr>
          <w:rFonts w:hint="eastAsia"/>
          <w:sz w:val="24"/>
        </w:rPr>
        <w:t>金字塔式</w:t>
      </w:r>
      <w:r w:rsidR="004720BF" w:rsidRPr="00C74EB6">
        <w:rPr>
          <w:rFonts w:hint="eastAsia"/>
          <w:sz w:val="24"/>
        </w:rPr>
        <w:t>股权</w:t>
      </w:r>
      <w:r w:rsidR="00BD2BAD" w:rsidRPr="00C74EB6">
        <w:rPr>
          <w:rFonts w:hint="eastAsia"/>
          <w:sz w:val="24"/>
        </w:rPr>
        <w:t>结构</w:t>
      </w:r>
      <w:r w:rsidR="004720BF" w:rsidRPr="00C74EB6">
        <w:rPr>
          <w:rFonts w:hint="eastAsia"/>
          <w:sz w:val="24"/>
        </w:rPr>
        <w:t>中</w:t>
      </w:r>
      <w:r w:rsidR="00BD2BAD" w:rsidRPr="00C74EB6">
        <w:rPr>
          <w:rFonts w:hint="eastAsia"/>
          <w:sz w:val="24"/>
        </w:rPr>
        <w:t>，</w:t>
      </w:r>
      <w:r w:rsidR="004720BF" w:rsidRPr="00C74EB6">
        <w:rPr>
          <w:rFonts w:hint="eastAsia"/>
          <w:sz w:val="24"/>
        </w:rPr>
        <w:t>终极控制人通过多层股权嵌套掌握对末端上市公司的控制权；而控制权与</w:t>
      </w:r>
      <w:proofErr w:type="gramStart"/>
      <w:r w:rsidR="004720BF" w:rsidRPr="00C74EB6">
        <w:rPr>
          <w:rFonts w:hint="eastAsia"/>
          <w:sz w:val="24"/>
        </w:rPr>
        <w:t>现金流权的</w:t>
      </w:r>
      <w:proofErr w:type="gramEnd"/>
      <w:r w:rsidR="004720BF" w:rsidRPr="00C74EB6">
        <w:rPr>
          <w:rFonts w:hint="eastAsia"/>
          <w:sz w:val="24"/>
        </w:rPr>
        <w:t>分离会使</w:t>
      </w:r>
      <w:r w:rsidR="006C7CE0" w:rsidRPr="00C74EB6">
        <w:rPr>
          <w:rFonts w:hint="eastAsia"/>
          <w:sz w:val="24"/>
        </w:rPr>
        <w:t>其</w:t>
      </w:r>
      <w:r w:rsidR="004720BF" w:rsidRPr="00C74EB6">
        <w:rPr>
          <w:rFonts w:hint="eastAsia"/>
          <w:sz w:val="24"/>
        </w:rPr>
        <w:t>进行</w:t>
      </w:r>
      <w:r w:rsidR="007F32D5" w:rsidRPr="00C74EB6">
        <w:rPr>
          <w:rFonts w:hint="eastAsia"/>
          <w:sz w:val="24"/>
        </w:rPr>
        <w:t>利己倾向的</w:t>
      </w:r>
      <w:r w:rsidR="004720BF" w:rsidRPr="00C74EB6">
        <w:rPr>
          <w:rFonts w:hint="eastAsia"/>
          <w:sz w:val="24"/>
        </w:rPr>
        <w:t>并购、重组等关联资本运作，</w:t>
      </w:r>
      <w:r w:rsidR="007F32D5" w:rsidRPr="00C74EB6">
        <w:rPr>
          <w:rFonts w:hint="eastAsia"/>
          <w:sz w:val="24"/>
        </w:rPr>
        <w:t>例如将其用于市场炒作（郑志刚等，</w:t>
      </w:r>
      <w:r w:rsidR="007F32D5" w:rsidRPr="00C74EB6">
        <w:rPr>
          <w:rFonts w:hint="eastAsia"/>
          <w:sz w:val="24"/>
        </w:rPr>
        <w:t>2021</w:t>
      </w:r>
      <w:r w:rsidR="007F32D5" w:rsidRPr="00C74EB6">
        <w:rPr>
          <w:rFonts w:hint="eastAsia"/>
          <w:sz w:val="24"/>
        </w:rPr>
        <w:t>）。</w:t>
      </w:r>
    </w:p>
    <w:p w14:paraId="37E5D09A" w14:textId="05CB4468" w:rsidR="0076671F" w:rsidRPr="00C74EB6" w:rsidRDefault="0076671F" w:rsidP="004D24AB">
      <w:pPr>
        <w:spacing w:line="360" w:lineRule="auto"/>
        <w:ind w:firstLineChars="200" w:firstLine="480"/>
        <w:jc w:val="left"/>
        <w:rPr>
          <w:sz w:val="24"/>
        </w:rPr>
      </w:pPr>
      <w:r w:rsidRPr="00C74EB6">
        <w:rPr>
          <w:rFonts w:hint="eastAsia"/>
          <w:sz w:val="24"/>
        </w:rPr>
        <w:t>随着我国融资环境的改善，数字经济与资本社会化浪潮</w:t>
      </w:r>
      <w:r w:rsidR="00101EC3" w:rsidRPr="00C74EB6">
        <w:rPr>
          <w:rFonts w:hint="eastAsia"/>
          <w:sz w:val="24"/>
        </w:rPr>
        <w:t>推进股权分散的趋势</w:t>
      </w:r>
      <w:r w:rsidRPr="00C74EB6">
        <w:rPr>
          <w:rFonts w:hint="eastAsia"/>
          <w:sz w:val="24"/>
        </w:rPr>
        <w:t>，公司控制权加速向创始团队集中。创始人及其团队虽具备天然的长期主义思维和责任感，但其权力强化仍会诱发传统代理成本</w:t>
      </w:r>
      <w:r w:rsidR="00597A9A" w:rsidRPr="00C74EB6">
        <w:rPr>
          <w:rFonts w:hint="eastAsia"/>
          <w:sz w:val="24"/>
        </w:rPr>
        <w:t>新的</w:t>
      </w:r>
      <w:r w:rsidRPr="00C74EB6">
        <w:rPr>
          <w:rFonts w:hint="eastAsia"/>
          <w:sz w:val="24"/>
        </w:rPr>
        <w:t>显性化表达</w:t>
      </w:r>
      <w:r w:rsidR="00320F36" w:rsidRPr="00C74EB6">
        <w:rPr>
          <w:rFonts w:hint="eastAsia"/>
          <w:sz w:val="24"/>
        </w:rPr>
        <w:t>，引发新的治理风险</w:t>
      </w:r>
      <w:r w:rsidR="00597A9A" w:rsidRPr="00C74EB6">
        <w:rPr>
          <w:rFonts w:hint="eastAsia"/>
          <w:sz w:val="24"/>
        </w:rPr>
        <w:t>（陈德球和胡晴，</w:t>
      </w:r>
      <w:r w:rsidR="00597A9A" w:rsidRPr="00C74EB6">
        <w:rPr>
          <w:rFonts w:hint="eastAsia"/>
          <w:sz w:val="24"/>
        </w:rPr>
        <w:t>2022</w:t>
      </w:r>
      <w:r w:rsidR="00597A9A" w:rsidRPr="00C74EB6">
        <w:rPr>
          <w:rFonts w:hint="eastAsia"/>
          <w:sz w:val="24"/>
        </w:rPr>
        <w:t>）。</w:t>
      </w:r>
      <w:r w:rsidRPr="00C74EB6">
        <w:rPr>
          <w:rFonts w:hint="eastAsia"/>
          <w:sz w:val="24"/>
        </w:rPr>
        <w:t>例如，管理层</w:t>
      </w:r>
      <w:r w:rsidR="00101EC3" w:rsidRPr="00C74EB6">
        <w:rPr>
          <w:rFonts w:hint="eastAsia"/>
          <w:sz w:val="24"/>
        </w:rPr>
        <w:t>或控股股东</w:t>
      </w:r>
      <w:r w:rsidRPr="00C74EB6">
        <w:rPr>
          <w:rFonts w:hint="eastAsia"/>
          <w:sz w:val="24"/>
        </w:rPr>
        <w:t>通过价值观叙事掩盖私利行为，或</w:t>
      </w:r>
      <w:r w:rsidR="00101EC3" w:rsidRPr="00C74EB6">
        <w:rPr>
          <w:rFonts w:hint="eastAsia"/>
          <w:sz w:val="24"/>
        </w:rPr>
        <w:t>控股股东的</w:t>
      </w:r>
      <w:r w:rsidRPr="00C74EB6">
        <w:rPr>
          <w:rFonts w:hint="eastAsia"/>
          <w:sz w:val="24"/>
        </w:rPr>
        <w:t>技术理想主义与股东的财务</w:t>
      </w:r>
      <w:r w:rsidR="005501B4" w:rsidRPr="00C74EB6">
        <w:rPr>
          <w:rFonts w:hint="eastAsia"/>
          <w:sz w:val="24"/>
        </w:rPr>
        <w:t>回报</w:t>
      </w:r>
      <w:r w:rsidRPr="00C74EB6">
        <w:rPr>
          <w:rFonts w:hint="eastAsia"/>
          <w:sz w:val="24"/>
        </w:rPr>
        <w:t>诉求冲突。</w:t>
      </w:r>
    </w:p>
    <w:p w14:paraId="7DC9D614" w14:textId="5A7F0C9B" w:rsidR="00D4430C" w:rsidRPr="00DA3709" w:rsidRDefault="00D4430C" w:rsidP="00DA3709">
      <w:pPr>
        <w:spacing w:line="360" w:lineRule="auto"/>
        <w:jc w:val="left"/>
        <w:rPr>
          <w:sz w:val="24"/>
        </w:rPr>
      </w:pPr>
      <w:r w:rsidRPr="00DA3709">
        <w:rPr>
          <w:rFonts w:hint="eastAsia"/>
          <w:sz w:val="24"/>
        </w:rPr>
        <w:t>（二）信息不对称理论</w:t>
      </w:r>
    </w:p>
    <w:p w14:paraId="1FF33656" w14:textId="37692304" w:rsidR="00D4430C" w:rsidRPr="00C74EB6" w:rsidRDefault="00D4430C" w:rsidP="00D4430C">
      <w:pPr>
        <w:pStyle w:val="a9"/>
        <w:spacing w:line="360" w:lineRule="auto"/>
        <w:ind w:left="0" w:firstLineChars="200" w:firstLine="480"/>
        <w:jc w:val="left"/>
        <w:rPr>
          <w:sz w:val="24"/>
        </w:rPr>
      </w:pPr>
      <w:r w:rsidRPr="00C74EB6">
        <w:rPr>
          <w:rFonts w:hint="eastAsia"/>
          <w:sz w:val="24"/>
        </w:rPr>
        <w:t>传统的信息不对称理论源于</w:t>
      </w:r>
      <w:r w:rsidRPr="00C74EB6">
        <w:rPr>
          <w:rFonts w:hint="eastAsia"/>
          <w:sz w:val="24"/>
        </w:rPr>
        <w:t xml:space="preserve">George A. Akerlof </w:t>
      </w:r>
      <w:r w:rsidRPr="00C74EB6">
        <w:rPr>
          <w:rFonts w:hint="eastAsia"/>
          <w:sz w:val="24"/>
        </w:rPr>
        <w:t>（</w:t>
      </w:r>
      <w:r w:rsidRPr="00C74EB6">
        <w:rPr>
          <w:rFonts w:hint="eastAsia"/>
          <w:sz w:val="24"/>
        </w:rPr>
        <w:t>1970</w:t>
      </w:r>
      <w:r w:rsidRPr="00C74EB6">
        <w:rPr>
          <w:rFonts w:hint="eastAsia"/>
          <w:sz w:val="24"/>
        </w:rPr>
        <w:t>）的柠檬市场模型，其揭示了交易双方的信息偏差引发的市场失灵。在金融二级市场中，信息不对称</w:t>
      </w:r>
      <w:r w:rsidR="0012372C">
        <w:rPr>
          <w:rFonts w:hint="eastAsia"/>
          <w:sz w:val="24"/>
        </w:rPr>
        <w:t>有两种重要体现</w:t>
      </w:r>
      <w:r w:rsidRPr="00C74EB6">
        <w:rPr>
          <w:rFonts w:hint="eastAsia"/>
          <w:sz w:val="24"/>
        </w:rPr>
        <w:t>。</w:t>
      </w:r>
      <w:r w:rsidR="0012372C">
        <w:rPr>
          <w:rFonts w:hint="eastAsia"/>
          <w:sz w:val="24"/>
        </w:rPr>
        <w:t>首先体现</w:t>
      </w:r>
      <w:r w:rsidRPr="00C74EB6">
        <w:rPr>
          <w:rFonts w:hint="eastAsia"/>
          <w:sz w:val="24"/>
        </w:rPr>
        <w:t>于上市公司与投资者之间，投资者往往无法掌握上市公司所有信息，也难以保证及时消化各种公开信息，且管理层还可以通过语调管理市场预期，例如异常积极语调将会降低债券信用利差（林晚发等，</w:t>
      </w:r>
      <w:r w:rsidRPr="00C74EB6">
        <w:rPr>
          <w:rFonts w:hint="eastAsia"/>
          <w:sz w:val="24"/>
        </w:rPr>
        <w:t>2022</w:t>
      </w:r>
      <w:r w:rsidRPr="00C74EB6">
        <w:rPr>
          <w:rFonts w:hint="eastAsia"/>
          <w:sz w:val="24"/>
        </w:rPr>
        <w:t>），语调偏离可能引发股价下跌（王勇等，</w:t>
      </w:r>
      <w:r w:rsidRPr="00C74EB6">
        <w:rPr>
          <w:rFonts w:hint="eastAsia"/>
          <w:sz w:val="24"/>
        </w:rPr>
        <w:t>2023</w:t>
      </w:r>
      <w:r w:rsidRPr="00C74EB6">
        <w:rPr>
          <w:rFonts w:hint="eastAsia"/>
          <w:sz w:val="24"/>
        </w:rPr>
        <w:t>）。</w:t>
      </w:r>
      <w:r w:rsidR="0012372C">
        <w:rPr>
          <w:rFonts w:hint="eastAsia"/>
          <w:sz w:val="24"/>
        </w:rPr>
        <w:t>其次</w:t>
      </w:r>
      <w:r w:rsidRPr="00C74EB6">
        <w:rPr>
          <w:rFonts w:hint="eastAsia"/>
          <w:sz w:val="24"/>
        </w:rPr>
        <w:t>存在</w:t>
      </w:r>
      <w:proofErr w:type="gramStart"/>
      <w:r w:rsidRPr="00C74EB6">
        <w:rPr>
          <w:rFonts w:hint="eastAsia"/>
          <w:sz w:val="24"/>
        </w:rPr>
        <w:t>于机构</w:t>
      </w:r>
      <w:proofErr w:type="gramEnd"/>
      <w:r w:rsidRPr="00C74EB6">
        <w:rPr>
          <w:rFonts w:hint="eastAsia"/>
          <w:sz w:val="24"/>
        </w:rPr>
        <w:t>投资者与散户之间。国内机构投资者与散户进行信息交流的主要途径仍是卖方分析</w:t>
      </w:r>
      <w:proofErr w:type="gramStart"/>
      <w:r w:rsidRPr="00C74EB6">
        <w:rPr>
          <w:rFonts w:hint="eastAsia"/>
          <w:sz w:val="24"/>
        </w:rPr>
        <w:t>师发布的研</w:t>
      </w:r>
      <w:proofErr w:type="gramEnd"/>
      <w:r w:rsidRPr="00C74EB6">
        <w:rPr>
          <w:rFonts w:hint="eastAsia"/>
          <w:sz w:val="24"/>
        </w:rPr>
        <w:t>报，而</w:t>
      </w:r>
      <w:proofErr w:type="gramStart"/>
      <w:r w:rsidRPr="00C74EB6">
        <w:rPr>
          <w:rFonts w:hint="eastAsia"/>
          <w:sz w:val="24"/>
        </w:rPr>
        <w:t>研报存在</w:t>
      </w:r>
      <w:proofErr w:type="gramEnd"/>
      <w:r w:rsidRPr="00C74EB6">
        <w:rPr>
          <w:rFonts w:hint="eastAsia"/>
          <w:sz w:val="24"/>
        </w:rPr>
        <w:t>系统性乐观偏差，且关键的投资逻辑不会轻易公开传播，导致信息不对称的加剧。为缓解信息劣势，机构投资者和散户会花更多时间调研公司及行业。</w:t>
      </w:r>
    </w:p>
    <w:p w14:paraId="1830E349" w14:textId="0A628868" w:rsidR="00FE0749" w:rsidRPr="00C74EB6" w:rsidRDefault="00D4430C" w:rsidP="00C74EB6">
      <w:pPr>
        <w:pStyle w:val="3"/>
      </w:pPr>
      <w:bookmarkStart w:id="68" w:name="_Toc191574111"/>
      <w:bookmarkStart w:id="69" w:name="_Toc198286982"/>
      <w:r w:rsidRPr="00C74EB6">
        <w:rPr>
          <w:rFonts w:hint="eastAsia"/>
        </w:rPr>
        <w:t>理论分析与研究假设</w:t>
      </w:r>
      <w:bookmarkEnd w:id="68"/>
      <w:bookmarkEnd w:id="69"/>
    </w:p>
    <w:p w14:paraId="495D25BE" w14:textId="1DC36600" w:rsidR="00FE0749" w:rsidRPr="00C74EB6" w:rsidRDefault="00FE0749" w:rsidP="00601DA8">
      <w:pPr>
        <w:spacing w:line="360" w:lineRule="auto"/>
        <w:jc w:val="left"/>
        <w:rPr>
          <w:sz w:val="24"/>
        </w:rPr>
      </w:pPr>
      <w:r w:rsidRPr="00C74EB6">
        <w:rPr>
          <w:rFonts w:hint="eastAsia"/>
          <w:sz w:val="24"/>
        </w:rPr>
        <w:t>（一）</w:t>
      </w:r>
      <w:r w:rsidR="0053486E" w:rsidRPr="00C74EB6">
        <w:rPr>
          <w:rFonts w:hint="eastAsia"/>
          <w:sz w:val="24"/>
        </w:rPr>
        <w:t>基准假设</w:t>
      </w:r>
    </w:p>
    <w:p w14:paraId="3E7B311F" w14:textId="3B84E888" w:rsidR="00790C6E" w:rsidRPr="00C74EB6" w:rsidRDefault="00A772F9" w:rsidP="00790C6E">
      <w:pPr>
        <w:spacing w:line="360" w:lineRule="auto"/>
        <w:ind w:firstLineChars="200" w:firstLine="480"/>
        <w:jc w:val="left"/>
        <w:rPr>
          <w:sz w:val="24"/>
        </w:rPr>
      </w:pPr>
      <w:r w:rsidRPr="00C74EB6">
        <w:rPr>
          <w:rFonts w:hint="eastAsia"/>
          <w:sz w:val="24"/>
        </w:rPr>
        <w:t>组织资本的提升</w:t>
      </w:r>
      <w:r w:rsidR="00207032" w:rsidRPr="00C74EB6">
        <w:rPr>
          <w:rFonts w:hint="eastAsia"/>
          <w:sz w:val="24"/>
        </w:rPr>
        <w:t>可能加剧企业面临的诉讼风险</w:t>
      </w:r>
      <w:r w:rsidRPr="00C74EB6">
        <w:rPr>
          <w:rFonts w:hint="eastAsia"/>
          <w:sz w:val="24"/>
        </w:rPr>
        <w:t>。</w:t>
      </w:r>
      <w:r w:rsidR="00790C6E" w:rsidRPr="00C74EB6">
        <w:rPr>
          <w:rFonts w:hint="eastAsia"/>
          <w:sz w:val="24"/>
        </w:rPr>
        <w:t>一方面，组织资本可能引发利益冲突。</w:t>
      </w:r>
      <w:r w:rsidR="00AA49BF" w:rsidRPr="00C74EB6">
        <w:rPr>
          <w:rFonts w:hint="eastAsia"/>
          <w:sz w:val="24"/>
        </w:rPr>
        <w:t>组织资本</w:t>
      </w:r>
      <w:r w:rsidR="00CD6B12" w:rsidRPr="00C74EB6">
        <w:rPr>
          <w:rFonts w:hint="eastAsia"/>
          <w:sz w:val="24"/>
        </w:rPr>
        <w:t>效率</w:t>
      </w:r>
      <w:r w:rsidR="00207032" w:rsidRPr="00C74EB6">
        <w:rPr>
          <w:rFonts w:hint="eastAsia"/>
          <w:sz w:val="24"/>
        </w:rPr>
        <w:t>的</w:t>
      </w:r>
      <w:r w:rsidR="00CD6B12" w:rsidRPr="00C74EB6">
        <w:rPr>
          <w:rFonts w:hint="eastAsia"/>
          <w:sz w:val="24"/>
        </w:rPr>
        <w:t>实现依赖于</w:t>
      </w:r>
      <w:r w:rsidR="00AA49BF" w:rsidRPr="00C74EB6">
        <w:rPr>
          <w:rFonts w:hint="eastAsia"/>
          <w:sz w:val="24"/>
        </w:rPr>
        <w:t>关键人才，</w:t>
      </w:r>
      <w:r w:rsidR="00CD6B12" w:rsidRPr="00C74EB6">
        <w:rPr>
          <w:rFonts w:hint="eastAsia"/>
          <w:sz w:val="24"/>
        </w:rPr>
        <w:t>这些</w:t>
      </w:r>
      <w:r w:rsidR="00AA49BF" w:rsidRPr="00C74EB6">
        <w:rPr>
          <w:rFonts w:hint="eastAsia"/>
          <w:sz w:val="24"/>
        </w:rPr>
        <w:t>关键人才和股东都对</w:t>
      </w:r>
      <w:r w:rsidR="00AA49BF" w:rsidRPr="00C74EB6">
        <w:rPr>
          <w:rFonts w:hint="eastAsia"/>
          <w:sz w:val="24"/>
        </w:rPr>
        <w:lastRenderedPageBreak/>
        <w:t>组织资本产生的现金</w:t>
      </w:r>
      <w:proofErr w:type="gramStart"/>
      <w:r w:rsidR="00AA49BF" w:rsidRPr="00C74EB6">
        <w:rPr>
          <w:rFonts w:hint="eastAsia"/>
          <w:sz w:val="24"/>
        </w:rPr>
        <w:t>流拥有</w:t>
      </w:r>
      <w:proofErr w:type="gramEnd"/>
      <w:r w:rsidR="00AA49BF" w:rsidRPr="00C74EB6">
        <w:rPr>
          <w:rFonts w:hint="eastAsia"/>
          <w:sz w:val="24"/>
        </w:rPr>
        <w:t>索取权。</w:t>
      </w:r>
      <w:proofErr w:type="gramStart"/>
      <w:r w:rsidR="00AA49BF" w:rsidRPr="00C74EB6">
        <w:rPr>
          <w:rFonts w:hint="eastAsia"/>
          <w:sz w:val="24"/>
        </w:rPr>
        <w:t>当关键</w:t>
      </w:r>
      <w:proofErr w:type="gramEnd"/>
      <w:r w:rsidR="00AA49BF" w:rsidRPr="00C74EB6">
        <w:rPr>
          <w:rFonts w:hint="eastAsia"/>
          <w:sz w:val="24"/>
        </w:rPr>
        <w:t>人才的外部选择有所改善，即外部环境提供的工作机会和收益高出现状时，股东为留下</w:t>
      </w:r>
      <w:r w:rsidR="00CD6B12" w:rsidRPr="00C74EB6">
        <w:rPr>
          <w:rFonts w:hint="eastAsia"/>
          <w:sz w:val="24"/>
        </w:rPr>
        <w:t>这类</w:t>
      </w:r>
      <w:r w:rsidR="00AA49BF" w:rsidRPr="00C74EB6">
        <w:rPr>
          <w:rFonts w:hint="eastAsia"/>
          <w:sz w:val="24"/>
        </w:rPr>
        <w:t>关键人才，倾向于提升报酬或股权激励等</w:t>
      </w:r>
      <w:r w:rsidR="00CD6B12" w:rsidRPr="00C74EB6">
        <w:rPr>
          <w:rFonts w:hint="eastAsia"/>
          <w:sz w:val="24"/>
        </w:rPr>
        <w:t>方式</w:t>
      </w:r>
      <w:r w:rsidR="00AA49BF" w:rsidRPr="00C74EB6">
        <w:rPr>
          <w:rFonts w:hint="eastAsia"/>
          <w:sz w:val="24"/>
        </w:rPr>
        <w:t>，这将使得股东所获取的现金流减少</w:t>
      </w:r>
      <w:r w:rsidR="001A71C8" w:rsidRPr="00C74EB6">
        <w:rPr>
          <w:rFonts w:hint="eastAsia"/>
          <w:sz w:val="24"/>
        </w:rPr>
        <w:t>，</w:t>
      </w:r>
      <w:r w:rsidR="00207032" w:rsidRPr="00C74EB6">
        <w:rPr>
          <w:rFonts w:hint="eastAsia"/>
          <w:sz w:val="24"/>
        </w:rPr>
        <w:t>进而引发</w:t>
      </w:r>
      <w:r w:rsidR="001A71C8" w:rsidRPr="00C74EB6">
        <w:rPr>
          <w:rFonts w:hint="eastAsia"/>
          <w:sz w:val="24"/>
        </w:rPr>
        <w:t>利益冲突（</w:t>
      </w:r>
      <w:r w:rsidR="00026DC9" w:rsidRPr="00C74EB6">
        <w:rPr>
          <w:sz w:val="24"/>
        </w:rPr>
        <w:t>Eisfeldt</w:t>
      </w:r>
      <w:r w:rsidR="001A71C8" w:rsidRPr="00C74EB6">
        <w:rPr>
          <w:sz w:val="24"/>
        </w:rPr>
        <w:t xml:space="preserve"> </w:t>
      </w:r>
      <w:r w:rsidR="001A71C8" w:rsidRPr="00C74EB6">
        <w:rPr>
          <w:sz w:val="24"/>
        </w:rPr>
        <w:t>和</w:t>
      </w:r>
      <w:r w:rsidR="001A71C8" w:rsidRPr="00C74EB6">
        <w:rPr>
          <w:sz w:val="24"/>
        </w:rPr>
        <w:t>Papanikolaou</w:t>
      </w:r>
      <w:r w:rsidR="001A71C8" w:rsidRPr="00C74EB6">
        <w:rPr>
          <w:sz w:val="24"/>
        </w:rPr>
        <w:t>，</w:t>
      </w:r>
      <w:r w:rsidR="001A71C8" w:rsidRPr="00C74EB6">
        <w:rPr>
          <w:sz w:val="24"/>
        </w:rPr>
        <w:t>2013</w:t>
      </w:r>
      <w:r w:rsidR="00EF5083" w:rsidRPr="00C74EB6">
        <w:rPr>
          <w:rFonts w:hint="eastAsia"/>
          <w:sz w:val="24"/>
        </w:rPr>
        <w:t>；</w:t>
      </w:r>
      <w:r w:rsidR="00EF5083" w:rsidRPr="00C74EB6">
        <w:rPr>
          <w:rFonts w:hint="eastAsia"/>
          <w:sz w:val="24"/>
        </w:rPr>
        <w:t>Hasan</w:t>
      </w:r>
      <w:r w:rsidR="00EF5083" w:rsidRPr="00C74EB6">
        <w:rPr>
          <w:rFonts w:hint="eastAsia"/>
          <w:sz w:val="24"/>
        </w:rPr>
        <w:t>和</w:t>
      </w:r>
      <w:r w:rsidR="00EF5083" w:rsidRPr="00C74EB6">
        <w:rPr>
          <w:rFonts w:hint="eastAsia"/>
          <w:sz w:val="24"/>
        </w:rPr>
        <w:t>Uddin</w:t>
      </w:r>
      <w:r w:rsidR="00EF5083" w:rsidRPr="00C74EB6">
        <w:rPr>
          <w:rFonts w:hint="eastAsia"/>
          <w:sz w:val="24"/>
        </w:rPr>
        <w:t>，</w:t>
      </w:r>
      <w:r w:rsidR="00EF5083" w:rsidRPr="00C74EB6">
        <w:rPr>
          <w:rFonts w:hint="eastAsia"/>
          <w:sz w:val="24"/>
        </w:rPr>
        <w:t>2022</w:t>
      </w:r>
      <w:r w:rsidR="001A71C8" w:rsidRPr="00C74EB6">
        <w:rPr>
          <w:rFonts w:hint="eastAsia"/>
          <w:sz w:val="24"/>
        </w:rPr>
        <w:t>）</w:t>
      </w:r>
      <w:r w:rsidR="008E0CC4" w:rsidRPr="00C74EB6">
        <w:rPr>
          <w:rFonts w:hint="eastAsia"/>
          <w:sz w:val="24"/>
        </w:rPr>
        <w:t>。</w:t>
      </w:r>
      <w:r w:rsidR="00790C6E" w:rsidRPr="00C74EB6">
        <w:rPr>
          <w:rFonts w:hint="eastAsia"/>
          <w:sz w:val="24"/>
        </w:rPr>
        <w:t>另一方面，作为信息不透明的无形资产，</w:t>
      </w:r>
      <w:r w:rsidR="00207032" w:rsidRPr="00C74EB6">
        <w:rPr>
          <w:rFonts w:hint="eastAsia"/>
          <w:sz w:val="24"/>
        </w:rPr>
        <w:t>组织资本难以被准确衡量和追踪，合</w:t>
      </w:r>
      <w:proofErr w:type="gramStart"/>
      <w:r w:rsidR="00207032" w:rsidRPr="00C74EB6">
        <w:rPr>
          <w:rFonts w:hint="eastAsia"/>
          <w:sz w:val="24"/>
        </w:rPr>
        <w:t>规</w:t>
      </w:r>
      <w:proofErr w:type="gramEnd"/>
      <w:r w:rsidR="00207032" w:rsidRPr="00C74EB6">
        <w:rPr>
          <w:rFonts w:hint="eastAsia"/>
          <w:sz w:val="24"/>
        </w:rPr>
        <w:t>风险、治理隐患和外部风险可能引起利益相关者更多的关注，从而增加法律诉讼风险。</w:t>
      </w:r>
    </w:p>
    <w:p w14:paraId="54463D66" w14:textId="4C2B4190" w:rsidR="00FE0749" w:rsidRPr="00C74EB6" w:rsidRDefault="00FE0749" w:rsidP="00FE0749">
      <w:pPr>
        <w:spacing w:line="360" w:lineRule="auto"/>
        <w:ind w:firstLineChars="200" w:firstLine="480"/>
        <w:jc w:val="left"/>
        <w:rPr>
          <w:sz w:val="24"/>
        </w:rPr>
      </w:pPr>
      <w:r w:rsidRPr="00C74EB6">
        <w:rPr>
          <w:rFonts w:hint="eastAsia"/>
          <w:sz w:val="24"/>
        </w:rPr>
        <w:t>公司为缓解这种诉讼风险，会考虑购买董</w:t>
      </w:r>
      <w:proofErr w:type="gramStart"/>
      <w:r w:rsidRPr="00C74EB6">
        <w:rPr>
          <w:rFonts w:hint="eastAsia"/>
          <w:sz w:val="24"/>
        </w:rPr>
        <w:t>监高责任</w:t>
      </w:r>
      <w:proofErr w:type="gramEnd"/>
      <w:r w:rsidRPr="00C74EB6">
        <w:rPr>
          <w:rFonts w:hint="eastAsia"/>
          <w:sz w:val="24"/>
        </w:rPr>
        <w:t>险。当诉讼风险很低时，购买保险需要付出的投保费用和时间成本相比于董事要求的小额风险溢价更高，因此公司不倾向于购买保险；随着诉讼风险增加，董事要求的风险溢价预计比保险费率</w:t>
      </w:r>
      <w:r w:rsidR="00B9596C">
        <w:rPr>
          <w:rFonts w:hint="eastAsia"/>
          <w:sz w:val="24"/>
        </w:rPr>
        <w:t>的增幅更为显著</w:t>
      </w:r>
      <w:r w:rsidRPr="00C74EB6">
        <w:rPr>
          <w:rFonts w:hint="eastAsia"/>
          <w:sz w:val="24"/>
        </w:rPr>
        <w:t>，这是因为，董事</w:t>
      </w:r>
      <w:r w:rsidR="00B9596C">
        <w:rPr>
          <w:rFonts w:hint="eastAsia"/>
          <w:sz w:val="24"/>
        </w:rPr>
        <w:t>面对风险时往往表现出规避的态度，</w:t>
      </w:r>
      <w:r w:rsidRPr="00C74EB6">
        <w:rPr>
          <w:rFonts w:hint="eastAsia"/>
          <w:sz w:val="24"/>
        </w:rPr>
        <w:t>而保险公司是风险中性的。当诉讼风险足够大时，比如披露的未决或过往诉讼案件越多，公司所承担的费用越高，且会负面影响公司声誉，更容易让公司成为未来诉讼的目标，因此购买该保险可以将该部分损失转移给保险公司。因此，公司涉及的未决或过往诉讼案件越多、过去违约记录越多、公司越容易购买保险且有更高的限额（</w:t>
      </w:r>
      <w:r w:rsidRPr="00C74EB6">
        <w:rPr>
          <w:rFonts w:hint="eastAsia"/>
          <w:sz w:val="24"/>
        </w:rPr>
        <w:t>Core</w:t>
      </w:r>
      <w:r w:rsidRPr="00C74EB6">
        <w:rPr>
          <w:rFonts w:hint="eastAsia"/>
          <w:sz w:val="24"/>
        </w:rPr>
        <w:t>，</w:t>
      </w:r>
      <w:r w:rsidRPr="00C74EB6">
        <w:rPr>
          <w:rFonts w:hint="eastAsia"/>
          <w:sz w:val="24"/>
        </w:rPr>
        <w:t>1997</w:t>
      </w:r>
      <w:r w:rsidRPr="00C74EB6">
        <w:rPr>
          <w:rFonts w:hint="eastAsia"/>
          <w:sz w:val="24"/>
        </w:rPr>
        <w:t>；</w:t>
      </w:r>
      <w:r w:rsidRPr="00C74EB6">
        <w:rPr>
          <w:rFonts w:hint="eastAsia"/>
          <w:sz w:val="24"/>
        </w:rPr>
        <w:t>Zou</w:t>
      </w:r>
      <w:r w:rsidRPr="00C74EB6">
        <w:rPr>
          <w:rFonts w:hint="eastAsia"/>
          <w:sz w:val="24"/>
        </w:rPr>
        <w:t>等，</w:t>
      </w:r>
      <w:r w:rsidRPr="00C74EB6">
        <w:rPr>
          <w:rFonts w:hint="eastAsia"/>
          <w:sz w:val="24"/>
        </w:rPr>
        <w:t>2008</w:t>
      </w:r>
      <w:r w:rsidRPr="00C74EB6">
        <w:rPr>
          <w:rFonts w:hint="eastAsia"/>
          <w:sz w:val="24"/>
        </w:rPr>
        <w:t>）。</w:t>
      </w:r>
    </w:p>
    <w:p w14:paraId="213FE7A0" w14:textId="443CCD90" w:rsidR="00FE0749" w:rsidRPr="00C74EB6" w:rsidRDefault="00FE0749" w:rsidP="00790C6E">
      <w:pPr>
        <w:spacing w:line="360" w:lineRule="auto"/>
        <w:ind w:firstLineChars="200" w:firstLine="480"/>
        <w:jc w:val="left"/>
        <w:rPr>
          <w:sz w:val="24"/>
        </w:rPr>
      </w:pPr>
      <w:r w:rsidRPr="00C74EB6">
        <w:rPr>
          <w:rFonts w:hint="eastAsia"/>
          <w:sz w:val="24"/>
        </w:rPr>
        <w:t>基于此，本文提出如下假设：</w:t>
      </w:r>
    </w:p>
    <w:p w14:paraId="10CD2279" w14:textId="0CC32C76" w:rsidR="00601DA8" w:rsidRDefault="00FE0749" w:rsidP="00601DA8">
      <w:pPr>
        <w:spacing w:line="360" w:lineRule="auto"/>
        <w:ind w:firstLineChars="200" w:firstLine="480"/>
        <w:jc w:val="left"/>
        <w:rPr>
          <w:sz w:val="24"/>
        </w:rPr>
      </w:pPr>
      <w:r w:rsidRPr="00C74EB6">
        <w:rPr>
          <w:rFonts w:hint="eastAsia"/>
          <w:sz w:val="24"/>
        </w:rPr>
        <w:t>H1</w:t>
      </w:r>
      <w:r w:rsidRPr="00C74EB6">
        <w:rPr>
          <w:rFonts w:hint="eastAsia"/>
          <w:sz w:val="24"/>
        </w:rPr>
        <w:t>：组织资本水平</w:t>
      </w:r>
      <w:r w:rsidR="00B000EA">
        <w:rPr>
          <w:rFonts w:hint="eastAsia"/>
          <w:sz w:val="24"/>
        </w:rPr>
        <w:t>能够</w:t>
      </w:r>
      <w:r w:rsidR="00B000EA" w:rsidRPr="00B000EA">
        <w:rPr>
          <w:rFonts w:hint="eastAsia"/>
          <w:sz w:val="24"/>
        </w:rPr>
        <w:t>正向提升公司对董</w:t>
      </w:r>
      <w:proofErr w:type="gramStart"/>
      <w:r w:rsidR="00B000EA" w:rsidRPr="00B000EA">
        <w:rPr>
          <w:rFonts w:hint="eastAsia"/>
          <w:sz w:val="24"/>
        </w:rPr>
        <w:t>监高责任</w:t>
      </w:r>
      <w:proofErr w:type="gramEnd"/>
      <w:r w:rsidR="00B000EA" w:rsidRPr="00B000EA">
        <w:rPr>
          <w:rFonts w:hint="eastAsia"/>
          <w:sz w:val="24"/>
        </w:rPr>
        <w:t>险的投保意向</w:t>
      </w:r>
      <w:r w:rsidRPr="00C74EB6">
        <w:rPr>
          <w:rFonts w:hint="eastAsia"/>
          <w:sz w:val="24"/>
        </w:rPr>
        <w:t>。</w:t>
      </w:r>
    </w:p>
    <w:p w14:paraId="7825A496" w14:textId="1526E934" w:rsidR="00FE0749" w:rsidRPr="00C74EB6" w:rsidRDefault="00FE0749" w:rsidP="00601DA8">
      <w:pPr>
        <w:spacing w:line="360" w:lineRule="auto"/>
        <w:jc w:val="left"/>
        <w:rPr>
          <w:sz w:val="24"/>
        </w:rPr>
      </w:pPr>
      <w:r w:rsidRPr="00C74EB6">
        <w:rPr>
          <w:rFonts w:hint="eastAsia"/>
          <w:sz w:val="24"/>
        </w:rPr>
        <w:t>（二）双重委托代理机制</w:t>
      </w:r>
    </w:p>
    <w:p w14:paraId="1AFB5842" w14:textId="69083D16" w:rsidR="008D794F" w:rsidRPr="00C74EB6" w:rsidRDefault="001A71C8" w:rsidP="00DA1D9B">
      <w:pPr>
        <w:spacing w:line="360" w:lineRule="auto"/>
        <w:ind w:firstLineChars="200" w:firstLine="480"/>
        <w:jc w:val="left"/>
        <w:rPr>
          <w:sz w:val="24"/>
        </w:rPr>
      </w:pPr>
      <w:r w:rsidRPr="00C74EB6">
        <w:rPr>
          <w:rFonts w:hint="eastAsia"/>
          <w:sz w:val="24"/>
        </w:rPr>
        <w:t>为进一步探讨组织资本如何影响委托代理的问题，本文参考</w:t>
      </w:r>
      <w:r w:rsidR="008D794F" w:rsidRPr="00C74EB6">
        <w:rPr>
          <w:rFonts w:hint="eastAsia"/>
          <w:sz w:val="24"/>
        </w:rPr>
        <w:t>刘海建和陈传明（</w:t>
      </w:r>
      <w:r w:rsidR="008D794F" w:rsidRPr="00C74EB6">
        <w:rPr>
          <w:rFonts w:hint="eastAsia"/>
          <w:sz w:val="24"/>
        </w:rPr>
        <w:t>2007</w:t>
      </w:r>
      <w:r w:rsidR="008D794F" w:rsidRPr="00C74EB6">
        <w:rPr>
          <w:rFonts w:hint="eastAsia"/>
          <w:sz w:val="24"/>
        </w:rPr>
        <w:t>），将组织资本</w:t>
      </w:r>
      <w:r w:rsidR="0012372C">
        <w:rPr>
          <w:rFonts w:hint="eastAsia"/>
          <w:sz w:val="24"/>
        </w:rPr>
        <w:t>细化</w:t>
      </w:r>
      <w:r w:rsidR="008D794F" w:rsidRPr="00C74EB6">
        <w:rPr>
          <w:rFonts w:hint="eastAsia"/>
          <w:sz w:val="24"/>
        </w:rPr>
        <w:t>为权力资本、规则资本和知识管理资本</w:t>
      </w:r>
      <w:r w:rsidR="00034F74" w:rsidRPr="00C74EB6">
        <w:rPr>
          <w:rFonts w:hint="eastAsia"/>
          <w:sz w:val="24"/>
        </w:rPr>
        <w:t>。</w:t>
      </w:r>
    </w:p>
    <w:p w14:paraId="39CD2D75" w14:textId="639E82D4" w:rsidR="0058474D" w:rsidRPr="00C74EB6" w:rsidRDefault="009246F4" w:rsidP="00462FC6">
      <w:pPr>
        <w:spacing w:line="360" w:lineRule="auto"/>
        <w:ind w:firstLineChars="200" w:firstLine="480"/>
        <w:jc w:val="left"/>
        <w:rPr>
          <w:sz w:val="24"/>
        </w:rPr>
      </w:pPr>
      <w:r w:rsidRPr="00C74EB6">
        <w:rPr>
          <w:rFonts w:hint="eastAsia"/>
          <w:sz w:val="24"/>
        </w:rPr>
        <w:t>权力资本可体现为管理层人力、信息、资源和商业活动的决定权</w:t>
      </w:r>
      <w:r w:rsidR="00700ACB" w:rsidRPr="00C74EB6">
        <w:rPr>
          <w:rFonts w:hint="eastAsia"/>
          <w:sz w:val="24"/>
        </w:rPr>
        <w:t>。如果</w:t>
      </w:r>
      <w:r w:rsidR="0058474D" w:rsidRPr="00C74EB6">
        <w:rPr>
          <w:rFonts w:hint="eastAsia"/>
          <w:sz w:val="24"/>
        </w:rPr>
        <w:t>权力资本</w:t>
      </w:r>
      <w:r w:rsidR="00700ACB" w:rsidRPr="00C74EB6">
        <w:rPr>
          <w:rFonts w:hint="eastAsia"/>
          <w:sz w:val="24"/>
        </w:rPr>
        <w:t>过度集中，那么</w:t>
      </w:r>
      <w:r w:rsidR="00614541" w:rsidRPr="00C74EB6">
        <w:rPr>
          <w:rFonts w:hint="eastAsia"/>
          <w:sz w:val="24"/>
        </w:rPr>
        <w:t>所有者对管理层、少数股东对控股股东的有效监督</w:t>
      </w:r>
      <w:r w:rsidR="008462A3" w:rsidRPr="00C74EB6">
        <w:rPr>
          <w:rFonts w:hint="eastAsia"/>
          <w:sz w:val="24"/>
        </w:rPr>
        <w:t>会被削弱</w:t>
      </w:r>
      <w:r w:rsidR="00614541" w:rsidRPr="00C74EB6">
        <w:rPr>
          <w:rFonts w:hint="eastAsia"/>
          <w:sz w:val="24"/>
        </w:rPr>
        <w:t>。</w:t>
      </w:r>
      <w:r w:rsidR="0058474D" w:rsidRPr="00C74EB6">
        <w:rPr>
          <w:rFonts w:hint="eastAsia"/>
          <w:sz w:val="24"/>
        </w:rPr>
        <w:t>权力</w:t>
      </w:r>
      <w:r w:rsidR="00AE47D2" w:rsidRPr="00C74EB6">
        <w:rPr>
          <w:rFonts w:hint="eastAsia"/>
          <w:sz w:val="24"/>
        </w:rPr>
        <w:t>资本优势容易诱发管理层的</w:t>
      </w:r>
      <w:r w:rsidR="009573E8" w:rsidRPr="00C74EB6">
        <w:rPr>
          <w:rFonts w:hint="eastAsia"/>
          <w:sz w:val="24"/>
        </w:rPr>
        <w:t>私有化薪酬</w:t>
      </w:r>
      <w:r w:rsidR="00AE47D2" w:rsidRPr="00C74EB6">
        <w:rPr>
          <w:rFonts w:hint="eastAsia"/>
          <w:sz w:val="24"/>
        </w:rPr>
        <w:t>或</w:t>
      </w:r>
      <w:r w:rsidR="009573E8" w:rsidRPr="00C74EB6">
        <w:rPr>
          <w:rFonts w:hint="eastAsia"/>
          <w:sz w:val="24"/>
        </w:rPr>
        <w:t>超额在职消费等腐败行为</w:t>
      </w:r>
      <w:r w:rsidR="00236A5A" w:rsidRPr="00C74EB6">
        <w:rPr>
          <w:rFonts w:hint="eastAsia"/>
          <w:sz w:val="24"/>
        </w:rPr>
        <w:t>倾向</w:t>
      </w:r>
      <w:r w:rsidR="009573E8" w:rsidRPr="00C74EB6">
        <w:rPr>
          <w:rFonts w:hint="eastAsia"/>
          <w:sz w:val="24"/>
        </w:rPr>
        <w:t>（周美华等，</w:t>
      </w:r>
      <w:r w:rsidR="009573E8" w:rsidRPr="00C74EB6">
        <w:rPr>
          <w:rFonts w:hint="eastAsia"/>
          <w:sz w:val="24"/>
        </w:rPr>
        <w:t>2016</w:t>
      </w:r>
      <w:r w:rsidR="009573E8" w:rsidRPr="00C74EB6">
        <w:rPr>
          <w:rFonts w:hint="eastAsia"/>
          <w:sz w:val="24"/>
        </w:rPr>
        <w:t>）</w:t>
      </w:r>
      <w:r w:rsidR="00034F74" w:rsidRPr="00C74EB6">
        <w:rPr>
          <w:rFonts w:hint="eastAsia"/>
          <w:sz w:val="24"/>
        </w:rPr>
        <w:t>；</w:t>
      </w:r>
      <w:r w:rsidR="009573E8" w:rsidRPr="00C74EB6">
        <w:rPr>
          <w:rFonts w:hint="eastAsia"/>
          <w:sz w:val="24"/>
        </w:rPr>
        <w:t>且</w:t>
      </w:r>
      <w:r w:rsidR="0058474D" w:rsidRPr="00C74EB6">
        <w:rPr>
          <w:rFonts w:hint="eastAsia"/>
          <w:sz w:val="24"/>
        </w:rPr>
        <w:t>更有动机</w:t>
      </w:r>
      <w:r w:rsidR="008462A3" w:rsidRPr="00C74EB6">
        <w:rPr>
          <w:rFonts w:hint="eastAsia"/>
          <w:sz w:val="24"/>
        </w:rPr>
        <w:t>进行</w:t>
      </w:r>
      <w:r w:rsidR="0058474D" w:rsidRPr="00C74EB6">
        <w:rPr>
          <w:rFonts w:hint="eastAsia"/>
          <w:sz w:val="24"/>
        </w:rPr>
        <w:t>非效率投资，例如</w:t>
      </w:r>
      <w:r w:rsidR="005416B4" w:rsidRPr="00C74EB6">
        <w:rPr>
          <w:rFonts w:hint="eastAsia"/>
          <w:sz w:val="24"/>
        </w:rPr>
        <w:t>此类管理者会</w:t>
      </w:r>
      <w:r w:rsidR="0058474D" w:rsidRPr="00C74EB6">
        <w:rPr>
          <w:rFonts w:hint="eastAsia"/>
          <w:sz w:val="24"/>
        </w:rPr>
        <w:t>加重成长型企业过度投资、成熟型企业投资不足的问题（谢佩洪和汪春霞，</w:t>
      </w:r>
      <w:r w:rsidR="0058474D" w:rsidRPr="00C74EB6">
        <w:rPr>
          <w:rFonts w:hint="eastAsia"/>
          <w:sz w:val="24"/>
        </w:rPr>
        <w:t>2017</w:t>
      </w:r>
      <w:r w:rsidR="0058474D" w:rsidRPr="00C74EB6">
        <w:rPr>
          <w:rFonts w:hint="eastAsia"/>
          <w:sz w:val="24"/>
        </w:rPr>
        <w:t>）</w:t>
      </w:r>
      <w:r w:rsidR="009573E8" w:rsidRPr="00C74EB6">
        <w:rPr>
          <w:rFonts w:hint="eastAsia"/>
          <w:sz w:val="24"/>
        </w:rPr>
        <w:t>，进而侵害公司</w:t>
      </w:r>
      <w:r w:rsidR="00700ACB" w:rsidRPr="00C74EB6">
        <w:rPr>
          <w:rFonts w:hint="eastAsia"/>
          <w:sz w:val="24"/>
        </w:rPr>
        <w:t>股东</w:t>
      </w:r>
      <w:r w:rsidR="009573E8" w:rsidRPr="00C74EB6">
        <w:rPr>
          <w:rFonts w:hint="eastAsia"/>
          <w:sz w:val="24"/>
        </w:rPr>
        <w:t>的利益</w:t>
      </w:r>
      <w:r w:rsidR="00700ACB" w:rsidRPr="00C74EB6">
        <w:rPr>
          <w:rFonts w:hint="eastAsia"/>
          <w:sz w:val="24"/>
        </w:rPr>
        <w:t>。而</w:t>
      </w:r>
      <w:r w:rsidR="009573E8" w:rsidRPr="00C74EB6">
        <w:rPr>
          <w:rFonts w:hint="eastAsia"/>
          <w:sz w:val="24"/>
        </w:rPr>
        <w:t>控股股东</w:t>
      </w:r>
      <w:r w:rsidR="00D43289" w:rsidRPr="00C74EB6">
        <w:rPr>
          <w:rFonts w:hint="eastAsia"/>
          <w:sz w:val="24"/>
        </w:rPr>
        <w:t>可以将同一战线的管理层安排</w:t>
      </w:r>
      <w:proofErr w:type="gramStart"/>
      <w:r w:rsidR="00D43289" w:rsidRPr="00C74EB6">
        <w:rPr>
          <w:rFonts w:hint="eastAsia"/>
          <w:sz w:val="24"/>
        </w:rPr>
        <w:t>至关键</w:t>
      </w:r>
      <w:proofErr w:type="gramEnd"/>
      <w:r w:rsidR="00D43289" w:rsidRPr="00C74EB6">
        <w:rPr>
          <w:rFonts w:hint="eastAsia"/>
          <w:sz w:val="24"/>
        </w:rPr>
        <w:t>位置，</w:t>
      </w:r>
      <w:r w:rsidR="00AE47D2" w:rsidRPr="00C74EB6">
        <w:rPr>
          <w:rFonts w:hint="eastAsia"/>
          <w:sz w:val="24"/>
        </w:rPr>
        <w:t>打通</w:t>
      </w:r>
      <w:r w:rsidR="00D43289" w:rsidRPr="00C74EB6">
        <w:rPr>
          <w:rFonts w:hint="eastAsia"/>
          <w:sz w:val="24"/>
        </w:rPr>
        <w:t>利益输送路径；或通过关联交易、</w:t>
      </w:r>
      <w:r w:rsidR="00462FC6" w:rsidRPr="00C74EB6">
        <w:rPr>
          <w:rFonts w:hint="eastAsia"/>
          <w:sz w:val="24"/>
        </w:rPr>
        <w:t>金字塔股权结构、</w:t>
      </w:r>
      <w:r w:rsidR="00D43289" w:rsidRPr="00C74EB6">
        <w:rPr>
          <w:rFonts w:hint="eastAsia"/>
          <w:sz w:val="24"/>
        </w:rPr>
        <w:t>交叉持股等满足自利动机，</w:t>
      </w:r>
      <w:r w:rsidR="008462A3" w:rsidRPr="00C74EB6">
        <w:rPr>
          <w:rFonts w:hint="eastAsia"/>
          <w:sz w:val="24"/>
        </w:rPr>
        <w:t>且会</w:t>
      </w:r>
      <w:r w:rsidR="00D43289" w:rsidRPr="00C74EB6">
        <w:rPr>
          <w:rFonts w:hint="eastAsia"/>
          <w:sz w:val="24"/>
        </w:rPr>
        <w:t>提升股价崩盘风险</w:t>
      </w:r>
      <w:r w:rsidR="00462FC6" w:rsidRPr="00C74EB6">
        <w:rPr>
          <w:rFonts w:hint="eastAsia"/>
          <w:sz w:val="24"/>
        </w:rPr>
        <w:t>（沈华玉等，</w:t>
      </w:r>
      <w:r w:rsidR="00462FC6" w:rsidRPr="00C74EB6">
        <w:rPr>
          <w:rFonts w:hint="eastAsia"/>
          <w:sz w:val="24"/>
        </w:rPr>
        <w:t>2017</w:t>
      </w:r>
      <w:r w:rsidR="00462FC6" w:rsidRPr="00C74EB6">
        <w:rPr>
          <w:rFonts w:hint="eastAsia"/>
          <w:sz w:val="24"/>
        </w:rPr>
        <w:t>），进一步恶化利益冲突。</w:t>
      </w:r>
    </w:p>
    <w:p w14:paraId="013D03BD" w14:textId="20ADBC8D" w:rsidR="00C90ECD" w:rsidRPr="00C74EB6" w:rsidRDefault="008D794F" w:rsidP="00D94887">
      <w:pPr>
        <w:spacing w:line="360" w:lineRule="auto"/>
        <w:ind w:firstLineChars="200" w:firstLine="480"/>
        <w:rPr>
          <w:sz w:val="24"/>
        </w:rPr>
      </w:pPr>
      <w:r w:rsidRPr="00C74EB6">
        <w:rPr>
          <w:rFonts w:hint="eastAsia"/>
          <w:sz w:val="24"/>
        </w:rPr>
        <w:t>规则资本</w:t>
      </w:r>
      <w:r w:rsidR="00462FC6" w:rsidRPr="00C74EB6">
        <w:rPr>
          <w:rFonts w:hint="eastAsia"/>
          <w:sz w:val="24"/>
        </w:rPr>
        <w:t>体现为</w:t>
      </w:r>
      <w:r w:rsidR="009764DA" w:rsidRPr="00C74EB6">
        <w:rPr>
          <w:rFonts w:hint="eastAsia"/>
          <w:sz w:val="24"/>
        </w:rPr>
        <w:t>企业文化、</w:t>
      </w:r>
      <w:r w:rsidR="003B426D" w:rsidRPr="00C74EB6">
        <w:rPr>
          <w:rFonts w:hint="eastAsia"/>
          <w:sz w:val="24"/>
        </w:rPr>
        <w:t>组织相关</w:t>
      </w:r>
      <w:r w:rsidR="00462FC6" w:rsidRPr="00C74EB6">
        <w:rPr>
          <w:rFonts w:hint="eastAsia"/>
          <w:sz w:val="24"/>
        </w:rPr>
        <w:t>规章制度</w:t>
      </w:r>
      <w:r w:rsidR="009764DA" w:rsidRPr="00C74EB6">
        <w:rPr>
          <w:rFonts w:hint="eastAsia"/>
          <w:sz w:val="24"/>
        </w:rPr>
        <w:t>和</w:t>
      </w:r>
      <w:r w:rsidR="003B426D" w:rsidRPr="00C74EB6">
        <w:rPr>
          <w:rFonts w:hint="eastAsia"/>
          <w:sz w:val="24"/>
        </w:rPr>
        <w:t>流程。</w:t>
      </w:r>
      <w:r w:rsidR="009764DA" w:rsidRPr="00C74EB6">
        <w:rPr>
          <w:rFonts w:hint="eastAsia"/>
          <w:sz w:val="24"/>
        </w:rPr>
        <w:t>企业文化具有刚性</w:t>
      </w:r>
      <w:r w:rsidR="009764DA" w:rsidRPr="00C74EB6">
        <w:rPr>
          <w:rFonts w:hint="eastAsia"/>
          <w:sz w:val="24"/>
        </w:rPr>
        <w:lastRenderedPageBreak/>
        <w:t>特征</w:t>
      </w:r>
      <w:r w:rsidR="00AE47D2" w:rsidRPr="00C74EB6">
        <w:rPr>
          <w:rFonts w:hint="eastAsia"/>
          <w:sz w:val="24"/>
        </w:rPr>
        <w:t>，</w:t>
      </w:r>
      <w:r w:rsidR="00516E61" w:rsidRPr="00C74EB6">
        <w:rPr>
          <w:rFonts w:hint="eastAsia"/>
          <w:sz w:val="24"/>
        </w:rPr>
        <w:t>企业文化</w:t>
      </w:r>
      <w:r w:rsidR="00700ACB" w:rsidRPr="00C74EB6">
        <w:rPr>
          <w:rFonts w:hint="eastAsia"/>
          <w:sz w:val="24"/>
        </w:rPr>
        <w:t>浓厚的同时，可能会</w:t>
      </w:r>
      <w:r w:rsidR="00AE47D2" w:rsidRPr="00C74EB6">
        <w:rPr>
          <w:rFonts w:hint="eastAsia"/>
          <w:sz w:val="24"/>
        </w:rPr>
        <w:t>让企业在动态竞争环境中</w:t>
      </w:r>
      <w:r w:rsidR="00866B71" w:rsidRPr="00C74EB6">
        <w:rPr>
          <w:rFonts w:hint="eastAsia"/>
          <w:sz w:val="24"/>
        </w:rPr>
        <w:t>难以或不想快速调整战略，只能</w:t>
      </w:r>
      <w:r w:rsidR="00516E61" w:rsidRPr="00C74EB6">
        <w:rPr>
          <w:rFonts w:hint="eastAsia"/>
          <w:sz w:val="24"/>
        </w:rPr>
        <w:t>线性外推</w:t>
      </w:r>
      <w:r w:rsidR="00866B71" w:rsidRPr="00C74EB6">
        <w:rPr>
          <w:rFonts w:hint="eastAsia"/>
          <w:sz w:val="24"/>
        </w:rPr>
        <w:t>地</w:t>
      </w:r>
      <w:r w:rsidR="00516E61" w:rsidRPr="00C74EB6">
        <w:rPr>
          <w:rFonts w:hint="eastAsia"/>
          <w:sz w:val="24"/>
        </w:rPr>
        <w:t>发展下去（陈传明和张敏，</w:t>
      </w:r>
      <w:r w:rsidR="00516E61" w:rsidRPr="00C74EB6">
        <w:rPr>
          <w:rFonts w:hint="eastAsia"/>
          <w:sz w:val="24"/>
        </w:rPr>
        <w:t>2005</w:t>
      </w:r>
      <w:r w:rsidR="00516E61" w:rsidRPr="00C74EB6">
        <w:rPr>
          <w:rFonts w:hint="eastAsia"/>
          <w:sz w:val="24"/>
        </w:rPr>
        <w:t>）</w:t>
      </w:r>
      <w:r w:rsidR="00866B71" w:rsidRPr="00C74EB6">
        <w:rPr>
          <w:rFonts w:hint="eastAsia"/>
          <w:sz w:val="24"/>
        </w:rPr>
        <w:t>。</w:t>
      </w:r>
      <w:r w:rsidR="00A90C3E" w:rsidRPr="00C74EB6">
        <w:rPr>
          <w:rFonts w:hint="eastAsia"/>
          <w:sz w:val="24"/>
        </w:rPr>
        <w:t>例如，始终偏爱外向型</w:t>
      </w:r>
      <w:r w:rsidR="0011184E">
        <w:rPr>
          <w:rFonts w:hint="eastAsia"/>
          <w:sz w:val="24"/>
        </w:rPr>
        <w:t>人才</w:t>
      </w:r>
      <w:r w:rsidR="00A90C3E" w:rsidRPr="00C74EB6">
        <w:rPr>
          <w:rFonts w:hint="eastAsia"/>
          <w:sz w:val="24"/>
        </w:rPr>
        <w:t>的企业文化可能导致组织内缺乏内省的人，进而容易引发战略决策的偏差。同时，</w:t>
      </w:r>
      <w:r w:rsidR="008D00D7" w:rsidRPr="00C74EB6">
        <w:rPr>
          <w:rFonts w:hint="eastAsia"/>
          <w:sz w:val="24"/>
        </w:rPr>
        <w:t>规则资本过高的企业</w:t>
      </w:r>
      <w:r w:rsidR="00A90C3E" w:rsidRPr="00C74EB6">
        <w:rPr>
          <w:rFonts w:hint="eastAsia"/>
          <w:sz w:val="24"/>
        </w:rPr>
        <w:t>容易形成</w:t>
      </w:r>
      <w:r w:rsidR="00906F4D" w:rsidRPr="00C74EB6">
        <w:rPr>
          <w:rFonts w:hint="eastAsia"/>
          <w:sz w:val="24"/>
        </w:rPr>
        <w:t>组织冗余</w:t>
      </w:r>
      <w:r w:rsidR="004A4015" w:rsidRPr="00C74EB6">
        <w:rPr>
          <w:rFonts w:hint="eastAsia"/>
          <w:sz w:val="24"/>
        </w:rPr>
        <w:t>（</w:t>
      </w:r>
      <w:r w:rsidR="00906F4D" w:rsidRPr="00C74EB6">
        <w:rPr>
          <w:rFonts w:hint="eastAsia"/>
          <w:sz w:val="24"/>
        </w:rPr>
        <w:t>金</w:t>
      </w:r>
      <w:proofErr w:type="gramStart"/>
      <w:r w:rsidR="00906F4D" w:rsidRPr="00C74EB6">
        <w:rPr>
          <w:rFonts w:hint="eastAsia"/>
          <w:sz w:val="24"/>
        </w:rPr>
        <w:t>碚</w:t>
      </w:r>
      <w:proofErr w:type="gramEnd"/>
      <w:r w:rsidR="00906F4D" w:rsidRPr="00C74EB6">
        <w:rPr>
          <w:rFonts w:hint="eastAsia"/>
          <w:sz w:val="24"/>
        </w:rPr>
        <w:t>，</w:t>
      </w:r>
      <w:r w:rsidR="00906F4D" w:rsidRPr="00C74EB6">
        <w:rPr>
          <w:rFonts w:hint="eastAsia"/>
          <w:sz w:val="24"/>
        </w:rPr>
        <w:t>2020</w:t>
      </w:r>
      <w:r w:rsidR="004A4015" w:rsidRPr="00C74EB6">
        <w:rPr>
          <w:rFonts w:hint="eastAsia"/>
          <w:sz w:val="24"/>
        </w:rPr>
        <w:t>）</w:t>
      </w:r>
      <w:r w:rsidR="00A90C3E" w:rsidRPr="00C74EB6">
        <w:rPr>
          <w:rFonts w:hint="eastAsia"/>
          <w:sz w:val="24"/>
        </w:rPr>
        <w:t>，资源刚性致使其重复投资熟悉的领域，惯例刚性使其难以改变</w:t>
      </w:r>
      <w:r w:rsidR="004A4015" w:rsidRPr="00C74EB6">
        <w:rPr>
          <w:rFonts w:hint="eastAsia"/>
          <w:sz w:val="24"/>
        </w:rPr>
        <w:t>其</w:t>
      </w:r>
      <w:r w:rsidR="00A90C3E" w:rsidRPr="00C74EB6">
        <w:rPr>
          <w:rFonts w:hint="eastAsia"/>
          <w:sz w:val="24"/>
        </w:rPr>
        <w:t>投资逻辑</w:t>
      </w:r>
      <w:r w:rsidR="004A4015" w:rsidRPr="00C74EB6">
        <w:rPr>
          <w:rFonts w:hint="eastAsia"/>
          <w:sz w:val="24"/>
        </w:rPr>
        <w:t>和实践</w:t>
      </w:r>
      <w:r w:rsidR="00A90C3E" w:rsidRPr="00C74EB6">
        <w:rPr>
          <w:rFonts w:hint="eastAsia"/>
          <w:sz w:val="24"/>
        </w:rPr>
        <w:t>（余义勇和杨忠，</w:t>
      </w:r>
      <w:r w:rsidR="00A90C3E" w:rsidRPr="00C74EB6">
        <w:rPr>
          <w:rFonts w:hint="eastAsia"/>
          <w:sz w:val="24"/>
        </w:rPr>
        <w:t>2022</w:t>
      </w:r>
      <w:r w:rsidR="00A90C3E" w:rsidRPr="00C74EB6">
        <w:rPr>
          <w:rFonts w:hint="eastAsia"/>
          <w:sz w:val="24"/>
        </w:rPr>
        <w:t>）</w:t>
      </w:r>
      <w:r w:rsidR="00866B71" w:rsidRPr="00C74EB6">
        <w:rPr>
          <w:rFonts w:hint="eastAsia"/>
          <w:sz w:val="24"/>
        </w:rPr>
        <w:t>。</w:t>
      </w:r>
      <w:r w:rsidR="00A90C3E" w:rsidRPr="00C74EB6">
        <w:rPr>
          <w:rFonts w:hint="eastAsia"/>
          <w:sz w:val="24"/>
        </w:rPr>
        <w:t>例如，宝丽来、柯达等企业过于依赖过往的组织模式，未能顺应环境变化。</w:t>
      </w:r>
      <w:r w:rsidR="00866B71" w:rsidRPr="00C74EB6">
        <w:rPr>
          <w:rFonts w:hint="eastAsia"/>
          <w:sz w:val="24"/>
        </w:rPr>
        <w:t>由此可见，难以量化的规则资本容易引致更加严重的两类委托代理问题。</w:t>
      </w:r>
    </w:p>
    <w:p w14:paraId="108223E7" w14:textId="212D9BA5" w:rsidR="00DF390F" w:rsidRPr="00C74EB6" w:rsidRDefault="006F7D01" w:rsidP="00DF390F">
      <w:pPr>
        <w:spacing w:line="360" w:lineRule="auto"/>
        <w:ind w:firstLineChars="200" w:firstLine="480"/>
        <w:jc w:val="left"/>
        <w:rPr>
          <w:sz w:val="24"/>
        </w:rPr>
      </w:pPr>
      <w:r w:rsidRPr="00C74EB6">
        <w:rPr>
          <w:rFonts w:hint="eastAsia"/>
          <w:sz w:val="24"/>
        </w:rPr>
        <w:t>知识管理资本</w:t>
      </w:r>
      <w:r w:rsidR="00D02618" w:rsidRPr="00C74EB6">
        <w:rPr>
          <w:rFonts w:hint="eastAsia"/>
          <w:sz w:val="24"/>
        </w:rPr>
        <w:t>的范畴，</w:t>
      </w:r>
      <w:r w:rsidR="004C5073" w:rsidRPr="00C74EB6">
        <w:rPr>
          <w:rFonts w:hint="eastAsia"/>
          <w:sz w:val="24"/>
        </w:rPr>
        <w:t>从刘海建和陈传明（</w:t>
      </w:r>
      <w:r w:rsidR="004C5073" w:rsidRPr="00C74EB6">
        <w:rPr>
          <w:rFonts w:hint="eastAsia"/>
          <w:sz w:val="24"/>
        </w:rPr>
        <w:t>2007</w:t>
      </w:r>
      <w:r w:rsidR="004C5073" w:rsidRPr="00C74EB6">
        <w:rPr>
          <w:rFonts w:hint="eastAsia"/>
          <w:sz w:val="24"/>
        </w:rPr>
        <w:t>）</w:t>
      </w:r>
      <w:r w:rsidR="00AB2F4F" w:rsidRPr="00C74EB6">
        <w:rPr>
          <w:rFonts w:hint="eastAsia"/>
          <w:sz w:val="24"/>
        </w:rPr>
        <w:t>界定的</w:t>
      </w:r>
      <w:r w:rsidR="004C5073" w:rsidRPr="00C74EB6">
        <w:rPr>
          <w:rFonts w:hint="eastAsia"/>
          <w:sz w:val="24"/>
        </w:rPr>
        <w:t>狭义知识管理体系</w:t>
      </w:r>
      <w:r w:rsidR="00AB2F4F" w:rsidRPr="00C74EB6">
        <w:rPr>
          <w:rFonts w:hint="eastAsia"/>
          <w:sz w:val="24"/>
        </w:rPr>
        <w:t>，延伸至</w:t>
      </w:r>
      <w:r w:rsidR="00405988" w:rsidRPr="00C74EB6">
        <w:rPr>
          <w:rFonts w:hint="eastAsia"/>
          <w:sz w:val="24"/>
        </w:rPr>
        <w:t>企业独有的</w:t>
      </w:r>
      <w:r w:rsidR="00AB2F4F" w:rsidRPr="00C74EB6">
        <w:rPr>
          <w:rFonts w:hint="eastAsia"/>
          <w:sz w:val="24"/>
        </w:rPr>
        <w:t>复合型知识资产</w:t>
      </w:r>
      <w:r w:rsidR="00405988" w:rsidRPr="00C74EB6">
        <w:rPr>
          <w:rFonts w:hint="eastAsia"/>
          <w:sz w:val="24"/>
        </w:rPr>
        <w:t>，</w:t>
      </w:r>
      <w:r w:rsidR="00D02618" w:rsidRPr="00C74EB6">
        <w:rPr>
          <w:rFonts w:hint="eastAsia"/>
          <w:sz w:val="24"/>
        </w:rPr>
        <w:t>可涵盖</w:t>
      </w:r>
      <w:r w:rsidR="00AB2F4F" w:rsidRPr="00C74EB6">
        <w:rPr>
          <w:rFonts w:hint="eastAsia"/>
          <w:sz w:val="24"/>
        </w:rPr>
        <w:t>制度化的管理机制</w:t>
      </w:r>
      <w:r w:rsidR="00405988" w:rsidRPr="00C74EB6">
        <w:rPr>
          <w:rFonts w:hint="eastAsia"/>
          <w:sz w:val="24"/>
        </w:rPr>
        <w:t>、研发</w:t>
      </w:r>
      <w:r w:rsidR="00AB2F4F" w:rsidRPr="00C74EB6">
        <w:rPr>
          <w:rFonts w:hint="eastAsia"/>
          <w:sz w:val="24"/>
        </w:rPr>
        <w:t>投入和专利储备</w:t>
      </w:r>
      <w:r w:rsidR="00405988" w:rsidRPr="00C74EB6">
        <w:rPr>
          <w:rFonts w:hint="eastAsia"/>
          <w:sz w:val="24"/>
        </w:rPr>
        <w:t>、业务实践和专业经验、数据库搭建等</w:t>
      </w:r>
      <w:r w:rsidR="00D02618" w:rsidRPr="00C74EB6">
        <w:rPr>
          <w:rFonts w:hint="eastAsia"/>
          <w:sz w:val="24"/>
        </w:rPr>
        <w:t>多个方面</w:t>
      </w:r>
      <w:r w:rsidR="00405988" w:rsidRPr="00C74EB6">
        <w:rPr>
          <w:rFonts w:hint="eastAsia"/>
          <w:sz w:val="24"/>
        </w:rPr>
        <w:t>（</w:t>
      </w:r>
      <w:r w:rsidR="00405988" w:rsidRPr="00C74EB6">
        <w:rPr>
          <w:rFonts w:hint="eastAsia"/>
          <w:sz w:val="24"/>
        </w:rPr>
        <w:t>Cui</w:t>
      </w:r>
      <w:r w:rsidR="00405988" w:rsidRPr="00C74EB6">
        <w:rPr>
          <w:rFonts w:hint="eastAsia"/>
          <w:sz w:val="24"/>
        </w:rPr>
        <w:t>等，</w:t>
      </w:r>
      <w:r w:rsidR="00405988" w:rsidRPr="00C74EB6">
        <w:rPr>
          <w:rFonts w:hint="eastAsia"/>
          <w:sz w:val="24"/>
        </w:rPr>
        <w:t>2021</w:t>
      </w:r>
      <w:r w:rsidR="00405988" w:rsidRPr="00C74EB6">
        <w:rPr>
          <w:rFonts w:hint="eastAsia"/>
          <w:sz w:val="24"/>
        </w:rPr>
        <w:t>）。</w:t>
      </w:r>
      <w:r w:rsidR="00D02618" w:rsidRPr="00C74EB6">
        <w:rPr>
          <w:rFonts w:hint="eastAsia"/>
          <w:sz w:val="24"/>
        </w:rPr>
        <w:t>在知识管理资本的积累过程中，由于其难以被量化和定期高频追踪，</w:t>
      </w:r>
      <w:r w:rsidR="00AB2F4F" w:rsidRPr="00C74EB6">
        <w:rPr>
          <w:rFonts w:hint="eastAsia"/>
          <w:sz w:val="24"/>
        </w:rPr>
        <w:t>这为管理层</w:t>
      </w:r>
      <w:r w:rsidR="00D02618" w:rsidRPr="00C74EB6">
        <w:rPr>
          <w:rFonts w:hint="eastAsia"/>
          <w:sz w:val="24"/>
        </w:rPr>
        <w:t>或</w:t>
      </w:r>
      <w:r w:rsidR="00A96772" w:rsidRPr="00C74EB6">
        <w:rPr>
          <w:rFonts w:hint="eastAsia"/>
          <w:sz w:val="24"/>
        </w:rPr>
        <w:t>大</w:t>
      </w:r>
      <w:r w:rsidR="00D02618" w:rsidRPr="00C74EB6">
        <w:rPr>
          <w:rFonts w:hint="eastAsia"/>
          <w:sz w:val="24"/>
        </w:rPr>
        <w:t>股东提供了</w:t>
      </w:r>
      <w:r w:rsidR="00AB2F4F" w:rsidRPr="00C74EB6">
        <w:rPr>
          <w:rFonts w:hint="eastAsia"/>
          <w:sz w:val="24"/>
        </w:rPr>
        <w:t>操作空间：</w:t>
      </w:r>
      <w:r w:rsidR="00405988" w:rsidRPr="00C74EB6">
        <w:rPr>
          <w:rFonts w:hint="eastAsia"/>
          <w:sz w:val="24"/>
        </w:rPr>
        <w:t>涉及到相关项目预算审批时</w:t>
      </w:r>
      <w:r w:rsidR="00AB2F4F" w:rsidRPr="00C74EB6">
        <w:rPr>
          <w:rFonts w:hint="eastAsia"/>
          <w:sz w:val="24"/>
        </w:rPr>
        <w:t>，</w:t>
      </w:r>
      <w:r w:rsidR="00405988" w:rsidRPr="00C74EB6">
        <w:rPr>
          <w:rFonts w:hint="eastAsia"/>
          <w:sz w:val="24"/>
        </w:rPr>
        <w:t>管理层可通过</w:t>
      </w:r>
      <w:r w:rsidR="00AB2F4F" w:rsidRPr="00C74EB6">
        <w:rPr>
          <w:rFonts w:hint="eastAsia"/>
          <w:sz w:val="24"/>
        </w:rPr>
        <w:t>调整</w:t>
      </w:r>
      <w:r w:rsidR="00405988" w:rsidRPr="00C74EB6">
        <w:rPr>
          <w:rFonts w:hint="eastAsia"/>
          <w:sz w:val="24"/>
        </w:rPr>
        <w:t>预测</w:t>
      </w:r>
      <w:r w:rsidR="00AB2F4F" w:rsidRPr="00C74EB6">
        <w:rPr>
          <w:rFonts w:hint="eastAsia"/>
          <w:sz w:val="24"/>
        </w:rPr>
        <w:t>假设来</w:t>
      </w:r>
      <w:r w:rsidR="00405988" w:rsidRPr="00C74EB6">
        <w:rPr>
          <w:rFonts w:hint="eastAsia"/>
          <w:sz w:val="24"/>
        </w:rPr>
        <w:t>提高预算</w:t>
      </w:r>
      <w:r w:rsidR="00A96772" w:rsidRPr="00C74EB6">
        <w:rPr>
          <w:rFonts w:hint="eastAsia"/>
          <w:sz w:val="24"/>
        </w:rPr>
        <w:t>标准</w:t>
      </w:r>
      <w:r w:rsidR="008462A3" w:rsidRPr="00C74EB6">
        <w:rPr>
          <w:rFonts w:hint="eastAsia"/>
          <w:sz w:val="24"/>
        </w:rPr>
        <w:t>；</w:t>
      </w:r>
      <w:r w:rsidR="00D02618" w:rsidRPr="00C74EB6">
        <w:rPr>
          <w:rFonts w:hint="eastAsia"/>
          <w:sz w:val="24"/>
        </w:rPr>
        <w:t>管理层或控股股东也可以控制研发</w:t>
      </w:r>
      <w:r w:rsidR="008462A3" w:rsidRPr="00C74EB6">
        <w:rPr>
          <w:rFonts w:hint="eastAsia"/>
          <w:sz w:val="24"/>
        </w:rPr>
        <w:t>和技术</w:t>
      </w:r>
      <w:r w:rsidR="00D02618" w:rsidRPr="00C74EB6">
        <w:rPr>
          <w:rFonts w:hint="eastAsia"/>
          <w:sz w:val="24"/>
        </w:rPr>
        <w:t>信息的披露内容和节点来利己</w:t>
      </w:r>
      <w:r w:rsidR="008462A3" w:rsidRPr="00C74EB6">
        <w:rPr>
          <w:rFonts w:hint="eastAsia"/>
          <w:sz w:val="24"/>
        </w:rPr>
        <w:t>。而</w:t>
      </w:r>
      <w:r w:rsidR="00D02618" w:rsidRPr="00C74EB6">
        <w:rPr>
          <w:rFonts w:hint="eastAsia"/>
          <w:sz w:val="24"/>
        </w:rPr>
        <w:t>委托人难以精准衡量管理层的努力程度、也难以对研发失败追责（</w:t>
      </w:r>
      <w:r w:rsidR="00D02618" w:rsidRPr="00C74EB6">
        <w:rPr>
          <w:rFonts w:hint="eastAsia"/>
          <w:sz w:val="24"/>
        </w:rPr>
        <w:t>Aboody</w:t>
      </w:r>
      <w:r w:rsidR="00D02618" w:rsidRPr="00C74EB6">
        <w:rPr>
          <w:rFonts w:hint="eastAsia"/>
          <w:sz w:val="24"/>
        </w:rPr>
        <w:t>和</w:t>
      </w:r>
      <w:r w:rsidR="00D02618" w:rsidRPr="00C74EB6">
        <w:rPr>
          <w:rFonts w:hint="eastAsia"/>
          <w:sz w:val="24"/>
        </w:rPr>
        <w:t>Lev</w:t>
      </w:r>
      <w:r w:rsidR="00D02618" w:rsidRPr="00C74EB6">
        <w:rPr>
          <w:rFonts w:hint="eastAsia"/>
          <w:sz w:val="24"/>
        </w:rPr>
        <w:t>，</w:t>
      </w:r>
      <w:r w:rsidR="00D02618" w:rsidRPr="00C74EB6">
        <w:rPr>
          <w:rFonts w:hint="eastAsia"/>
          <w:sz w:val="24"/>
        </w:rPr>
        <w:t>2000</w:t>
      </w:r>
      <w:r w:rsidR="00D02618" w:rsidRPr="00C74EB6">
        <w:rPr>
          <w:rFonts w:hint="eastAsia"/>
          <w:sz w:val="24"/>
        </w:rPr>
        <w:t>；</w:t>
      </w:r>
      <w:proofErr w:type="gramStart"/>
      <w:r w:rsidR="00D02618" w:rsidRPr="00C74EB6">
        <w:rPr>
          <w:rFonts w:hint="eastAsia"/>
          <w:sz w:val="24"/>
        </w:rPr>
        <w:t>陈钦源等</w:t>
      </w:r>
      <w:proofErr w:type="gramEnd"/>
      <w:r w:rsidR="00D02618" w:rsidRPr="00C74EB6">
        <w:rPr>
          <w:rFonts w:hint="eastAsia"/>
          <w:sz w:val="24"/>
        </w:rPr>
        <w:t>，</w:t>
      </w:r>
      <w:r w:rsidR="00D02618" w:rsidRPr="00C74EB6">
        <w:rPr>
          <w:rFonts w:hint="eastAsia"/>
          <w:sz w:val="24"/>
        </w:rPr>
        <w:t>2017</w:t>
      </w:r>
      <w:r w:rsidR="00D02618" w:rsidRPr="00C74EB6">
        <w:rPr>
          <w:rFonts w:hint="eastAsia"/>
          <w:sz w:val="24"/>
        </w:rPr>
        <w:t>）。因此，知识管理资本积累的同时，也给代理人创造了利己的操作空间。</w:t>
      </w:r>
    </w:p>
    <w:p w14:paraId="76A592A8" w14:textId="6CC13C7F" w:rsidR="00FB4AAA" w:rsidRPr="00C74EB6" w:rsidRDefault="00575219" w:rsidP="00FB4AAA">
      <w:pPr>
        <w:spacing w:line="360" w:lineRule="auto"/>
        <w:ind w:firstLineChars="200" w:firstLine="480"/>
        <w:jc w:val="left"/>
        <w:rPr>
          <w:sz w:val="24"/>
        </w:rPr>
      </w:pPr>
      <w:r w:rsidRPr="00C74EB6">
        <w:rPr>
          <w:rFonts w:hint="eastAsia"/>
          <w:sz w:val="24"/>
        </w:rPr>
        <w:t>委托代理问题</w:t>
      </w:r>
      <w:r w:rsidR="00DF390F" w:rsidRPr="00C74EB6">
        <w:rPr>
          <w:rFonts w:hint="eastAsia"/>
          <w:sz w:val="24"/>
        </w:rPr>
        <w:t>越严重，公司越容易暴露在</w:t>
      </w:r>
      <w:r w:rsidRPr="00C74EB6">
        <w:rPr>
          <w:rFonts w:hint="eastAsia"/>
          <w:sz w:val="24"/>
        </w:rPr>
        <w:t>诉讼风险</w:t>
      </w:r>
      <w:r w:rsidR="00DF390F" w:rsidRPr="00C74EB6">
        <w:rPr>
          <w:rFonts w:hint="eastAsia"/>
          <w:sz w:val="24"/>
        </w:rPr>
        <w:t>中。管理层和控股股东的</w:t>
      </w:r>
      <w:r w:rsidR="00FB4AAA" w:rsidRPr="00C74EB6">
        <w:rPr>
          <w:rFonts w:hint="eastAsia"/>
          <w:sz w:val="24"/>
        </w:rPr>
        <w:t>自利或共谋</w:t>
      </w:r>
      <w:r w:rsidR="00DF390F" w:rsidRPr="00C74EB6">
        <w:rPr>
          <w:rFonts w:hint="eastAsia"/>
          <w:sz w:val="24"/>
        </w:rPr>
        <w:t>行为容易引发利益相关方诉讼，给公司造成较</w:t>
      </w:r>
      <w:r w:rsidR="00523C35" w:rsidRPr="00C74EB6">
        <w:rPr>
          <w:rFonts w:hint="eastAsia"/>
          <w:sz w:val="24"/>
        </w:rPr>
        <w:t>高</w:t>
      </w:r>
      <w:r w:rsidR="00DF390F" w:rsidRPr="00C74EB6">
        <w:rPr>
          <w:rFonts w:hint="eastAsia"/>
          <w:sz w:val="24"/>
        </w:rPr>
        <w:t>诉讼费和赔偿金，</w:t>
      </w:r>
      <w:r w:rsidR="008D7D89" w:rsidRPr="00C74EB6">
        <w:rPr>
          <w:rFonts w:hint="eastAsia"/>
          <w:sz w:val="24"/>
        </w:rPr>
        <w:t>尤其是在治理不透明的情况下，诉讼风险</w:t>
      </w:r>
      <w:r w:rsidRPr="00C74EB6">
        <w:rPr>
          <w:rFonts w:hint="eastAsia"/>
          <w:sz w:val="24"/>
        </w:rPr>
        <w:t>会</w:t>
      </w:r>
      <w:r w:rsidR="008D7D89" w:rsidRPr="00C74EB6">
        <w:rPr>
          <w:rFonts w:hint="eastAsia"/>
          <w:sz w:val="24"/>
        </w:rPr>
        <w:t>显著增加</w:t>
      </w:r>
      <w:r w:rsidR="00FD3078" w:rsidRPr="00C74EB6">
        <w:rPr>
          <w:rFonts w:hint="eastAsia"/>
          <w:sz w:val="24"/>
        </w:rPr>
        <w:t>（王文姣等，</w:t>
      </w:r>
      <w:r w:rsidR="00FD3078" w:rsidRPr="00C74EB6">
        <w:rPr>
          <w:rFonts w:hint="eastAsia"/>
          <w:sz w:val="24"/>
        </w:rPr>
        <w:t>2017</w:t>
      </w:r>
      <w:r w:rsidR="00FD3078" w:rsidRPr="00C74EB6">
        <w:rPr>
          <w:rFonts w:hint="eastAsia"/>
          <w:sz w:val="24"/>
        </w:rPr>
        <w:t>）</w:t>
      </w:r>
      <w:r w:rsidR="008D7D89" w:rsidRPr="00C74EB6">
        <w:rPr>
          <w:rFonts w:hint="eastAsia"/>
          <w:sz w:val="24"/>
        </w:rPr>
        <w:t>。</w:t>
      </w:r>
      <w:r w:rsidR="008462A3" w:rsidRPr="00C74EB6">
        <w:rPr>
          <w:rFonts w:hint="eastAsia"/>
          <w:sz w:val="24"/>
        </w:rPr>
        <w:t>因此，公司会开始考虑购买董</w:t>
      </w:r>
      <w:proofErr w:type="gramStart"/>
      <w:r w:rsidR="008462A3" w:rsidRPr="00C74EB6">
        <w:rPr>
          <w:rFonts w:hint="eastAsia"/>
          <w:sz w:val="24"/>
        </w:rPr>
        <w:t>监高责任</w:t>
      </w:r>
      <w:proofErr w:type="gramEnd"/>
      <w:r w:rsidR="008462A3" w:rsidRPr="00C74EB6">
        <w:rPr>
          <w:rFonts w:hint="eastAsia"/>
          <w:sz w:val="24"/>
        </w:rPr>
        <w:t>险。</w:t>
      </w:r>
    </w:p>
    <w:p w14:paraId="1FE23FD8" w14:textId="5085003A" w:rsidR="00DF390F" w:rsidRPr="00C74EB6" w:rsidRDefault="008462A3" w:rsidP="001019E8">
      <w:pPr>
        <w:spacing w:line="360" w:lineRule="auto"/>
        <w:ind w:firstLineChars="200" w:firstLine="480"/>
        <w:jc w:val="left"/>
        <w:rPr>
          <w:sz w:val="24"/>
        </w:rPr>
      </w:pPr>
      <w:r w:rsidRPr="00C74EB6">
        <w:rPr>
          <w:rFonts w:hint="eastAsia"/>
          <w:sz w:val="24"/>
        </w:rPr>
        <w:t>除了直接控制</w:t>
      </w:r>
      <w:r w:rsidR="009809FC" w:rsidRPr="00C74EB6">
        <w:rPr>
          <w:rFonts w:hint="eastAsia"/>
          <w:sz w:val="24"/>
        </w:rPr>
        <w:t>诉讼风险</w:t>
      </w:r>
      <w:r w:rsidRPr="00C74EB6">
        <w:rPr>
          <w:rFonts w:hint="eastAsia"/>
          <w:sz w:val="24"/>
        </w:rPr>
        <w:t>，</w:t>
      </w:r>
      <w:r w:rsidR="009809FC" w:rsidRPr="00C74EB6">
        <w:rPr>
          <w:rFonts w:hint="eastAsia"/>
          <w:sz w:val="24"/>
        </w:rPr>
        <w:t>该保险</w:t>
      </w:r>
      <w:r w:rsidRPr="00C74EB6">
        <w:rPr>
          <w:rFonts w:hint="eastAsia"/>
          <w:sz w:val="24"/>
        </w:rPr>
        <w:t>还可以提供两个功能，进一步增加公司购买动力：</w:t>
      </w:r>
      <w:r w:rsidRPr="00C74EB6">
        <w:rPr>
          <w:rFonts w:hint="eastAsia"/>
          <w:sz w:val="24"/>
        </w:rPr>
        <w:t>1</w:t>
      </w:r>
      <w:r w:rsidRPr="00C74EB6">
        <w:rPr>
          <w:rFonts w:hint="eastAsia"/>
          <w:sz w:val="24"/>
        </w:rPr>
        <w:t>）</w:t>
      </w:r>
      <w:r w:rsidR="008D7D89" w:rsidRPr="00C74EB6">
        <w:rPr>
          <w:rFonts w:hint="eastAsia"/>
          <w:sz w:val="24"/>
        </w:rPr>
        <w:t>保司</w:t>
      </w:r>
      <w:r w:rsidR="00FE6C85" w:rsidRPr="00C74EB6">
        <w:rPr>
          <w:rFonts w:hint="eastAsia"/>
          <w:sz w:val="24"/>
        </w:rPr>
        <w:t>在</w:t>
      </w:r>
      <w:r w:rsidRPr="00C74EB6">
        <w:rPr>
          <w:rFonts w:hint="eastAsia"/>
          <w:sz w:val="24"/>
        </w:rPr>
        <w:t>公司投保</w:t>
      </w:r>
      <w:r w:rsidR="00FE6C85" w:rsidRPr="00C74EB6">
        <w:rPr>
          <w:rFonts w:hint="eastAsia"/>
          <w:sz w:val="24"/>
        </w:rPr>
        <w:t>前的各项调查和信息披露、事前预警和投保后的定期管理和监督，均可以</w:t>
      </w:r>
      <w:r w:rsidR="008D7D89" w:rsidRPr="00C74EB6">
        <w:rPr>
          <w:rFonts w:hint="eastAsia"/>
          <w:sz w:val="24"/>
        </w:rPr>
        <w:t>缓解委托代理问题</w:t>
      </w:r>
      <w:r w:rsidR="00575219" w:rsidRPr="00C74EB6">
        <w:rPr>
          <w:rFonts w:hint="eastAsia"/>
          <w:sz w:val="24"/>
        </w:rPr>
        <w:t>（许荣和王杰，</w:t>
      </w:r>
      <w:r w:rsidR="00575219" w:rsidRPr="00C74EB6">
        <w:rPr>
          <w:rFonts w:hint="eastAsia"/>
          <w:sz w:val="24"/>
        </w:rPr>
        <w:t>2012</w:t>
      </w:r>
      <w:r w:rsidR="00575219" w:rsidRPr="00C74EB6">
        <w:rPr>
          <w:rFonts w:hint="eastAsia"/>
          <w:sz w:val="24"/>
        </w:rPr>
        <w:t>；</w:t>
      </w:r>
      <w:r w:rsidR="00FE6C85" w:rsidRPr="00C74EB6">
        <w:rPr>
          <w:rFonts w:hint="eastAsia"/>
          <w:sz w:val="24"/>
        </w:rPr>
        <w:t>凌士显和白锐锋，</w:t>
      </w:r>
      <w:r w:rsidR="00FE6C85" w:rsidRPr="00C74EB6">
        <w:rPr>
          <w:rFonts w:hint="eastAsia"/>
          <w:sz w:val="24"/>
        </w:rPr>
        <w:t>2018</w:t>
      </w:r>
      <w:r w:rsidR="00FE6C85" w:rsidRPr="00C74EB6">
        <w:rPr>
          <w:rFonts w:hint="eastAsia"/>
          <w:sz w:val="24"/>
        </w:rPr>
        <w:t>；</w:t>
      </w:r>
      <w:r w:rsidR="00575219" w:rsidRPr="00C74EB6">
        <w:rPr>
          <w:rFonts w:hint="eastAsia"/>
          <w:sz w:val="24"/>
        </w:rPr>
        <w:t>李从刚和许荣，</w:t>
      </w:r>
      <w:r w:rsidR="00575219" w:rsidRPr="00C74EB6">
        <w:rPr>
          <w:rFonts w:hint="eastAsia"/>
          <w:sz w:val="24"/>
        </w:rPr>
        <w:t>2020</w:t>
      </w:r>
      <w:r w:rsidR="00575219" w:rsidRPr="00C74EB6">
        <w:rPr>
          <w:rFonts w:hint="eastAsia"/>
          <w:sz w:val="24"/>
        </w:rPr>
        <w:t>）</w:t>
      </w:r>
      <w:r w:rsidRPr="00C74EB6">
        <w:rPr>
          <w:rFonts w:hint="eastAsia"/>
          <w:sz w:val="24"/>
        </w:rPr>
        <w:t>；</w:t>
      </w:r>
      <w:r w:rsidRPr="00C74EB6">
        <w:rPr>
          <w:rFonts w:hint="eastAsia"/>
          <w:sz w:val="24"/>
        </w:rPr>
        <w:t>2</w:t>
      </w:r>
      <w:r w:rsidRPr="00C74EB6">
        <w:rPr>
          <w:rFonts w:hint="eastAsia"/>
          <w:sz w:val="24"/>
        </w:rPr>
        <w:t>）大股东通过</w:t>
      </w:r>
      <w:r w:rsidR="009809FC" w:rsidRPr="00C74EB6">
        <w:rPr>
          <w:rFonts w:hint="eastAsia"/>
          <w:sz w:val="24"/>
        </w:rPr>
        <w:t>该保险</w:t>
      </w:r>
      <w:r w:rsidR="00FB4AAA" w:rsidRPr="00C74EB6">
        <w:rPr>
          <w:rFonts w:hint="eastAsia"/>
          <w:sz w:val="24"/>
        </w:rPr>
        <w:t>减轻管理层</w:t>
      </w:r>
      <w:r w:rsidR="009809FC" w:rsidRPr="00C74EB6">
        <w:rPr>
          <w:rFonts w:hint="eastAsia"/>
          <w:sz w:val="24"/>
        </w:rPr>
        <w:t>的</w:t>
      </w:r>
      <w:r w:rsidR="00FB4AAA" w:rsidRPr="00C74EB6">
        <w:rPr>
          <w:rFonts w:hint="eastAsia"/>
          <w:sz w:val="24"/>
        </w:rPr>
        <w:t>诉讼风险，以留住人才、达成合作，</w:t>
      </w:r>
      <w:r w:rsidR="009809FC" w:rsidRPr="00C74EB6">
        <w:rPr>
          <w:rFonts w:hint="eastAsia"/>
          <w:sz w:val="24"/>
        </w:rPr>
        <w:t>也为自己谋取私利提供机会（</w:t>
      </w:r>
      <w:r w:rsidR="009809FC" w:rsidRPr="00C74EB6">
        <w:rPr>
          <w:rFonts w:hint="eastAsia"/>
          <w:sz w:val="24"/>
        </w:rPr>
        <w:t>Zou</w:t>
      </w:r>
      <w:r w:rsidR="009809FC" w:rsidRPr="00C74EB6">
        <w:rPr>
          <w:rFonts w:hint="eastAsia"/>
          <w:sz w:val="24"/>
        </w:rPr>
        <w:t>等，</w:t>
      </w:r>
      <w:r w:rsidR="009809FC" w:rsidRPr="00C74EB6">
        <w:rPr>
          <w:rFonts w:hint="eastAsia"/>
          <w:sz w:val="24"/>
        </w:rPr>
        <w:t>2008</w:t>
      </w:r>
      <w:r w:rsidR="009809FC" w:rsidRPr="00C74EB6">
        <w:rPr>
          <w:rFonts w:hint="eastAsia"/>
          <w:sz w:val="24"/>
        </w:rPr>
        <w:t>）。</w:t>
      </w:r>
    </w:p>
    <w:p w14:paraId="678DB396" w14:textId="0E0E1A9B" w:rsidR="008462A3" w:rsidRPr="00C74EB6" w:rsidRDefault="008462A3" w:rsidP="001019E8">
      <w:pPr>
        <w:spacing w:line="360" w:lineRule="auto"/>
        <w:ind w:firstLineChars="200" w:firstLine="480"/>
        <w:jc w:val="left"/>
        <w:rPr>
          <w:sz w:val="24"/>
        </w:rPr>
      </w:pPr>
      <w:r w:rsidRPr="00C74EB6">
        <w:rPr>
          <w:rFonts w:hint="eastAsia"/>
          <w:sz w:val="24"/>
        </w:rPr>
        <w:t>基于此，本文做出如下假设：</w:t>
      </w:r>
    </w:p>
    <w:p w14:paraId="283F6A70" w14:textId="442742B7" w:rsidR="008462A3" w:rsidRPr="00C74EB6" w:rsidRDefault="008462A3" w:rsidP="001019E8">
      <w:pPr>
        <w:spacing w:line="360" w:lineRule="auto"/>
        <w:ind w:firstLineChars="200" w:firstLine="480"/>
        <w:jc w:val="left"/>
        <w:rPr>
          <w:sz w:val="24"/>
        </w:rPr>
      </w:pPr>
      <w:r w:rsidRPr="00C74EB6">
        <w:rPr>
          <w:rFonts w:hint="eastAsia"/>
          <w:sz w:val="24"/>
        </w:rPr>
        <w:t>H2</w:t>
      </w:r>
      <w:r w:rsidRPr="00C74EB6">
        <w:rPr>
          <w:rFonts w:hint="eastAsia"/>
          <w:sz w:val="24"/>
        </w:rPr>
        <w:t>：组织资本通过加剧委托代理问题（管理层机会主义、大股东利益输送），正向</w:t>
      </w:r>
      <w:r w:rsidR="009809FC" w:rsidRPr="00C74EB6">
        <w:rPr>
          <w:rFonts w:hint="eastAsia"/>
          <w:sz w:val="24"/>
        </w:rPr>
        <w:t>提升</w:t>
      </w:r>
      <w:r w:rsidRPr="00C74EB6">
        <w:rPr>
          <w:rFonts w:hint="eastAsia"/>
          <w:sz w:val="24"/>
        </w:rPr>
        <w:t>公司对董</w:t>
      </w:r>
      <w:proofErr w:type="gramStart"/>
      <w:r w:rsidRPr="00C74EB6">
        <w:rPr>
          <w:rFonts w:hint="eastAsia"/>
          <w:sz w:val="24"/>
        </w:rPr>
        <w:t>监高责任</w:t>
      </w:r>
      <w:proofErr w:type="gramEnd"/>
      <w:r w:rsidRPr="00C74EB6">
        <w:rPr>
          <w:rFonts w:hint="eastAsia"/>
          <w:sz w:val="24"/>
        </w:rPr>
        <w:t>险的投保意向。</w:t>
      </w:r>
    </w:p>
    <w:p w14:paraId="6C76FE93" w14:textId="069AC395" w:rsidR="00FE0749" w:rsidRPr="00C74EB6" w:rsidRDefault="00FE0749" w:rsidP="00601F7D">
      <w:pPr>
        <w:spacing w:line="360" w:lineRule="auto"/>
        <w:rPr>
          <w:sz w:val="24"/>
        </w:rPr>
      </w:pPr>
      <w:r w:rsidRPr="00C74EB6">
        <w:rPr>
          <w:rFonts w:hint="eastAsia"/>
          <w:sz w:val="24"/>
        </w:rPr>
        <w:lastRenderedPageBreak/>
        <w:t>（三）投资者关注度机制</w:t>
      </w:r>
    </w:p>
    <w:p w14:paraId="2D65F780" w14:textId="1295BD0B" w:rsidR="00C5286A" w:rsidRPr="00C74EB6" w:rsidRDefault="00C5286A" w:rsidP="00C5286A">
      <w:pPr>
        <w:spacing w:line="360" w:lineRule="auto"/>
        <w:ind w:firstLineChars="200" w:firstLine="480"/>
        <w:rPr>
          <w:sz w:val="24"/>
        </w:rPr>
      </w:pPr>
      <w:r w:rsidRPr="00C74EB6">
        <w:rPr>
          <w:rFonts w:hint="eastAsia"/>
          <w:sz w:val="24"/>
        </w:rPr>
        <w:t>市场投资者，尤其是中小投资者，</w:t>
      </w:r>
      <w:r w:rsidR="003C054C" w:rsidRPr="00C74EB6">
        <w:rPr>
          <w:rFonts w:hint="eastAsia"/>
          <w:sz w:val="24"/>
        </w:rPr>
        <w:t>本身</w:t>
      </w:r>
      <w:r w:rsidRPr="00C74EB6">
        <w:rPr>
          <w:rFonts w:hint="eastAsia"/>
          <w:sz w:val="24"/>
        </w:rPr>
        <w:t>和公司及大股东之间有较大的</w:t>
      </w:r>
      <w:r w:rsidR="003C054C" w:rsidRPr="00C74EB6">
        <w:rPr>
          <w:rFonts w:hint="eastAsia"/>
          <w:sz w:val="24"/>
        </w:rPr>
        <w:t>信息鸿沟</w:t>
      </w:r>
      <w:r w:rsidRPr="00C74EB6">
        <w:rPr>
          <w:rFonts w:hint="eastAsia"/>
          <w:sz w:val="24"/>
        </w:rPr>
        <w:t>。而组织资本作为一种难以</w:t>
      </w:r>
      <w:r w:rsidR="00380117" w:rsidRPr="00C74EB6">
        <w:rPr>
          <w:rFonts w:hint="eastAsia"/>
          <w:sz w:val="24"/>
        </w:rPr>
        <w:t>标准化</w:t>
      </w:r>
      <w:r w:rsidRPr="00C74EB6">
        <w:rPr>
          <w:rFonts w:hint="eastAsia"/>
          <w:sz w:val="24"/>
        </w:rPr>
        <w:t>的无形资产，</w:t>
      </w:r>
      <w:r w:rsidR="00380117" w:rsidRPr="00C74EB6">
        <w:rPr>
          <w:rFonts w:hint="eastAsia"/>
          <w:sz w:val="24"/>
        </w:rPr>
        <w:t>加剧了投资者面临的信息不对称问题</w:t>
      </w:r>
      <w:r w:rsidRPr="00C74EB6">
        <w:rPr>
          <w:rFonts w:hint="eastAsia"/>
          <w:sz w:val="24"/>
        </w:rPr>
        <w:t>。传统托宾</w:t>
      </w:r>
      <w:r w:rsidRPr="00C74EB6">
        <w:rPr>
          <w:rFonts w:hint="eastAsia"/>
          <w:sz w:val="24"/>
        </w:rPr>
        <w:t>Q</w:t>
      </w:r>
      <w:r w:rsidRPr="00C74EB6">
        <w:rPr>
          <w:rFonts w:hint="eastAsia"/>
          <w:sz w:val="24"/>
        </w:rPr>
        <w:t>理论认为，企业的投资决策应该与市场价值和资产重置成本的比例呈现正相关关系。然而，实证研究发现，</w:t>
      </w:r>
      <w:r w:rsidRPr="00C74EB6">
        <w:rPr>
          <w:rFonts w:hint="eastAsia"/>
          <w:sz w:val="24"/>
        </w:rPr>
        <w:t>Q</w:t>
      </w:r>
      <w:r w:rsidRPr="00C74EB6">
        <w:rPr>
          <w:rFonts w:hint="eastAsia"/>
          <w:sz w:val="24"/>
        </w:rPr>
        <w:t>值对企业实际投资的解释力度持续下降；而将无形资产纳入托宾</w:t>
      </w:r>
      <w:r w:rsidRPr="00C74EB6">
        <w:rPr>
          <w:rFonts w:hint="eastAsia"/>
          <w:sz w:val="24"/>
        </w:rPr>
        <w:t>Q</w:t>
      </w:r>
      <w:r w:rsidRPr="00C74EB6">
        <w:rPr>
          <w:rFonts w:hint="eastAsia"/>
          <w:sz w:val="24"/>
        </w:rPr>
        <w:t>值计算会显著提升模型解释力度，降低投资预测偏差（</w:t>
      </w:r>
      <w:r w:rsidRPr="00C74EB6">
        <w:rPr>
          <w:rFonts w:hint="eastAsia"/>
          <w:sz w:val="24"/>
        </w:rPr>
        <w:t>Peter</w:t>
      </w:r>
      <w:r w:rsidR="006B5FD6" w:rsidRPr="00C74EB6">
        <w:rPr>
          <w:rFonts w:hint="eastAsia"/>
          <w:sz w:val="24"/>
        </w:rPr>
        <w:t>s</w:t>
      </w:r>
      <w:r w:rsidRPr="00C74EB6">
        <w:rPr>
          <w:rFonts w:hint="eastAsia"/>
          <w:sz w:val="24"/>
        </w:rPr>
        <w:t>和</w:t>
      </w:r>
      <w:r w:rsidRPr="00C74EB6">
        <w:rPr>
          <w:rFonts w:hint="eastAsia"/>
          <w:sz w:val="24"/>
        </w:rPr>
        <w:t>Tylor</w:t>
      </w:r>
      <w:r w:rsidRPr="00C74EB6">
        <w:rPr>
          <w:rFonts w:hint="eastAsia"/>
          <w:sz w:val="24"/>
        </w:rPr>
        <w:t>，</w:t>
      </w:r>
      <w:r w:rsidRPr="00C74EB6">
        <w:rPr>
          <w:rFonts w:hint="eastAsia"/>
          <w:sz w:val="24"/>
        </w:rPr>
        <w:t>2017</w:t>
      </w:r>
      <w:r w:rsidRPr="00C74EB6">
        <w:rPr>
          <w:rFonts w:hint="eastAsia"/>
          <w:sz w:val="24"/>
        </w:rPr>
        <w:t>）。从投资缺口角度分析（实物资本平均</w:t>
      </w:r>
      <w:r w:rsidRPr="00C74EB6">
        <w:rPr>
          <w:rFonts w:hint="eastAsia"/>
          <w:sz w:val="24"/>
        </w:rPr>
        <w:t>Q</w:t>
      </w:r>
      <w:r w:rsidRPr="00C74EB6">
        <w:rPr>
          <w:rFonts w:hint="eastAsia"/>
          <w:sz w:val="24"/>
        </w:rPr>
        <w:t>值和边际</w:t>
      </w:r>
      <w:r w:rsidRPr="00C74EB6">
        <w:rPr>
          <w:rFonts w:hint="eastAsia"/>
          <w:sz w:val="24"/>
        </w:rPr>
        <w:t>Q</w:t>
      </w:r>
      <w:r w:rsidRPr="00C74EB6">
        <w:rPr>
          <w:rFonts w:hint="eastAsia"/>
          <w:sz w:val="24"/>
        </w:rPr>
        <w:t>值差距），无形资产价值及其租金部分组成了部分投资缺口</w:t>
      </w:r>
      <w:r w:rsidR="008462A3" w:rsidRPr="00C74EB6">
        <w:rPr>
          <w:rFonts w:hint="eastAsia"/>
          <w:sz w:val="24"/>
        </w:rPr>
        <w:t>（</w:t>
      </w:r>
      <w:r w:rsidR="008462A3" w:rsidRPr="00C74EB6">
        <w:rPr>
          <w:sz w:val="24"/>
        </w:rPr>
        <w:t>Crouzet</w:t>
      </w:r>
      <w:r w:rsidR="008462A3" w:rsidRPr="00C74EB6">
        <w:rPr>
          <w:rFonts w:hint="eastAsia"/>
          <w:sz w:val="24"/>
        </w:rPr>
        <w:t>和</w:t>
      </w:r>
      <w:r w:rsidR="008462A3" w:rsidRPr="00C74EB6">
        <w:rPr>
          <w:sz w:val="24"/>
        </w:rPr>
        <w:t>Eberly</w:t>
      </w:r>
      <w:r w:rsidR="008462A3" w:rsidRPr="00C74EB6">
        <w:rPr>
          <w:rFonts w:hint="eastAsia"/>
          <w:sz w:val="24"/>
        </w:rPr>
        <w:t>，</w:t>
      </w:r>
      <w:r w:rsidR="008462A3" w:rsidRPr="00C74EB6">
        <w:rPr>
          <w:rFonts w:hint="eastAsia"/>
          <w:sz w:val="24"/>
        </w:rPr>
        <w:t>2023</w:t>
      </w:r>
      <w:r w:rsidR="008462A3" w:rsidRPr="00C74EB6">
        <w:rPr>
          <w:rFonts w:hint="eastAsia"/>
          <w:sz w:val="24"/>
        </w:rPr>
        <w:t>）。由此可见，</w:t>
      </w:r>
      <w:r w:rsidRPr="00C74EB6">
        <w:rPr>
          <w:rFonts w:hint="eastAsia"/>
          <w:sz w:val="24"/>
        </w:rPr>
        <w:t>对无形资产的漠视会影响企业投资绩效的评估</w:t>
      </w:r>
      <w:r w:rsidR="003C054C" w:rsidRPr="00C74EB6">
        <w:rPr>
          <w:rFonts w:hint="eastAsia"/>
          <w:sz w:val="24"/>
        </w:rPr>
        <w:t>，进而影响</w:t>
      </w:r>
      <w:r w:rsidR="00E41AC2" w:rsidRPr="00C74EB6">
        <w:rPr>
          <w:rFonts w:hint="eastAsia"/>
          <w:sz w:val="24"/>
        </w:rPr>
        <w:t>股票</w:t>
      </w:r>
      <w:r w:rsidR="003C054C" w:rsidRPr="00C74EB6">
        <w:rPr>
          <w:rFonts w:hint="eastAsia"/>
          <w:sz w:val="24"/>
        </w:rPr>
        <w:t>投资者的盈利预测与估值</w:t>
      </w:r>
      <w:r w:rsidRPr="00C74EB6">
        <w:rPr>
          <w:rFonts w:hint="eastAsia"/>
          <w:sz w:val="24"/>
        </w:rPr>
        <w:t>。因此，投资者在面对组织资本较多的企业时，会</w:t>
      </w:r>
      <w:r w:rsidR="003C054C" w:rsidRPr="00C74EB6">
        <w:rPr>
          <w:rFonts w:hint="eastAsia"/>
          <w:sz w:val="24"/>
        </w:rPr>
        <w:t>更加主动调研</w:t>
      </w:r>
      <w:r w:rsidRPr="00C74EB6">
        <w:rPr>
          <w:rFonts w:hint="eastAsia"/>
          <w:sz w:val="24"/>
        </w:rPr>
        <w:t>，深入挖掘企业投资价值，</w:t>
      </w:r>
      <w:r w:rsidR="003C054C" w:rsidRPr="00C74EB6">
        <w:rPr>
          <w:rFonts w:hint="eastAsia"/>
          <w:sz w:val="24"/>
        </w:rPr>
        <w:t>缩小信息偏差</w:t>
      </w:r>
      <w:r w:rsidRPr="00C74EB6">
        <w:rPr>
          <w:rFonts w:hint="eastAsia"/>
          <w:sz w:val="24"/>
        </w:rPr>
        <w:t>。</w:t>
      </w:r>
    </w:p>
    <w:p w14:paraId="3DB3CF30" w14:textId="79E6800C" w:rsidR="003F0F44" w:rsidRPr="00C74EB6" w:rsidRDefault="003C054C" w:rsidP="00C5286A">
      <w:pPr>
        <w:spacing w:line="360" w:lineRule="auto"/>
        <w:ind w:firstLineChars="200" w:firstLine="480"/>
        <w:rPr>
          <w:sz w:val="24"/>
        </w:rPr>
      </w:pPr>
      <w:r w:rsidRPr="00C74EB6">
        <w:rPr>
          <w:rFonts w:hint="eastAsia"/>
          <w:sz w:val="24"/>
        </w:rPr>
        <w:t>另外</w:t>
      </w:r>
      <w:r w:rsidR="00C5286A" w:rsidRPr="00C74EB6">
        <w:rPr>
          <w:rFonts w:hint="eastAsia"/>
          <w:sz w:val="24"/>
        </w:rPr>
        <w:t>，组织资本的基本</w:t>
      </w:r>
      <w:proofErr w:type="gramStart"/>
      <w:r w:rsidR="00C5286A" w:rsidRPr="00C74EB6">
        <w:rPr>
          <w:rFonts w:hint="eastAsia"/>
          <w:sz w:val="24"/>
        </w:rPr>
        <w:t>面价值</w:t>
      </w:r>
      <w:proofErr w:type="gramEnd"/>
      <w:r w:rsidR="00C5286A" w:rsidRPr="00C74EB6">
        <w:rPr>
          <w:rFonts w:hint="eastAsia"/>
          <w:sz w:val="24"/>
        </w:rPr>
        <w:t>创造和派息的可能性也会吸引更多投资者关注。</w:t>
      </w:r>
      <w:r w:rsidR="003F0F44" w:rsidRPr="00C74EB6">
        <w:rPr>
          <w:rFonts w:hint="eastAsia"/>
          <w:sz w:val="24"/>
        </w:rPr>
        <w:t>组织资本较高的企业实施并购时，会实现更高的投资收益率和更出色的并购后经营业绩（</w:t>
      </w:r>
      <w:r w:rsidR="003F0F44" w:rsidRPr="00C74EB6">
        <w:rPr>
          <w:rFonts w:hint="eastAsia"/>
          <w:sz w:val="24"/>
        </w:rPr>
        <w:t>Li</w:t>
      </w:r>
      <w:r w:rsidR="003F0F44" w:rsidRPr="00C74EB6">
        <w:rPr>
          <w:rFonts w:hint="eastAsia"/>
          <w:sz w:val="24"/>
        </w:rPr>
        <w:t>等，</w:t>
      </w:r>
      <w:r w:rsidR="003F0F44" w:rsidRPr="00C74EB6">
        <w:rPr>
          <w:rFonts w:hint="eastAsia"/>
          <w:sz w:val="24"/>
        </w:rPr>
        <w:t>2022</w:t>
      </w:r>
      <w:r w:rsidR="003F0F44" w:rsidRPr="00C74EB6">
        <w:rPr>
          <w:rFonts w:hint="eastAsia"/>
          <w:sz w:val="24"/>
        </w:rPr>
        <w:t>）。这是因为，组织资本一定程度上依附于关键人才，</w:t>
      </w:r>
      <w:proofErr w:type="gramStart"/>
      <w:r w:rsidR="003F0F44" w:rsidRPr="00C74EB6">
        <w:rPr>
          <w:rFonts w:hint="eastAsia"/>
          <w:sz w:val="24"/>
        </w:rPr>
        <w:t>当关键</w:t>
      </w:r>
      <w:proofErr w:type="gramEnd"/>
      <w:r w:rsidR="003F0F44" w:rsidRPr="00C74EB6">
        <w:rPr>
          <w:rFonts w:hint="eastAsia"/>
          <w:sz w:val="24"/>
        </w:rPr>
        <w:t>人才</w:t>
      </w:r>
      <w:r w:rsidR="00742424" w:rsidRPr="00C74EB6">
        <w:rPr>
          <w:rFonts w:hint="eastAsia"/>
          <w:sz w:val="24"/>
        </w:rPr>
        <w:t>参与并购整合时</w:t>
      </w:r>
      <w:r w:rsidR="003F0F44" w:rsidRPr="00C74EB6">
        <w:rPr>
          <w:rFonts w:hint="eastAsia"/>
          <w:sz w:val="24"/>
        </w:rPr>
        <w:t>，部分高价值组织资本也随之转移，从而有效提升被收购方的业绩表现。</w:t>
      </w:r>
      <w:r w:rsidR="00830BD5" w:rsidRPr="00C74EB6">
        <w:rPr>
          <w:rFonts w:hint="eastAsia"/>
          <w:sz w:val="24"/>
        </w:rPr>
        <w:t>因此，投资者更会关注此类基本面更好的</w:t>
      </w:r>
      <w:proofErr w:type="gramStart"/>
      <w:r w:rsidR="00830BD5" w:rsidRPr="00C74EB6">
        <w:rPr>
          <w:rFonts w:hint="eastAsia"/>
          <w:sz w:val="24"/>
        </w:rPr>
        <w:t>高组织</w:t>
      </w:r>
      <w:proofErr w:type="gramEnd"/>
      <w:r w:rsidR="00830BD5" w:rsidRPr="00C74EB6">
        <w:rPr>
          <w:rFonts w:hint="eastAsia"/>
          <w:sz w:val="24"/>
        </w:rPr>
        <w:t>资本企业。</w:t>
      </w:r>
      <w:r w:rsidR="003F0F44" w:rsidRPr="00C74EB6">
        <w:rPr>
          <w:rFonts w:hint="eastAsia"/>
          <w:sz w:val="24"/>
        </w:rPr>
        <w:t>同时，</w:t>
      </w:r>
      <w:proofErr w:type="gramStart"/>
      <w:r w:rsidR="003F0F44" w:rsidRPr="00C74EB6">
        <w:rPr>
          <w:rFonts w:hint="eastAsia"/>
          <w:sz w:val="24"/>
        </w:rPr>
        <w:t>高组织</w:t>
      </w:r>
      <w:proofErr w:type="gramEnd"/>
      <w:r w:rsidR="003F0F44" w:rsidRPr="00C74EB6">
        <w:rPr>
          <w:rFonts w:hint="eastAsia"/>
          <w:sz w:val="24"/>
        </w:rPr>
        <w:t>资本企业为约束管理层自利行为，倾向于提高现金股利支付率（</w:t>
      </w:r>
      <w:r w:rsidR="003F0F44" w:rsidRPr="00C74EB6">
        <w:rPr>
          <w:rFonts w:hint="eastAsia"/>
          <w:sz w:val="24"/>
        </w:rPr>
        <w:t>Hasan</w:t>
      </w:r>
      <w:r w:rsidR="003F0F44" w:rsidRPr="00C74EB6">
        <w:rPr>
          <w:rFonts w:hint="eastAsia"/>
          <w:sz w:val="24"/>
        </w:rPr>
        <w:t>和</w:t>
      </w:r>
      <w:r w:rsidR="003F0F44" w:rsidRPr="00C74EB6">
        <w:rPr>
          <w:rFonts w:hint="eastAsia"/>
          <w:sz w:val="24"/>
        </w:rPr>
        <w:t>Uddin</w:t>
      </w:r>
      <w:r w:rsidR="003F0F44" w:rsidRPr="00C74EB6">
        <w:rPr>
          <w:rFonts w:hint="eastAsia"/>
          <w:sz w:val="24"/>
        </w:rPr>
        <w:t>，</w:t>
      </w:r>
      <w:r w:rsidR="003F0F44" w:rsidRPr="00C74EB6">
        <w:rPr>
          <w:rFonts w:hint="eastAsia"/>
          <w:sz w:val="24"/>
        </w:rPr>
        <w:t>202</w:t>
      </w:r>
      <w:r w:rsidR="003F5AB0" w:rsidRPr="00C74EB6">
        <w:rPr>
          <w:rFonts w:hint="eastAsia"/>
          <w:sz w:val="24"/>
        </w:rPr>
        <w:t>2</w:t>
      </w:r>
      <w:r w:rsidR="003F0F44" w:rsidRPr="00C74EB6">
        <w:rPr>
          <w:rFonts w:hint="eastAsia"/>
          <w:sz w:val="24"/>
        </w:rPr>
        <w:t>），这一举措会吸引更多偏好</w:t>
      </w:r>
      <w:r w:rsidR="00742424" w:rsidRPr="00C74EB6">
        <w:rPr>
          <w:rFonts w:hint="eastAsia"/>
          <w:sz w:val="24"/>
        </w:rPr>
        <w:t>红利策略</w:t>
      </w:r>
      <w:r w:rsidR="003F0F44" w:rsidRPr="00C74EB6">
        <w:rPr>
          <w:rFonts w:hint="eastAsia"/>
          <w:sz w:val="24"/>
        </w:rPr>
        <w:t>的投资者。</w:t>
      </w:r>
    </w:p>
    <w:p w14:paraId="4B7F9536" w14:textId="68C85193" w:rsidR="00482672" w:rsidRPr="00C74EB6" w:rsidRDefault="00C5286A" w:rsidP="008E596C">
      <w:pPr>
        <w:spacing w:line="360" w:lineRule="auto"/>
        <w:ind w:firstLineChars="200" w:firstLine="480"/>
        <w:rPr>
          <w:sz w:val="24"/>
        </w:rPr>
      </w:pPr>
      <w:r w:rsidRPr="00C74EB6">
        <w:rPr>
          <w:rFonts w:hint="eastAsia"/>
          <w:sz w:val="24"/>
        </w:rPr>
        <w:t>面临投资者对</w:t>
      </w:r>
      <w:r w:rsidR="003C054C" w:rsidRPr="00C74EB6">
        <w:rPr>
          <w:rFonts w:hint="eastAsia"/>
          <w:sz w:val="24"/>
        </w:rPr>
        <w:t>信息</w:t>
      </w:r>
      <w:r w:rsidRPr="00C74EB6">
        <w:rPr>
          <w:rFonts w:hint="eastAsia"/>
          <w:sz w:val="24"/>
        </w:rPr>
        <w:t>透明度的更高期待</w:t>
      </w:r>
      <w:r w:rsidR="00523C35" w:rsidRPr="00C74EB6">
        <w:rPr>
          <w:rFonts w:hint="eastAsia"/>
          <w:sz w:val="24"/>
        </w:rPr>
        <w:t>，</w:t>
      </w:r>
      <w:r w:rsidRPr="00C74EB6">
        <w:rPr>
          <w:rFonts w:hint="eastAsia"/>
          <w:sz w:val="24"/>
        </w:rPr>
        <w:t>企业</w:t>
      </w:r>
      <w:r w:rsidR="003C054C" w:rsidRPr="00C74EB6">
        <w:rPr>
          <w:rFonts w:hint="eastAsia"/>
          <w:sz w:val="24"/>
        </w:rPr>
        <w:t>会选择购买董</w:t>
      </w:r>
      <w:proofErr w:type="gramStart"/>
      <w:r w:rsidR="003C054C" w:rsidRPr="00C74EB6">
        <w:rPr>
          <w:rFonts w:hint="eastAsia"/>
          <w:sz w:val="24"/>
        </w:rPr>
        <w:t>监高责任</w:t>
      </w:r>
      <w:proofErr w:type="gramEnd"/>
      <w:r w:rsidR="003C054C" w:rsidRPr="00C74EB6">
        <w:rPr>
          <w:rFonts w:hint="eastAsia"/>
          <w:sz w:val="24"/>
        </w:rPr>
        <w:t>险</w:t>
      </w:r>
      <w:r w:rsidR="00523C35" w:rsidRPr="00C74EB6">
        <w:rPr>
          <w:rFonts w:hint="eastAsia"/>
          <w:sz w:val="24"/>
        </w:rPr>
        <w:t>以控制潜在的诉讼风险。同时，购买保险能够维护外部声誉，释放外部监督介入这一良好信号，</w:t>
      </w:r>
      <w:r w:rsidRPr="00C74EB6">
        <w:rPr>
          <w:rFonts w:hint="eastAsia"/>
          <w:sz w:val="24"/>
        </w:rPr>
        <w:t>进而</w:t>
      </w:r>
      <w:r w:rsidR="00523C35" w:rsidRPr="00C74EB6">
        <w:rPr>
          <w:rFonts w:hint="eastAsia"/>
          <w:sz w:val="24"/>
        </w:rPr>
        <w:t>提升投资者</w:t>
      </w:r>
      <w:r w:rsidRPr="00C74EB6">
        <w:rPr>
          <w:rFonts w:hint="eastAsia"/>
          <w:sz w:val="24"/>
        </w:rPr>
        <w:t>对企业的信任</w:t>
      </w:r>
      <w:r w:rsidR="00523C35" w:rsidRPr="00C74EB6">
        <w:rPr>
          <w:rFonts w:hint="eastAsia"/>
          <w:sz w:val="24"/>
        </w:rPr>
        <w:t>。</w:t>
      </w:r>
    </w:p>
    <w:p w14:paraId="2AD1046C" w14:textId="6335CEBA" w:rsidR="00E41AC2" w:rsidRPr="00C74EB6" w:rsidRDefault="00E41AC2" w:rsidP="008E596C">
      <w:pPr>
        <w:spacing w:line="360" w:lineRule="auto"/>
        <w:ind w:firstLineChars="200" w:firstLine="480"/>
        <w:rPr>
          <w:sz w:val="24"/>
        </w:rPr>
      </w:pPr>
      <w:r w:rsidRPr="00C74EB6">
        <w:rPr>
          <w:rFonts w:hint="eastAsia"/>
          <w:sz w:val="24"/>
        </w:rPr>
        <w:t>基于上述分析，本文提出</w:t>
      </w:r>
      <w:r w:rsidR="009809FC" w:rsidRPr="00C74EB6">
        <w:rPr>
          <w:rFonts w:hint="eastAsia"/>
          <w:sz w:val="24"/>
        </w:rPr>
        <w:t>如下</w:t>
      </w:r>
      <w:r w:rsidRPr="00C74EB6">
        <w:rPr>
          <w:rFonts w:hint="eastAsia"/>
          <w:sz w:val="24"/>
        </w:rPr>
        <w:t>假设：</w:t>
      </w:r>
    </w:p>
    <w:p w14:paraId="4EF1FAA6" w14:textId="485F84BD" w:rsidR="00C5286A" w:rsidRPr="00C74EB6" w:rsidRDefault="00E41AC2" w:rsidP="009809FC">
      <w:pPr>
        <w:spacing w:line="360" w:lineRule="auto"/>
        <w:ind w:firstLineChars="200" w:firstLine="480"/>
        <w:rPr>
          <w:sz w:val="24"/>
        </w:rPr>
      </w:pPr>
      <w:r w:rsidRPr="00C74EB6">
        <w:rPr>
          <w:rFonts w:hint="eastAsia"/>
          <w:sz w:val="24"/>
        </w:rPr>
        <w:t>H3</w:t>
      </w:r>
      <w:r w:rsidRPr="00C74EB6">
        <w:rPr>
          <w:rFonts w:hint="eastAsia"/>
          <w:sz w:val="24"/>
        </w:rPr>
        <w:t>：组织资本通过增强投资者关注度提升企业对董</w:t>
      </w:r>
      <w:proofErr w:type="gramStart"/>
      <w:r w:rsidRPr="00C74EB6">
        <w:rPr>
          <w:rFonts w:hint="eastAsia"/>
          <w:sz w:val="24"/>
        </w:rPr>
        <w:t>监高责任</w:t>
      </w:r>
      <w:proofErr w:type="gramEnd"/>
      <w:r w:rsidRPr="00C74EB6">
        <w:rPr>
          <w:rFonts w:hint="eastAsia"/>
          <w:sz w:val="24"/>
        </w:rPr>
        <w:t>险的投保意向。</w:t>
      </w:r>
    </w:p>
    <w:p w14:paraId="408163AC" w14:textId="77777777" w:rsidR="009864AF" w:rsidRPr="00086241" w:rsidRDefault="009864AF" w:rsidP="00360AC5">
      <w:pPr>
        <w:pStyle w:val="1"/>
        <w:ind w:firstLine="602"/>
        <w:rPr>
          <w:rFonts w:ascii="Times New Roman" w:eastAsia="宋体" w:hAnsi="Times New Roman" w:cs="Times New Roman"/>
        </w:rPr>
        <w:sectPr w:rsidR="009864AF" w:rsidRPr="00086241" w:rsidSect="004C36D5">
          <w:headerReference w:type="even" r:id="rId18"/>
          <w:headerReference w:type="default" r:id="rId19"/>
          <w:headerReference w:type="first" r:id="rId20"/>
          <w:pgSz w:w="11906" w:h="16838"/>
          <w:pgMar w:top="1440" w:right="1800" w:bottom="1440" w:left="1800" w:header="851" w:footer="992" w:gutter="0"/>
          <w:cols w:space="425"/>
          <w:docGrid w:type="lines" w:linePitch="312"/>
        </w:sectPr>
      </w:pPr>
    </w:p>
    <w:p w14:paraId="404FCEF7" w14:textId="459615BE" w:rsidR="00170DA4" w:rsidRPr="00C74EB6" w:rsidRDefault="009864AF" w:rsidP="00C0628E">
      <w:pPr>
        <w:pStyle w:val="1"/>
        <w:rPr>
          <w:rFonts w:hint="eastAsia"/>
        </w:rPr>
      </w:pPr>
      <w:bookmarkStart w:id="70" w:name="_Toc191420742"/>
      <w:bookmarkStart w:id="71" w:name="_Toc191574112"/>
      <w:bookmarkStart w:id="72" w:name="_Toc198286983"/>
      <w:r w:rsidRPr="00C74EB6">
        <w:rPr>
          <w:rFonts w:hint="eastAsia"/>
        </w:rPr>
        <w:lastRenderedPageBreak/>
        <w:t>研究设计</w:t>
      </w:r>
      <w:bookmarkEnd w:id="70"/>
      <w:bookmarkEnd w:id="71"/>
      <w:bookmarkEnd w:id="72"/>
    </w:p>
    <w:p w14:paraId="50C3BD02" w14:textId="3916925C" w:rsidR="00170DA4" w:rsidRPr="00C74EB6" w:rsidRDefault="00170DA4" w:rsidP="00C74EB6">
      <w:pPr>
        <w:pStyle w:val="2"/>
      </w:pPr>
      <w:bookmarkStart w:id="73" w:name="_Toc191420743"/>
      <w:bookmarkStart w:id="74" w:name="_Toc191574113"/>
      <w:bookmarkStart w:id="75" w:name="_Toc198286984"/>
      <w:r w:rsidRPr="00C74EB6">
        <w:rPr>
          <w:rFonts w:hint="eastAsia"/>
        </w:rPr>
        <w:t>样本选取</w:t>
      </w:r>
      <w:r w:rsidR="00DC306A" w:rsidRPr="00C74EB6">
        <w:rPr>
          <w:rFonts w:hint="eastAsia"/>
        </w:rPr>
        <w:t>与变量设定</w:t>
      </w:r>
      <w:bookmarkEnd w:id="73"/>
      <w:bookmarkEnd w:id="74"/>
      <w:bookmarkEnd w:id="75"/>
    </w:p>
    <w:p w14:paraId="30CDBE90" w14:textId="541A36DA" w:rsidR="009931E1" w:rsidRPr="00C74EB6" w:rsidRDefault="009931E1" w:rsidP="00C74EB6">
      <w:pPr>
        <w:pStyle w:val="3"/>
      </w:pPr>
      <w:bookmarkStart w:id="76" w:name="_Toc191420744"/>
      <w:bookmarkStart w:id="77" w:name="_Toc191574114"/>
      <w:bookmarkStart w:id="78" w:name="_Toc198286985"/>
      <w:r w:rsidRPr="00C74EB6">
        <w:rPr>
          <w:rFonts w:hint="eastAsia"/>
        </w:rPr>
        <w:t>样本选取</w:t>
      </w:r>
      <w:bookmarkEnd w:id="76"/>
      <w:bookmarkEnd w:id="77"/>
      <w:bookmarkEnd w:id="78"/>
    </w:p>
    <w:p w14:paraId="0036E96C" w14:textId="3E146E06" w:rsidR="00170DA4" w:rsidRPr="00C74EB6" w:rsidRDefault="00170DA4" w:rsidP="00AB02B1">
      <w:pPr>
        <w:spacing w:line="360" w:lineRule="auto"/>
        <w:ind w:firstLineChars="200" w:firstLine="480"/>
        <w:rPr>
          <w:sz w:val="24"/>
        </w:rPr>
      </w:pPr>
      <w:r w:rsidRPr="00C74EB6">
        <w:rPr>
          <w:rFonts w:hint="eastAsia"/>
          <w:sz w:val="24"/>
        </w:rPr>
        <w:t>本文以</w:t>
      </w:r>
      <w:r w:rsidRPr="00C74EB6">
        <w:rPr>
          <w:sz w:val="24"/>
        </w:rPr>
        <w:t>2009-2021</w:t>
      </w:r>
      <w:r w:rsidRPr="00C74EB6">
        <w:rPr>
          <w:sz w:val="24"/>
        </w:rPr>
        <w:t>年中国沪深</w:t>
      </w:r>
      <w:r w:rsidRPr="00C74EB6">
        <w:rPr>
          <w:sz w:val="24"/>
        </w:rPr>
        <w:t>A</w:t>
      </w:r>
      <w:r w:rsidRPr="00C74EB6">
        <w:rPr>
          <w:sz w:val="24"/>
        </w:rPr>
        <w:t>股上市公司数据为研究对象，数据来源为</w:t>
      </w:r>
      <w:r w:rsidRPr="00C74EB6">
        <w:rPr>
          <w:sz w:val="24"/>
        </w:rPr>
        <w:t>WIND</w:t>
      </w:r>
      <w:r w:rsidRPr="00C74EB6">
        <w:rPr>
          <w:sz w:val="24"/>
        </w:rPr>
        <w:t>数据库和</w:t>
      </w:r>
      <w:r w:rsidRPr="00C74EB6">
        <w:rPr>
          <w:sz w:val="24"/>
        </w:rPr>
        <w:t>CSMAR</w:t>
      </w:r>
      <w:r w:rsidRPr="00C74EB6">
        <w:rPr>
          <w:sz w:val="24"/>
        </w:rPr>
        <w:t>数据库。本文对数据进行如下处理：</w:t>
      </w:r>
      <w:r w:rsidRPr="00C74EB6">
        <w:rPr>
          <w:sz w:val="24"/>
        </w:rPr>
        <w:t xml:space="preserve"> 1</w:t>
      </w:r>
      <w:r w:rsidRPr="00C74EB6">
        <w:rPr>
          <w:sz w:val="24"/>
        </w:rPr>
        <w:t>）剔除所有</w:t>
      </w:r>
      <w:r w:rsidRPr="00C74EB6">
        <w:rPr>
          <w:sz w:val="24"/>
        </w:rPr>
        <w:t>ST</w:t>
      </w:r>
      <w:r w:rsidRPr="00C74EB6">
        <w:rPr>
          <w:sz w:val="24"/>
        </w:rPr>
        <w:t>和</w:t>
      </w:r>
      <w:r w:rsidRPr="00C74EB6">
        <w:rPr>
          <w:sz w:val="24"/>
        </w:rPr>
        <w:t>ST*</w:t>
      </w:r>
      <w:r w:rsidRPr="00C74EB6">
        <w:rPr>
          <w:sz w:val="24"/>
        </w:rPr>
        <w:t>的</w:t>
      </w:r>
      <w:r w:rsidRPr="00C74EB6">
        <w:rPr>
          <w:sz w:val="24"/>
        </w:rPr>
        <w:t>A</w:t>
      </w:r>
      <w:r w:rsidRPr="00C74EB6">
        <w:rPr>
          <w:sz w:val="24"/>
        </w:rPr>
        <w:t>股；</w:t>
      </w:r>
      <w:r w:rsidRPr="00C74EB6">
        <w:rPr>
          <w:sz w:val="24"/>
        </w:rPr>
        <w:t>2</w:t>
      </w:r>
      <w:r w:rsidRPr="00C74EB6">
        <w:rPr>
          <w:sz w:val="24"/>
        </w:rPr>
        <w:t>）剔除所有金融行业公司；</w:t>
      </w:r>
      <w:r w:rsidRPr="00C74EB6">
        <w:rPr>
          <w:sz w:val="24"/>
        </w:rPr>
        <w:t>3</w:t>
      </w:r>
      <w:r w:rsidRPr="00C74EB6">
        <w:rPr>
          <w:sz w:val="24"/>
        </w:rPr>
        <w:t>）剔除财务等数据不完整的公司。</w:t>
      </w:r>
    </w:p>
    <w:p w14:paraId="06491FA0" w14:textId="1958E832" w:rsidR="009931E1" w:rsidRPr="00C74EB6" w:rsidRDefault="009931E1" w:rsidP="00C74EB6">
      <w:pPr>
        <w:pStyle w:val="3"/>
      </w:pPr>
      <w:bookmarkStart w:id="79" w:name="_Toc191420745"/>
      <w:bookmarkStart w:id="80" w:name="_Toc191574115"/>
      <w:bookmarkStart w:id="81" w:name="_Toc198286986"/>
      <w:r w:rsidRPr="00C74EB6">
        <w:rPr>
          <w:rFonts w:hint="eastAsia"/>
        </w:rPr>
        <w:t>组织资本</w:t>
      </w:r>
      <w:r w:rsidR="00A37415" w:rsidRPr="00C74EB6">
        <w:rPr>
          <w:rFonts w:hint="eastAsia"/>
        </w:rPr>
        <w:t>变量</w:t>
      </w:r>
      <w:r w:rsidR="009654B8" w:rsidRPr="00C74EB6">
        <w:rPr>
          <w:rFonts w:hint="eastAsia"/>
        </w:rPr>
        <w:t>设定</w:t>
      </w:r>
      <w:bookmarkEnd w:id="79"/>
      <w:bookmarkEnd w:id="80"/>
      <w:bookmarkEnd w:id="81"/>
    </w:p>
    <w:p w14:paraId="090C072F" w14:textId="733BAB98" w:rsidR="009931E1" w:rsidRPr="00C74EB6" w:rsidRDefault="0028193F" w:rsidP="00613EDF">
      <w:pPr>
        <w:spacing w:line="360" w:lineRule="auto"/>
        <w:ind w:firstLineChars="200" w:firstLine="480"/>
        <w:rPr>
          <w:sz w:val="24"/>
        </w:rPr>
      </w:pPr>
      <w:r w:rsidRPr="007E4DA7">
        <w:rPr>
          <w:rFonts w:hint="eastAsia"/>
          <w:sz w:val="24"/>
        </w:rPr>
        <w:t>核心解释变量</w:t>
      </w:r>
      <w:r w:rsidR="00170DA4" w:rsidRPr="007E4DA7">
        <w:rPr>
          <w:rFonts w:hint="eastAsia"/>
          <w:sz w:val="24"/>
        </w:rPr>
        <w:t>组织资本（</w:t>
      </w:r>
      <w:r w:rsidR="00A56183" w:rsidRPr="007E4DA7">
        <w:rPr>
          <w:rFonts w:hint="eastAsia"/>
          <w:sz w:val="24"/>
        </w:rPr>
        <w:t>Organizational Capital, OC</w:t>
      </w:r>
      <w:r w:rsidR="00170DA4" w:rsidRPr="007E4DA7">
        <w:rPr>
          <w:rFonts w:hint="eastAsia"/>
          <w:sz w:val="24"/>
        </w:rPr>
        <w:t>）</w:t>
      </w:r>
      <w:r w:rsidR="00A56183" w:rsidRPr="007E4DA7">
        <w:rPr>
          <w:rFonts w:hint="eastAsia"/>
          <w:sz w:val="24"/>
        </w:rPr>
        <w:t>，</w:t>
      </w:r>
      <w:r w:rsidR="009931E1" w:rsidRPr="00C74EB6">
        <w:rPr>
          <w:rFonts w:hint="eastAsia"/>
          <w:sz w:val="24"/>
        </w:rPr>
        <w:t>是</w:t>
      </w:r>
      <w:r w:rsidR="0011184E">
        <w:rPr>
          <w:rFonts w:hint="eastAsia"/>
          <w:sz w:val="24"/>
        </w:rPr>
        <w:t>企业通过组织能力</w:t>
      </w:r>
      <w:r w:rsidR="009931E1" w:rsidRPr="00C74EB6">
        <w:rPr>
          <w:rFonts w:hint="eastAsia"/>
          <w:sz w:val="24"/>
        </w:rPr>
        <w:t>将各种要素转化为公司核心竞争力并创造商业和社会价值的</w:t>
      </w:r>
      <w:r w:rsidR="0011184E">
        <w:rPr>
          <w:rFonts w:hint="eastAsia"/>
          <w:sz w:val="24"/>
        </w:rPr>
        <w:t>无形资产</w:t>
      </w:r>
      <w:r w:rsidR="009931E1" w:rsidRPr="00C74EB6">
        <w:rPr>
          <w:rFonts w:hint="eastAsia"/>
          <w:sz w:val="24"/>
        </w:rPr>
        <w:t>组合。组织资本如何积累呢？从其涵盖的类目中不难发现，</w:t>
      </w:r>
      <w:r w:rsidR="00D9560C" w:rsidRPr="00C74EB6">
        <w:rPr>
          <w:rFonts w:hint="eastAsia"/>
          <w:sz w:val="24"/>
        </w:rPr>
        <w:t>需要进行</w:t>
      </w:r>
      <w:r w:rsidR="009931E1" w:rsidRPr="00C74EB6">
        <w:rPr>
          <w:rFonts w:hint="eastAsia"/>
          <w:sz w:val="24"/>
        </w:rPr>
        <w:t>相关费用的投入。在企业的财务核算中，大部分销售、管理以及研发过程</w:t>
      </w:r>
      <w:r w:rsidRPr="00C74EB6">
        <w:rPr>
          <w:rFonts w:hint="eastAsia"/>
          <w:sz w:val="24"/>
        </w:rPr>
        <w:t>的</w:t>
      </w:r>
      <w:r w:rsidR="009931E1" w:rsidRPr="00C74EB6">
        <w:rPr>
          <w:rFonts w:hint="eastAsia"/>
          <w:sz w:val="24"/>
        </w:rPr>
        <w:t>支出通常会被记为一次性费用，而不会被计入公司的资产负债表。然而，从企业长期发展的角度来看，这些费用的投入对公司组织资本的积累</w:t>
      </w:r>
      <w:r w:rsidR="00D9560C" w:rsidRPr="00C74EB6">
        <w:rPr>
          <w:rFonts w:hint="eastAsia"/>
          <w:sz w:val="24"/>
        </w:rPr>
        <w:t>产生</w:t>
      </w:r>
      <w:r w:rsidR="009931E1" w:rsidRPr="00C74EB6">
        <w:rPr>
          <w:rFonts w:hint="eastAsia"/>
          <w:sz w:val="24"/>
        </w:rPr>
        <w:t>不可忽视的重要作用（</w:t>
      </w:r>
      <w:r w:rsidR="009931E1" w:rsidRPr="00C74EB6">
        <w:rPr>
          <w:rFonts w:hint="eastAsia"/>
          <w:sz w:val="24"/>
        </w:rPr>
        <w:t>Lev</w:t>
      </w:r>
      <w:r w:rsidR="009931E1" w:rsidRPr="00C74EB6">
        <w:rPr>
          <w:rFonts w:hint="eastAsia"/>
          <w:sz w:val="24"/>
        </w:rPr>
        <w:t>等，</w:t>
      </w:r>
      <w:r w:rsidR="009931E1" w:rsidRPr="00C74EB6">
        <w:rPr>
          <w:rFonts w:hint="eastAsia"/>
          <w:sz w:val="24"/>
        </w:rPr>
        <w:t>2009</w:t>
      </w:r>
      <w:r w:rsidR="009931E1" w:rsidRPr="00C74EB6">
        <w:rPr>
          <w:rFonts w:hint="eastAsia"/>
          <w:sz w:val="24"/>
        </w:rPr>
        <w:t>；</w:t>
      </w:r>
      <w:r w:rsidR="009931E1" w:rsidRPr="00C74EB6">
        <w:rPr>
          <w:rFonts w:hint="eastAsia"/>
          <w:sz w:val="24"/>
        </w:rPr>
        <w:t xml:space="preserve">Eisfledt </w:t>
      </w:r>
      <w:r w:rsidR="009931E1" w:rsidRPr="00C74EB6">
        <w:rPr>
          <w:rFonts w:hint="eastAsia"/>
          <w:sz w:val="24"/>
        </w:rPr>
        <w:t>和</w:t>
      </w:r>
      <w:r w:rsidR="009931E1" w:rsidRPr="00C74EB6">
        <w:rPr>
          <w:rFonts w:hint="eastAsia"/>
          <w:sz w:val="24"/>
        </w:rPr>
        <w:t>Papanikolaou</w:t>
      </w:r>
      <w:r w:rsidR="009931E1" w:rsidRPr="00C74EB6">
        <w:rPr>
          <w:rFonts w:hint="eastAsia"/>
          <w:sz w:val="24"/>
        </w:rPr>
        <w:t>，</w:t>
      </w:r>
      <w:r w:rsidR="009931E1" w:rsidRPr="00C74EB6">
        <w:rPr>
          <w:rFonts w:hint="eastAsia"/>
          <w:sz w:val="24"/>
        </w:rPr>
        <w:t>2013</w:t>
      </w:r>
      <w:r w:rsidR="009931E1" w:rsidRPr="00C74EB6">
        <w:rPr>
          <w:rFonts w:hint="eastAsia"/>
          <w:sz w:val="24"/>
        </w:rPr>
        <w:t>；</w:t>
      </w:r>
      <w:r w:rsidR="009931E1" w:rsidRPr="00C74EB6">
        <w:rPr>
          <w:rFonts w:hint="eastAsia"/>
          <w:sz w:val="24"/>
        </w:rPr>
        <w:t>Peter</w:t>
      </w:r>
      <w:r w:rsidR="009931E1" w:rsidRPr="00C74EB6">
        <w:rPr>
          <w:rFonts w:hint="eastAsia"/>
          <w:sz w:val="24"/>
        </w:rPr>
        <w:t>和</w:t>
      </w:r>
      <w:r w:rsidR="009931E1" w:rsidRPr="00C74EB6">
        <w:rPr>
          <w:rFonts w:hint="eastAsia"/>
          <w:sz w:val="24"/>
        </w:rPr>
        <w:t>Taylor</w:t>
      </w:r>
      <w:r w:rsidR="009931E1" w:rsidRPr="00C74EB6">
        <w:rPr>
          <w:rFonts w:hint="eastAsia"/>
          <w:sz w:val="24"/>
        </w:rPr>
        <w:t>，</w:t>
      </w:r>
      <w:r w:rsidR="009931E1" w:rsidRPr="00C74EB6">
        <w:rPr>
          <w:rFonts w:hint="eastAsia"/>
          <w:sz w:val="24"/>
        </w:rPr>
        <w:t>2017</w:t>
      </w:r>
      <w:r w:rsidR="009931E1" w:rsidRPr="00C74EB6">
        <w:rPr>
          <w:rFonts w:hint="eastAsia"/>
          <w:sz w:val="24"/>
        </w:rPr>
        <w:t>）。具体而言，销售费用的合理投入有助于企业在市场推广、客户服务等销售活动中积累丰富的实践经验、优化业务流程。管理费用有助于企业完善雇员的培训机制与激励制度</w:t>
      </w:r>
      <w:r w:rsidR="00D9560C" w:rsidRPr="00C74EB6">
        <w:rPr>
          <w:rFonts w:hint="eastAsia"/>
          <w:sz w:val="24"/>
        </w:rPr>
        <w:t>、加快数字化赋能</w:t>
      </w:r>
      <w:r w:rsidR="009931E1" w:rsidRPr="00C74EB6">
        <w:rPr>
          <w:rFonts w:hint="eastAsia"/>
          <w:sz w:val="24"/>
        </w:rPr>
        <w:t>。研发费用的投入更是企业形成</w:t>
      </w:r>
      <w:r w:rsidR="00D9560C" w:rsidRPr="00C74EB6">
        <w:rPr>
          <w:rFonts w:hint="eastAsia"/>
          <w:sz w:val="24"/>
        </w:rPr>
        <w:t>知识管理体系</w:t>
      </w:r>
      <w:r w:rsidR="009931E1" w:rsidRPr="00C74EB6">
        <w:rPr>
          <w:rFonts w:hint="eastAsia"/>
          <w:sz w:val="24"/>
        </w:rPr>
        <w:t>的关键。基于该思想，本文参考</w:t>
      </w:r>
      <w:r w:rsidR="009931E1" w:rsidRPr="00C74EB6">
        <w:rPr>
          <w:rFonts w:hint="eastAsia"/>
          <w:sz w:val="24"/>
        </w:rPr>
        <w:t>Eisfeldt</w:t>
      </w:r>
      <w:r w:rsidR="009931E1" w:rsidRPr="00C74EB6">
        <w:rPr>
          <w:rFonts w:hint="eastAsia"/>
          <w:sz w:val="24"/>
        </w:rPr>
        <w:t>和</w:t>
      </w:r>
      <w:r w:rsidR="009931E1" w:rsidRPr="00C74EB6">
        <w:rPr>
          <w:sz w:val="24"/>
        </w:rPr>
        <w:t>P</w:t>
      </w:r>
      <w:r w:rsidR="009931E1" w:rsidRPr="00C74EB6">
        <w:rPr>
          <w:rFonts w:hint="eastAsia"/>
          <w:sz w:val="24"/>
        </w:rPr>
        <w:t>apanikolaou</w:t>
      </w:r>
      <w:r w:rsidR="009931E1" w:rsidRPr="00C74EB6">
        <w:rPr>
          <w:rFonts w:hint="eastAsia"/>
          <w:sz w:val="24"/>
        </w:rPr>
        <w:t>（</w:t>
      </w:r>
      <w:r w:rsidR="009931E1" w:rsidRPr="00C74EB6">
        <w:rPr>
          <w:rFonts w:hint="eastAsia"/>
          <w:sz w:val="24"/>
        </w:rPr>
        <w:t>2</w:t>
      </w:r>
      <w:r w:rsidR="009931E1" w:rsidRPr="00C74EB6">
        <w:rPr>
          <w:sz w:val="24"/>
        </w:rPr>
        <w:t>013</w:t>
      </w:r>
      <w:r w:rsidR="009931E1" w:rsidRPr="00C74EB6">
        <w:rPr>
          <w:rFonts w:hint="eastAsia"/>
          <w:sz w:val="24"/>
        </w:rPr>
        <w:t>）</w:t>
      </w:r>
      <w:r w:rsidR="002C778C" w:rsidRPr="00C74EB6">
        <w:rPr>
          <w:rFonts w:hint="eastAsia"/>
          <w:sz w:val="24"/>
        </w:rPr>
        <w:t>、</w:t>
      </w:r>
      <w:r w:rsidR="009931E1" w:rsidRPr="00C74EB6">
        <w:rPr>
          <w:rFonts w:hint="eastAsia"/>
          <w:sz w:val="24"/>
        </w:rPr>
        <w:t>Cui</w:t>
      </w:r>
      <w:r w:rsidR="009931E1" w:rsidRPr="00C74EB6">
        <w:rPr>
          <w:rFonts w:hint="eastAsia"/>
          <w:sz w:val="24"/>
        </w:rPr>
        <w:t>等（</w:t>
      </w:r>
      <w:r w:rsidR="009931E1" w:rsidRPr="00C74EB6">
        <w:rPr>
          <w:rFonts w:hint="eastAsia"/>
          <w:sz w:val="24"/>
        </w:rPr>
        <w:t>2</w:t>
      </w:r>
      <w:r w:rsidR="009931E1" w:rsidRPr="00C74EB6">
        <w:rPr>
          <w:sz w:val="24"/>
        </w:rPr>
        <w:t>021</w:t>
      </w:r>
      <w:r w:rsidR="009931E1" w:rsidRPr="00C74EB6">
        <w:rPr>
          <w:rFonts w:hint="eastAsia"/>
          <w:sz w:val="24"/>
        </w:rPr>
        <w:t>）</w:t>
      </w:r>
      <w:r w:rsidR="002C778C" w:rsidRPr="00C74EB6">
        <w:rPr>
          <w:rFonts w:hint="eastAsia"/>
          <w:sz w:val="24"/>
        </w:rPr>
        <w:t>计算方式和</w:t>
      </w:r>
      <w:r w:rsidR="002C778C" w:rsidRPr="00C74EB6">
        <w:rPr>
          <w:rFonts w:hint="eastAsia"/>
          <w:sz w:val="24"/>
        </w:rPr>
        <w:t>Ewens</w:t>
      </w:r>
      <w:r w:rsidR="002C778C" w:rsidRPr="00C74EB6">
        <w:rPr>
          <w:rFonts w:hint="eastAsia"/>
          <w:sz w:val="24"/>
        </w:rPr>
        <w:t>等（</w:t>
      </w:r>
      <w:r w:rsidR="002C778C" w:rsidRPr="00C74EB6">
        <w:rPr>
          <w:rFonts w:hint="eastAsia"/>
          <w:sz w:val="24"/>
        </w:rPr>
        <w:t>2025</w:t>
      </w:r>
      <w:r w:rsidR="002C778C" w:rsidRPr="00C74EB6">
        <w:rPr>
          <w:rFonts w:hint="eastAsia"/>
          <w:sz w:val="24"/>
        </w:rPr>
        <w:t>）</w:t>
      </w:r>
      <w:r w:rsidR="009931E1" w:rsidRPr="00C74EB6">
        <w:rPr>
          <w:rFonts w:hint="eastAsia"/>
          <w:sz w:val="24"/>
        </w:rPr>
        <w:t>学者</w:t>
      </w:r>
      <w:r w:rsidR="002C778C" w:rsidRPr="00C74EB6">
        <w:rPr>
          <w:rFonts w:hint="eastAsia"/>
          <w:sz w:val="24"/>
        </w:rPr>
        <w:t>计量无形资本的思想，</w:t>
      </w:r>
      <w:r w:rsidR="00D9560C" w:rsidRPr="00C74EB6">
        <w:rPr>
          <w:rFonts w:hint="eastAsia"/>
          <w:sz w:val="24"/>
        </w:rPr>
        <w:t>使用永续盘存制，基于</w:t>
      </w:r>
      <w:r w:rsidR="009931E1" w:rsidRPr="00C74EB6">
        <w:rPr>
          <w:rFonts w:hint="eastAsia"/>
          <w:sz w:val="24"/>
        </w:rPr>
        <w:t>SG&amp;A</w:t>
      </w:r>
      <w:r w:rsidR="009931E1" w:rsidRPr="00C74EB6">
        <w:rPr>
          <w:rFonts w:hint="eastAsia"/>
          <w:sz w:val="24"/>
        </w:rPr>
        <w:t>费用计算组织资本。</w:t>
      </w:r>
    </w:p>
    <w:p w14:paraId="714FA303" w14:textId="52363680" w:rsidR="009931E1" w:rsidRPr="00C74EB6" w:rsidRDefault="009931E1" w:rsidP="009931E1">
      <w:pPr>
        <w:spacing w:line="360" w:lineRule="auto"/>
        <w:ind w:firstLineChars="200" w:firstLine="480"/>
        <w:rPr>
          <w:sz w:val="24"/>
        </w:rPr>
      </w:pPr>
      <w:r w:rsidRPr="00C74EB6">
        <w:rPr>
          <w:rFonts w:hint="eastAsia"/>
          <w:sz w:val="24"/>
        </w:rPr>
        <w:t>计算组织资本时需要考虑折旧率，主要基于以下两点原因：首先，组织资本</w:t>
      </w:r>
      <w:r w:rsidR="0028193F" w:rsidRPr="00C74EB6">
        <w:rPr>
          <w:rFonts w:hint="eastAsia"/>
          <w:sz w:val="24"/>
        </w:rPr>
        <w:t>需要被逐步积累，积累过程类似人类的短期记忆和长期学习过程，干中学的过程具有衰减特性；</w:t>
      </w:r>
      <w:r w:rsidRPr="00C74EB6">
        <w:rPr>
          <w:rFonts w:hint="eastAsia"/>
          <w:sz w:val="24"/>
        </w:rPr>
        <w:t>其次，由于外部环境变化较快，企业需要频繁调整组织相关的战略、架构等，以保持其竞争力和适应性，</w:t>
      </w:r>
      <w:r w:rsidR="0028193F" w:rsidRPr="00C74EB6">
        <w:rPr>
          <w:rFonts w:hint="eastAsia"/>
          <w:sz w:val="24"/>
        </w:rPr>
        <w:t>这</w:t>
      </w:r>
      <w:r w:rsidRPr="00C74EB6">
        <w:rPr>
          <w:rFonts w:hint="eastAsia"/>
          <w:sz w:val="24"/>
        </w:rPr>
        <w:t>进一步导致</w:t>
      </w:r>
      <w:r w:rsidR="0028193F" w:rsidRPr="00C74EB6">
        <w:rPr>
          <w:rFonts w:hint="eastAsia"/>
          <w:sz w:val="24"/>
        </w:rPr>
        <w:t>原有</w:t>
      </w:r>
      <w:r w:rsidRPr="00C74EB6">
        <w:rPr>
          <w:rFonts w:hint="eastAsia"/>
          <w:sz w:val="24"/>
        </w:rPr>
        <w:t>组织资本的衰减。目前，针对折旧率的取值，大部分</w:t>
      </w:r>
      <w:r w:rsidR="0028193F" w:rsidRPr="00C74EB6">
        <w:rPr>
          <w:rFonts w:hint="eastAsia"/>
          <w:sz w:val="24"/>
        </w:rPr>
        <w:t>海外</w:t>
      </w:r>
      <w:r w:rsidRPr="00C74EB6">
        <w:rPr>
          <w:rFonts w:hint="eastAsia"/>
          <w:sz w:val="24"/>
        </w:rPr>
        <w:t>研究参考</w:t>
      </w:r>
      <w:r w:rsidRPr="00C74EB6">
        <w:rPr>
          <w:rFonts w:hint="eastAsia"/>
          <w:sz w:val="24"/>
        </w:rPr>
        <w:t>2006</w:t>
      </w:r>
      <w:r w:rsidRPr="00C74EB6">
        <w:rPr>
          <w:rFonts w:hint="eastAsia"/>
          <w:sz w:val="24"/>
        </w:rPr>
        <w:t>年</w:t>
      </w:r>
      <w:r w:rsidRPr="00C74EB6">
        <w:rPr>
          <w:rFonts w:hint="eastAsia"/>
          <w:sz w:val="24"/>
        </w:rPr>
        <w:t>BEA</w:t>
      </w:r>
      <w:r w:rsidRPr="00C74EB6">
        <w:rPr>
          <w:rFonts w:hint="eastAsia"/>
          <w:sz w:val="24"/>
        </w:rPr>
        <w:t>发布的研究资本折旧率，选取</w:t>
      </w:r>
      <w:r w:rsidRPr="00C74EB6">
        <w:rPr>
          <w:rFonts w:hint="eastAsia"/>
          <w:sz w:val="24"/>
        </w:rPr>
        <w:t>15%</w:t>
      </w:r>
      <w:r w:rsidRPr="00C74EB6">
        <w:rPr>
          <w:rFonts w:hint="eastAsia"/>
          <w:sz w:val="24"/>
        </w:rPr>
        <w:t>；国内学者杨俊仙和周洁（</w:t>
      </w:r>
      <w:r w:rsidRPr="00C74EB6">
        <w:rPr>
          <w:rFonts w:hint="eastAsia"/>
          <w:sz w:val="24"/>
        </w:rPr>
        <w:t>2016</w:t>
      </w:r>
      <w:r w:rsidRPr="00C74EB6">
        <w:rPr>
          <w:rFonts w:hint="eastAsia"/>
          <w:sz w:val="24"/>
        </w:rPr>
        <w:t>）取值</w:t>
      </w:r>
      <w:r w:rsidRPr="00C74EB6">
        <w:rPr>
          <w:rFonts w:hint="eastAsia"/>
          <w:sz w:val="24"/>
        </w:rPr>
        <w:t>12%</w:t>
      </w:r>
      <w:r w:rsidRPr="00C74EB6">
        <w:rPr>
          <w:rFonts w:hint="eastAsia"/>
          <w:sz w:val="24"/>
        </w:rPr>
        <w:t>。基于海内外实践经验，本文优先参考中国市场生产者的整体研发折旧率，设定折旧率为</w:t>
      </w:r>
      <w:r w:rsidRPr="00C74EB6">
        <w:rPr>
          <w:rFonts w:hint="eastAsia"/>
          <w:sz w:val="24"/>
        </w:rPr>
        <w:t>26.37%</w:t>
      </w:r>
      <w:r w:rsidRPr="00C74EB6">
        <w:rPr>
          <w:rFonts w:hint="eastAsia"/>
          <w:sz w:val="24"/>
        </w:rPr>
        <w:t>（</w:t>
      </w:r>
      <w:proofErr w:type="gramStart"/>
      <w:r w:rsidRPr="00C74EB6">
        <w:rPr>
          <w:rFonts w:hint="eastAsia"/>
          <w:sz w:val="24"/>
        </w:rPr>
        <w:t>许永洪等</w:t>
      </w:r>
      <w:proofErr w:type="gramEnd"/>
      <w:r w:rsidRPr="00C74EB6">
        <w:rPr>
          <w:rFonts w:hint="eastAsia"/>
          <w:sz w:val="24"/>
        </w:rPr>
        <w:t>，</w:t>
      </w:r>
      <w:r w:rsidRPr="00C74EB6">
        <w:rPr>
          <w:rFonts w:hint="eastAsia"/>
          <w:sz w:val="24"/>
        </w:rPr>
        <w:t>2023</w:t>
      </w:r>
      <w:r w:rsidRPr="00C74EB6">
        <w:rPr>
          <w:rFonts w:hint="eastAsia"/>
          <w:sz w:val="24"/>
        </w:rPr>
        <w:t>）。同时，为保证研究结果的稳健性，本文将折旧率的取值范围设定为</w:t>
      </w:r>
      <w:r w:rsidRPr="00C74EB6">
        <w:rPr>
          <w:rFonts w:hint="eastAsia"/>
          <w:sz w:val="24"/>
        </w:rPr>
        <w:t>11%-27%</w:t>
      </w:r>
      <w:r w:rsidRPr="00C74EB6">
        <w:rPr>
          <w:rFonts w:hint="eastAsia"/>
          <w:sz w:val="24"/>
        </w:rPr>
        <w:t>，以进行稳健检验。</w:t>
      </w:r>
    </w:p>
    <w:p w14:paraId="1D2E3B58" w14:textId="2A2B83CB" w:rsidR="009931E1" w:rsidRPr="00C74EB6" w:rsidRDefault="0028193F" w:rsidP="00613EDF">
      <w:pPr>
        <w:spacing w:line="360" w:lineRule="auto"/>
        <w:ind w:firstLineChars="200" w:firstLine="480"/>
        <w:rPr>
          <w:sz w:val="24"/>
        </w:rPr>
      </w:pPr>
      <w:r w:rsidRPr="00C74EB6">
        <w:rPr>
          <w:rFonts w:hint="eastAsia"/>
          <w:sz w:val="24"/>
        </w:rPr>
        <w:lastRenderedPageBreak/>
        <w:t>以下为计算组织资本的详细过程：</w:t>
      </w:r>
    </w:p>
    <w:p w14:paraId="472F4700" w14:textId="7DD0D66D" w:rsidR="00170DA4" w:rsidRPr="00C74EB6" w:rsidRDefault="00170DA4" w:rsidP="00D94887">
      <w:pPr>
        <w:spacing w:line="360" w:lineRule="auto"/>
        <w:ind w:firstLineChars="200" w:firstLine="480"/>
        <w:rPr>
          <w:sz w:val="24"/>
        </w:rPr>
      </w:pPr>
      <w:r w:rsidRPr="00C74EB6">
        <w:rPr>
          <w:rFonts w:hint="eastAsia"/>
          <w:sz w:val="24"/>
        </w:rPr>
        <w:t>第一步计算研究期内初始组织资本</w:t>
      </w:r>
      <m:oMath>
        <m:sSub>
          <m:sSubPr>
            <m:ctrlPr>
              <w:rPr>
                <w:rFonts w:ascii="Cambria Math" w:hAnsi="Cambria Math"/>
                <w:i/>
                <w:sz w:val="24"/>
              </w:rPr>
            </m:ctrlPr>
          </m:sSubPr>
          <m:e>
            <m:r>
              <w:rPr>
                <w:rFonts w:ascii="Cambria Math" w:hAnsi="Cambria Math"/>
                <w:sz w:val="24"/>
              </w:rPr>
              <m:t>OC</m:t>
            </m:r>
          </m:e>
          <m:sub>
            <m:r>
              <w:rPr>
                <w:rFonts w:ascii="Cambria Math" w:hAnsi="Cambria Math"/>
                <w:sz w:val="24"/>
              </w:rPr>
              <m:t>0</m:t>
            </m:r>
          </m:sub>
        </m:sSub>
      </m:oMath>
      <w:r w:rsidRPr="00C74EB6">
        <w:rPr>
          <w:rFonts w:hint="eastAsia"/>
          <w:sz w:val="24"/>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A27B4" w:rsidRPr="00C74EB6" w14:paraId="0B02DA80" w14:textId="77777777" w:rsidTr="00DA27B4">
        <w:tc>
          <w:tcPr>
            <w:tcW w:w="2765" w:type="dxa"/>
          </w:tcPr>
          <w:p w14:paraId="10DD2013" w14:textId="77777777" w:rsidR="00DA27B4" w:rsidRPr="00C74EB6" w:rsidRDefault="00DA27B4" w:rsidP="00D94887">
            <w:pPr>
              <w:spacing w:line="360" w:lineRule="auto"/>
              <w:ind w:firstLine="480"/>
              <w:rPr>
                <w:sz w:val="24"/>
              </w:rPr>
            </w:pPr>
          </w:p>
        </w:tc>
        <w:tc>
          <w:tcPr>
            <w:tcW w:w="2765" w:type="dxa"/>
            <w:vAlign w:val="center"/>
          </w:tcPr>
          <w:p w14:paraId="0E2423D7" w14:textId="6E83AFEA" w:rsidR="00DA27B4" w:rsidRPr="00B92969" w:rsidRDefault="00000000" w:rsidP="00DA27B4">
            <w:pPr>
              <w:spacing w:line="360" w:lineRule="auto"/>
              <w:ind w:firstLine="480"/>
              <w:jc w:val="center"/>
              <w:rPr>
                <w:sz w:val="24"/>
              </w:rPr>
            </w:pPr>
            <m:oMathPara>
              <m:oMath>
                <m:sSub>
                  <m:sSubPr>
                    <m:ctrlPr>
                      <w:rPr>
                        <w:rFonts w:ascii="Cambria Math" w:hAnsi="Cambria Math"/>
                        <w:i/>
                        <w:sz w:val="24"/>
                      </w:rPr>
                    </m:ctrlPr>
                  </m:sSubPr>
                  <m:e>
                    <m:r>
                      <w:rPr>
                        <w:rFonts w:ascii="Cambria Math" w:hAnsi="Cambria Math"/>
                        <w:sz w:val="24"/>
                      </w:rPr>
                      <m:t>OC</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SA</m:t>
                        </m:r>
                      </m:e>
                      <m:sub>
                        <m:r>
                          <w:rPr>
                            <w:rFonts w:ascii="Cambria Math" w:hAnsi="Cambria Math"/>
                            <w:sz w:val="24"/>
                          </w:rPr>
                          <m:t>1</m:t>
                        </m:r>
                      </m:sub>
                    </m:sSub>
                  </m:num>
                  <m:den>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0</m:t>
                        </m:r>
                      </m:sub>
                    </m:sSub>
                  </m:den>
                </m:f>
              </m:oMath>
            </m:oMathPara>
          </w:p>
        </w:tc>
        <w:tc>
          <w:tcPr>
            <w:tcW w:w="2766" w:type="dxa"/>
            <w:vAlign w:val="center"/>
          </w:tcPr>
          <w:p w14:paraId="1B7FA5A8" w14:textId="61CDA40B" w:rsidR="00DA27B4" w:rsidRPr="00C74EB6" w:rsidRDefault="00DA27B4" w:rsidP="00DA27B4">
            <w:pPr>
              <w:spacing w:line="360" w:lineRule="auto"/>
              <w:ind w:firstLine="480"/>
              <w:jc w:val="right"/>
              <w:rPr>
                <w:sz w:val="24"/>
              </w:rPr>
            </w:pPr>
            <w:r w:rsidRPr="00C74EB6">
              <w:rPr>
                <w:sz w:val="24"/>
              </w:rPr>
              <w:t>（</w:t>
            </w:r>
            <w:r w:rsidRPr="00C74EB6">
              <w:rPr>
                <w:rFonts w:hint="eastAsia"/>
                <w:sz w:val="24"/>
              </w:rPr>
              <w:t>3.</w:t>
            </w:r>
            <w:r w:rsidRPr="00C74EB6">
              <w:rPr>
                <w:sz w:val="24"/>
              </w:rPr>
              <w:t>1</w:t>
            </w:r>
            <w:r w:rsidRPr="00C74EB6">
              <w:rPr>
                <w:sz w:val="24"/>
              </w:rPr>
              <w:t>）</w:t>
            </w:r>
          </w:p>
        </w:tc>
      </w:tr>
    </w:tbl>
    <w:p w14:paraId="33849D52" w14:textId="339B669E" w:rsidR="00DA27B4" w:rsidRPr="00C74EB6" w:rsidRDefault="00000000" w:rsidP="00DA27B4">
      <w:pPr>
        <w:spacing w:line="360" w:lineRule="auto"/>
        <w:ind w:firstLineChars="200" w:firstLine="480"/>
        <w:rPr>
          <w:sz w:val="24"/>
        </w:rPr>
      </w:pPr>
      <m:oMath>
        <m:sSub>
          <m:sSubPr>
            <m:ctrlPr>
              <w:rPr>
                <w:rFonts w:ascii="Cambria Math" w:hAnsi="Cambria Math"/>
                <w:i/>
                <w:sz w:val="24"/>
              </w:rPr>
            </m:ctrlPr>
          </m:sSubPr>
          <m:e>
            <m:r>
              <w:rPr>
                <w:rFonts w:ascii="Cambria Math" w:hAnsi="Cambria Math"/>
                <w:sz w:val="24"/>
              </w:rPr>
              <m:t>SA</m:t>
            </m:r>
          </m:e>
          <m:sub>
            <m:r>
              <w:rPr>
                <w:rFonts w:ascii="Cambria Math" w:hAnsi="Cambria Math"/>
                <w:sz w:val="24"/>
              </w:rPr>
              <m:t>1</m:t>
            </m:r>
          </m:sub>
        </m:sSub>
      </m:oMath>
      <w:r w:rsidR="00DA27B4" w:rsidRPr="00C74EB6">
        <w:rPr>
          <w:rFonts w:hint="eastAsia"/>
          <w:iCs/>
          <w:sz w:val="24"/>
        </w:rPr>
        <w:t>为研究期第一年的销售和管理费用的总和，由于</w:t>
      </w:r>
      <w:r w:rsidR="00DA27B4" w:rsidRPr="00C74EB6">
        <w:rPr>
          <w:rFonts w:hint="eastAsia"/>
          <w:iCs/>
          <w:sz w:val="24"/>
        </w:rPr>
        <w:t>2018</w:t>
      </w:r>
      <w:r w:rsidR="00DA27B4" w:rsidRPr="00C74EB6">
        <w:rPr>
          <w:rFonts w:hint="eastAsia"/>
          <w:iCs/>
          <w:sz w:val="24"/>
        </w:rPr>
        <w:t>年开始研发费用单列，因此后续计算</w:t>
      </w:r>
      <w:r w:rsidR="00DA27B4" w:rsidRPr="00C74EB6">
        <w:rPr>
          <w:rFonts w:hint="eastAsia"/>
          <w:iCs/>
          <w:sz w:val="24"/>
        </w:rPr>
        <w:t>S&amp;A</w:t>
      </w:r>
      <w:r w:rsidR="00DA27B4" w:rsidRPr="00C74EB6">
        <w:rPr>
          <w:rFonts w:hint="eastAsia"/>
          <w:iCs/>
          <w:sz w:val="24"/>
        </w:rPr>
        <w:t>费用时会加入研发费用。</w:t>
      </w:r>
      <m:oMath>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oMath>
      <w:r w:rsidR="00DA27B4" w:rsidRPr="00C74EB6">
        <w:rPr>
          <w:rFonts w:hint="eastAsia"/>
          <w:iCs/>
          <w:sz w:val="24"/>
        </w:rPr>
        <w:t>为企业前五年（若不满五年则按已有年份计算）</w:t>
      </w:r>
      <w:r w:rsidR="00DA27B4" w:rsidRPr="00C74EB6">
        <w:rPr>
          <w:rFonts w:hint="eastAsia"/>
          <w:iCs/>
          <w:sz w:val="24"/>
        </w:rPr>
        <w:t>S&amp;A</w:t>
      </w:r>
      <w:r w:rsidR="00DA27B4" w:rsidRPr="00C74EB6">
        <w:rPr>
          <w:rFonts w:hint="eastAsia"/>
          <w:iCs/>
          <w:sz w:val="24"/>
        </w:rPr>
        <w:t>费用的几何平均增长率</w:t>
      </w:r>
      <w:r w:rsidR="00DA27B4" w:rsidRPr="00C74EB6">
        <w:rPr>
          <w:rFonts w:hint="eastAsia"/>
          <w:sz w:val="24"/>
        </w:rPr>
        <w:t>。</w:t>
      </w:r>
      <m:oMath>
        <m:sSub>
          <m:sSubPr>
            <m:ctrlPr>
              <w:rPr>
                <w:rFonts w:ascii="Cambria Math" w:hAnsi="Cambria Math"/>
                <w:i/>
                <w:sz w:val="24"/>
              </w:rPr>
            </m:ctrlPr>
          </m:sSubPr>
          <m:e>
            <m:r>
              <w:rPr>
                <w:rFonts w:ascii="Cambria Math" w:hAnsi="Cambria Math"/>
                <w:sz w:val="24"/>
              </w:rPr>
              <m:t>σ</m:t>
            </m:r>
          </m:e>
          <m:sub>
            <m:r>
              <w:rPr>
                <w:rFonts w:ascii="Cambria Math" w:hAnsi="Cambria Math"/>
                <w:sz w:val="24"/>
              </w:rPr>
              <m:t>0</m:t>
            </m:r>
          </m:sub>
        </m:sSub>
        <m:r>
          <w:rPr>
            <w:rFonts w:ascii="Cambria Math" w:hAnsi="Cambria Math"/>
            <w:sz w:val="24"/>
          </w:rPr>
          <m:t>=26.37%</m:t>
        </m:r>
      </m:oMath>
      <w:r w:rsidR="00DA27B4" w:rsidRPr="00C74EB6">
        <w:rPr>
          <w:rFonts w:hint="eastAsia"/>
          <w:sz w:val="24"/>
        </w:rPr>
        <w:t>，参考（</w:t>
      </w:r>
      <w:proofErr w:type="gramStart"/>
      <w:r w:rsidR="00DA27B4" w:rsidRPr="00C74EB6">
        <w:rPr>
          <w:rFonts w:hint="eastAsia"/>
          <w:sz w:val="24"/>
        </w:rPr>
        <w:t>许永洪等</w:t>
      </w:r>
      <w:proofErr w:type="gramEnd"/>
      <w:r w:rsidR="00DA27B4" w:rsidRPr="00C74EB6">
        <w:rPr>
          <w:rFonts w:hint="eastAsia"/>
          <w:sz w:val="24"/>
        </w:rPr>
        <w:t>，</w:t>
      </w:r>
      <w:r w:rsidR="00DA27B4" w:rsidRPr="00C74EB6">
        <w:rPr>
          <w:rFonts w:hint="eastAsia"/>
          <w:sz w:val="24"/>
        </w:rPr>
        <w:t>2023</w:t>
      </w:r>
      <w:r w:rsidR="00DA27B4" w:rsidRPr="00C74EB6">
        <w:rPr>
          <w:rFonts w:hint="eastAsia"/>
          <w:sz w:val="24"/>
        </w:rPr>
        <w:t>）</w:t>
      </w:r>
    </w:p>
    <w:p w14:paraId="7CB62FF8" w14:textId="77777777" w:rsidR="00170DA4" w:rsidRPr="00C74EB6" w:rsidRDefault="00170DA4" w:rsidP="00D94887">
      <w:pPr>
        <w:spacing w:line="360" w:lineRule="auto"/>
        <w:ind w:firstLineChars="200" w:firstLine="480"/>
        <w:rPr>
          <w:sz w:val="24"/>
        </w:rPr>
      </w:pPr>
      <w:r w:rsidRPr="00C74EB6">
        <w:rPr>
          <w:rFonts w:hint="eastAsia"/>
          <w:sz w:val="24"/>
        </w:rPr>
        <w:t>第二步计算研究期内每年期末的组织资本</w:t>
      </w:r>
      <m:oMath>
        <m:sSub>
          <m:sSubPr>
            <m:ctrlPr>
              <w:rPr>
                <w:rFonts w:ascii="Cambria Math" w:hAnsi="Cambria Math"/>
                <w:i/>
                <w:sz w:val="24"/>
              </w:rPr>
            </m:ctrlPr>
          </m:sSubPr>
          <m:e>
            <m:r>
              <w:rPr>
                <w:rFonts w:ascii="Cambria Math" w:hAnsi="Cambria Math"/>
                <w:sz w:val="24"/>
              </w:rPr>
              <m:t>OC</m:t>
            </m:r>
          </m:e>
          <m:sub>
            <m:r>
              <w:rPr>
                <w:rFonts w:ascii="Cambria Math" w:hAnsi="Cambria Math" w:hint="eastAsia"/>
                <w:sz w:val="24"/>
              </w:rPr>
              <m:t>t</m:t>
            </m:r>
          </m:sub>
        </m:sSub>
      </m:oMath>
      <w:r w:rsidRPr="00C74EB6">
        <w:rPr>
          <w:rFonts w:hint="eastAsia"/>
          <w:sz w:val="24"/>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969"/>
        <w:gridCol w:w="2205"/>
      </w:tblGrid>
      <w:tr w:rsidR="00DA27B4" w:rsidRPr="00C74EB6" w14:paraId="657CE30D" w14:textId="77777777" w:rsidTr="00DA27B4">
        <w:tc>
          <w:tcPr>
            <w:tcW w:w="2122" w:type="dxa"/>
          </w:tcPr>
          <w:p w14:paraId="397D80A7" w14:textId="77777777" w:rsidR="00DA27B4" w:rsidRPr="00C74EB6" w:rsidRDefault="00DA27B4" w:rsidP="00D94887">
            <w:pPr>
              <w:spacing w:line="360" w:lineRule="auto"/>
              <w:ind w:firstLine="480"/>
              <w:rPr>
                <w:sz w:val="24"/>
              </w:rPr>
            </w:pPr>
          </w:p>
        </w:tc>
        <w:tc>
          <w:tcPr>
            <w:tcW w:w="3969" w:type="dxa"/>
            <w:vAlign w:val="center"/>
          </w:tcPr>
          <w:p w14:paraId="1EBD606F" w14:textId="032FAA95" w:rsidR="00DA27B4" w:rsidRPr="00C74EB6" w:rsidRDefault="00000000" w:rsidP="00DA27B4">
            <w:pPr>
              <w:spacing w:line="360" w:lineRule="auto"/>
              <w:ind w:firstLine="480"/>
              <w:jc w:val="right"/>
              <w:rPr>
                <w:sz w:val="24"/>
              </w:rPr>
            </w:pPr>
            <m:oMathPara>
              <m:oMath>
                <m:sSub>
                  <m:sSubPr>
                    <m:ctrlPr>
                      <w:rPr>
                        <w:rFonts w:ascii="Cambria Math" w:hAnsi="Cambria Math"/>
                        <w:i/>
                        <w:sz w:val="24"/>
                      </w:rPr>
                    </m:ctrlPr>
                  </m:sSubPr>
                  <m:e>
                    <m:r>
                      <w:rPr>
                        <w:rFonts w:ascii="Cambria Math" w:hAnsi="Cambria Math"/>
                        <w:sz w:val="24"/>
                      </w:rPr>
                      <m:t>OC</m:t>
                    </m:r>
                  </m:e>
                  <m:sub>
                    <m:r>
                      <w:rPr>
                        <w:rFonts w:ascii="Cambria Math" w:hAnsi="Cambria Math" w:hint="eastAsia"/>
                        <w:sz w:val="24"/>
                      </w:rPr>
                      <m:t>it</m:t>
                    </m:r>
                  </m:sub>
                </m:sSub>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hint="eastAsia"/>
                            <w:sz w:val="24"/>
                          </w:rPr>
                          <m:t>σ</m:t>
                        </m:r>
                      </m:e>
                      <m:sub>
                        <m:r>
                          <w:rPr>
                            <w:rFonts w:ascii="Cambria Math" w:hAnsi="Cambria Math"/>
                            <w:sz w:val="24"/>
                          </w:rPr>
                          <m:t>0</m:t>
                        </m:r>
                      </m:sub>
                    </m:sSub>
                  </m:e>
                </m:d>
                <m:sSub>
                  <m:sSubPr>
                    <m:ctrlPr>
                      <w:rPr>
                        <w:rFonts w:ascii="Cambria Math" w:hAnsi="Cambria Math"/>
                        <w:i/>
                        <w:sz w:val="24"/>
                      </w:rPr>
                    </m:ctrlPr>
                  </m:sSubPr>
                  <m:e>
                    <m:r>
                      <w:rPr>
                        <w:rFonts w:ascii="Cambria Math" w:hAnsi="Cambria Math"/>
                        <w:sz w:val="24"/>
                      </w:rPr>
                      <m:t>OC</m:t>
                    </m:r>
                  </m:e>
                  <m:sub>
                    <m:r>
                      <w:rPr>
                        <w:rFonts w:ascii="Cambria Math" w:hAnsi="Cambria Math" w:hint="eastAsia"/>
                        <w:sz w:val="24"/>
                      </w:rPr>
                      <m:t>it</m:t>
                    </m:r>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SA</m:t>
                        </m:r>
                      </m:e>
                      <m:sub>
                        <m:r>
                          <w:rPr>
                            <w:rFonts w:ascii="Cambria Math" w:hAnsi="Cambria Math"/>
                            <w:sz w:val="24"/>
                          </w:rPr>
                          <m:t>it</m:t>
                        </m:r>
                      </m:sub>
                    </m:sSub>
                  </m:num>
                  <m:den>
                    <m:sSub>
                      <m:sSubPr>
                        <m:ctrlPr>
                          <w:rPr>
                            <w:rFonts w:ascii="Cambria Math" w:hAnsi="Cambria Math"/>
                            <w:i/>
                            <w:sz w:val="24"/>
                          </w:rPr>
                        </m:ctrlPr>
                      </m:sSubPr>
                      <m:e>
                        <m:r>
                          <w:rPr>
                            <w:rFonts w:ascii="Cambria Math" w:hAnsi="Cambria Math"/>
                            <w:sz w:val="24"/>
                          </w:rPr>
                          <m:t>cpi</m:t>
                        </m:r>
                      </m:e>
                      <m:sub>
                        <m:r>
                          <w:rPr>
                            <w:rFonts w:ascii="Cambria Math" w:hAnsi="Cambria Math"/>
                            <w:sz w:val="24"/>
                          </w:rPr>
                          <m:t>t</m:t>
                        </m:r>
                      </m:sub>
                    </m:sSub>
                  </m:den>
                </m:f>
              </m:oMath>
            </m:oMathPara>
          </w:p>
        </w:tc>
        <w:tc>
          <w:tcPr>
            <w:tcW w:w="2205" w:type="dxa"/>
            <w:vAlign w:val="center"/>
          </w:tcPr>
          <w:p w14:paraId="62294D07" w14:textId="5968BD9E" w:rsidR="00DA27B4" w:rsidRPr="00C74EB6" w:rsidRDefault="00DA27B4" w:rsidP="00DA27B4">
            <w:pPr>
              <w:spacing w:line="360" w:lineRule="auto"/>
              <w:ind w:firstLine="480"/>
              <w:jc w:val="right"/>
              <w:rPr>
                <w:sz w:val="24"/>
              </w:rPr>
            </w:pPr>
            <w:r w:rsidRPr="00C74EB6">
              <w:rPr>
                <w:sz w:val="24"/>
              </w:rPr>
              <w:t>（</w:t>
            </w:r>
            <w:r w:rsidRPr="00C74EB6">
              <w:rPr>
                <w:rFonts w:hint="eastAsia"/>
                <w:sz w:val="24"/>
              </w:rPr>
              <w:t>3.2</w:t>
            </w:r>
            <w:r w:rsidRPr="00C74EB6">
              <w:rPr>
                <w:sz w:val="24"/>
              </w:rPr>
              <w:t>）</w:t>
            </w:r>
          </w:p>
        </w:tc>
      </w:tr>
    </w:tbl>
    <w:p w14:paraId="745B399F" w14:textId="645BE6D1" w:rsidR="00170DA4" w:rsidRPr="00C74EB6" w:rsidRDefault="00000000" w:rsidP="00DA27B4">
      <w:pPr>
        <w:spacing w:line="360" w:lineRule="auto"/>
        <w:ind w:firstLineChars="200" w:firstLine="480"/>
        <w:rPr>
          <w:sz w:val="24"/>
        </w:rPr>
      </w:pPr>
      <m:oMath>
        <m:sSub>
          <m:sSubPr>
            <m:ctrlPr>
              <w:rPr>
                <w:rFonts w:ascii="Cambria Math" w:hAnsi="Cambria Math"/>
                <w:i/>
                <w:sz w:val="24"/>
              </w:rPr>
            </m:ctrlPr>
          </m:sSubPr>
          <m:e>
            <m:r>
              <w:rPr>
                <w:rFonts w:ascii="Cambria Math" w:hAnsi="Cambria Math"/>
                <w:sz w:val="24"/>
              </w:rPr>
              <m:t>cpi</m:t>
            </m:r>
          </m:e>
          <m:sub>
            <m:r>
              <w:rPr>
                <w:rFonts w:ascii="Cambria Math" w:hAnsi="Cambria Math"/>
                <w:sz w:val="24"/>
              </w:rPr>
              <m:t>t</m:t>
            </m:r>
          </m:sub>
        </m:sSub>
      </m:oMath>
      <w:r w:rsidR="00DA27B4" w:rsidRPr="00C74EB6">
        <w:rPr>
          <w:rFonts w:hint="eastAsia"/>
          <w:sz w:val="24"/>
        </w:rPr>
        <w:t>为年末价格指数。本文将组织资本对数化，得到</w:t>
      </w:r>
      <w:r w:rsidR="00DA27B4" w:rsidRPr="00C74EB6">
        <w:rPr>
          <w:rFonts w:hint="eastAsia"/>
          <w:sz w:val="24"/>
        </w:rPr>
        <w:t>OC</w:t>
      </w:r>
      <w:r w:rsidR="00DA27B4" w:rsidRPr="00C74EB6">
        <w:rPr>
          <w:rFonts w:hint="eastAsia"/>
          <w:sz w:val="24"/>
        </w:rPr>
        <w:t>变量。</w:t>
      </w:r>
    </w:p>
    <w:p w14:paraId="2E3A338B" w14:textId="50D71403" w:rsidR="0028193F" w:rsidRPr="00C74EB6" w:rsidRDefault="0028193F" w:rsidP="00C74EB6">
      <w:pPr>
        <w:pStyle w:val="3"/>
      </w:pPr>
      <w:bookmarkStart w:id="82" w:name="_Toc191420746"/>
      <w:bookmarkStart w:id="83" w:name="_Toc191574116"/>
      <w:bookmarkStart w:id="84" w:name="_Toc198286987"/>
      <w:r w:rsidRPr="00C74EB6">
        <w:rPr>
          <w:rFonts w:hint="eastAsia"/>
        </w:rPr>
        <w:t>董</w:t>
      </w:r>
      <w:proofErr w:type="gramStart"/>
      <w:r w:rsidRPr="00C74EB6">
        <w:rPr>
          <w:rFonts w:hint="eastAsia"/>
        </w:rPr>
        <w:t>监高责任</w:t>
      </w:r>
      <w:proofErr w:type="gramEnd"/>
      <w:r w:rsidRPr="00C74EB6">
        <w:rPr>
          <w:rFonts w:hint="eastAsia"/>
        </w:rPr>
        <w:t>险</w:t>
      </w:r>
      <w:r w:rsidR="00CB6D51" w:rsidRPr="00C74EB6">
        <w:rPr>
          <w:rFonts w:hint="eastAsia"/>
        </w:rPr>
        <w:t>的投保意向变量设定</w:t>
      </w:r>
      <w:bookmarkEnd w:id="82"/>
      <w:bookmarkEnd w:id="83"/>
      <w:bookmarkEnd w:id="84"/>
    </w:p>
    <w:p w14:paraId="551C855D" w14:textId="01A7B058" w:rsidR="005374C7" w:rsidRDefault="006410E9" w:rsidP="00E96C65">
      <w:pPr>
        <w:spacing w:line="360" w:lineRule="auto"/>
        <w:ind w:firstLineChars="200" w:firstLine="480"/>
        <w:rPr>
          <w:sz w:val="24"/>
        </w:rPr>
      </w:pPr>
      <w:bookmarkStart w:id="85" w:name="_Hlk194858569"/>
      <w:r w:rsidRPr="00E85228">
        <w:rPr>
          <w:rFonts w:hint="eastAsia"/>
          <w:sz w:val="24"/>
        </w:rPr>
        <w:t>本文选择</w:t>
      </w:r>
      <w:r w:rsidR="00300AEA" w:rsidRPr="00E85228">
        <w:rPr>
          <w:rFonts w:hint="eastAsia"/>
          <w:sz w:val="24"/>
        </w:rPr>
        <w:t>董</w:t>
      </w:r>
      <w:proofErr w:type="gramStart"/>
      <w:r w:rsidR="00300AEA" w:rsidRPr="00E85228">
        <w:rPr>
          <w:rFonts w:hint="eastAsia"/>
          <w:sz w:val="24"/>
        </w:rPr>
        <w:t>监高责任</w:t>
      </w:r>
      <w:proofErr w:type="gramEnd"/>
      <w:r w:rsidR="00300AEA" w:rsidRPr="00E85228">
        <w:rPr>
          <w:rFonts w:hint="eastAsia"/>
          <w:sz w:val="24"/>
        </w:rPr>
        <w:t>险的</w:t>
      </w:r>
      <w:r w:rsidR="00704B9E" w:rsidRPr="00E85228">
        <w:rPr>
          <w:rFonts w:hint="eastAsia"/>
          <w:sz w:val="24"/>
        </w:rPr>
        <w:t>投保</w:t>
      </w:r>
      <w:r w:rsidR="00F4270A" w:rsidRPr="00E85228">
        <w:rPr>
          <w:rFonts w:hint="eastAsia"/>
          <w:sz w:val="24"/>
        </w:rPr>
        <w:t>意向</w:t>
      </w:r>
      <w:r w:rsidR="00300AEA" w:rsidRPr="00E85228">
        <w:rPr>
          <w:rFonts w:hint="eastAsia"/>
          <w:sz w:val="24"/>
        </w:rPr>
        <w:t>（</w:t>
      </w:r>
      <w:r w:rsidR="0028193F" w:rsidRPr="00C74EB6">
        <w:rPr>
          <w:rFonts w:hint="eastAsia"/>
          <w:sz w:val="24"/>
        </w:rPr>
        <w:t>DO</w:t>
      </w:r>
      <w:r w:rsidR="00300AEA" w:rsidRPr="00C74EB6">
        <w:rPr>
          <w:rFonts w:hint="eastAsia"/>
          <w:sz w:val="24"/>
        </w:rPr>
        <w:t>）</w:t>
      </w:r>
      <w:r w:rsidRPr="00C74EB6">
        <w:rPr>
          <w:rFonts w:hint="eastAsia"/>
          <w:sz w:val="24"/>
        </w:rPr>
        <w:t>作为研究对象</w:t>
      </w:r>
      <w:r w:rsidR="00300AEA" w:rsidRPr="00C74EB6">
        <w:rPr>
          <w:rFonts w:hint="eastAsia"/>
          <w:sz w:val="24"/>
        </w:rPr>
        <w:t>。</w:t>
      </w:r>
      <w:r w:rsidR="00300AEA" w:rsidRPr="00C74EB6">
        <w:rPr>
          <w:rFonts w:hint="eastAsia"/>
          <w:sz w:val="24"/>
        </w:rPr>
        <w:t>DO</w:t>
      </w:r>
      <w:r w:rsidR="00300AEA" w:rsidRPr="00C74EB6">
        <w:rPr>
          <w:rFonts w:hint="eastAsia"/>
          <w:sz w:val="24"/>
        </w:rPr>
        <w:t>设定</w:t>
      </w:r>
      <w:r w:rsidR="0028193F" w:rsidRPr="00C74EB6">
        <w:rPr>
          <w:rFonts w:hint="eastAsia"/>
          <w:sz w:val="24"/>
        </w:rPr>
        <w:t>为虚拟变量，</w:t>
      </w:r>
      <w:r w:rsidR="000E5383">
        <w:rPr>
          <w:rFonts w:hint="eastAsia"/>
          <w:sz w:val="24"/>
        </w:rPr>
        <w:t>若公司拟</w:t>
      </w:r>
      <w:r w:rsidR="00EB3D01">
        <w:rPr>
          <w:rFonts w:hint="eastAsia"/>
          <w:sz w:val="24"/>
        </w:rPr>
        <w:t>购买董</w:t>
      </w:r>
      <w:proofErr w:type="gramStart"/>
      <w:r w:rsidR="00EB3D01">
        <w:rPr>
          <w:rFonts w:hint="eastAsia"/>
          <w:sz w:val="24"/>
        </w:rPr>
        <w:t>监高责任</w:t>
      </w:r>
      <w:proofErr w:type="gramEnd"/>
      <w:r w:rsidR="00EB3D01">
        <w:rPr>
          <w:rFonts w:hint="eastAsia"/>
          <w:sz w:val="24"/>
        </w:rPr>
        <w:t>险，则</w:t>
      </w:r>
      <w:r w:rsidR="00EB3D01">
        <w:rPr>
          <w:rFonts w:hint="eastAsia"/>
          <w:sz w:val="24"/>
        </w:rPr>
        <w:t>DO=1</w:t>
      </w:r>
      <w:r w:rsidR="00EB3D01">
        <w:rPr>
          <w:rFonts w:hint="eastAsia"/>
          <w:sz w:val="24"/>
        </w:rPr>
        <w:t>，</w:t>
      </w:r>
      <w:r w:rsidR="00E96C65">
        <w:rPr>
          <w:rFonts w:hint="eastAsia"/>
          <w:sz w:val="24"/>
        </w:rPr>
        <w:t>反之则</w:t>
      </w:r>
      <w:r w:rsidR="00EB3D01">
        <w:rPr>
          <w:rFonts w:hint="eastAsia"/>
          <w:sz w:val="24"/>
        </w:rPr>
        <w:t>为</w:t>
      </w:r>
      <w:r w:rsidR="00EB3D01">
        <w:rPr>
          <w:rFonts w:hint="eastAsia"/>
          <w:sz w:val="24"/>
        </w:rPr>
        <w:t>0</w:t>
      </w:r>
      <w:r w:rsidR="005F6ABB">
        <w:rPr>
          <w:rFonts w:hint="eastAsia"/>
          <w:sz w:val="24"/>
        </w:rPr>
        <w:t>；</w:t>
      </w:r>
      <w:r w:rsidR="000E5383">
        <w:rPr>
          <w:rFonts w:hint="eastAsia"/>
          <w:sz w:val="24"/>
        </w:rPr>
        <w:t>这一判断</w:t>
      </w:r>
      <w:r w:rsidR="00E96C65">
        <w:rPr>
          <w:rFonts w:hint="eastAsia"/>
          <w:sz w:val="24"/>
        </w:rPr>
        <w:t>依据</w:t>
      </w:r>
      <w:r w:rsidR="000E5383">
        <w:rPr>
          <w:rFonts w:hint="eastAsia"/>
          <w:sz w:val="24"/>
        </w:rPr>
        <w:t>公司发布的相关议案、股东大会会议材料等</w:t>
      </w:r>
      <w:r w:rsidR="00E96C65">
        <w:rPr>
          <w:rFonts w:hint="eastAsia"/>
          <w:sz w:val="24"/>
        </w:rPr>
        <w:t>临时</w:t>
      </w:r>
      <w:r w:rsidR="000E5383">
        <w:rPr>
          <w:rFonts w:hint="eastAsia"/>
          <w:sz w:val="24"/>
        </w:rPr>
        <w:t>公告和年度</w:t>
      </w:r>
      <w:proofErr w:type="gramStart"/>
      <w:r w:rsidR="000E5383">
        <w:rPr>
          <w:rFonts w:hint="eastAsia"/>
          <w:sz w:val="24"/>
        </w:rPr>
        <w:t>报告</w:t>
      </w:r>
      <w:r w:rsidR="00E96C65">
        <w:rPr>
          <w:rFonts w:hint="eastAsia"/>
          <w:sz w:val="24"/>
        </w:rPr>
        <w:t>等</w:t>
      </w:r>
      <w:r w:rsidR="005374C7">
        <w:rPr>
          <w:rFonts w:hint="eastAsia"/>
          <w:sz w:val="24"/>
        </w:rPr>
        <w:t>财报</w:t>
      </w:r>
      <w:r w:rsidR="000E5383">
        <w:rPr>
          <w:rFonts w:hint="eastAsia"/>
          <w:sz w:val="24"/>
        </w:rPr>
        <w:t>对</w:t>
      </w:r>
      <w:proofErr w:type="gramEnd"/>
      <w:r w:rsidR="000E5383">
        <w:rPr>
          <w:rFonts w:hint="eastAsia"/>
          <w:sz w:val="24"/>
        </w:rPr>
        <w:t>董</w:t>
      </w:r>
      <w:proofErr w:type="gramStart"/>
      <w:r w:rsidR="000E5383">
        <w:rPr>
          <w:rFonts w:hint="eastAsia"/>
          <w:sz w:val="24"/>
        </w:rPr>
        <w:t>监高责任</w:t>
      </w:r>
      <w:proofErr w:type="gramEnd"/>
      <w:r w:rsidR="000E5383">
        <w:rPr>
          <w:rFonts w:hint="eastAsia"/>
          <w:sz w:val="24"/>
        </w:rPr>
        <w:t>险的提及和投保表述</w:t>
      </w:r>
      <w:r w:rsidR="005F6ABB">
        <w:rPr>
          <w:rFonts w:hint="eastAsia"/>
          <w:sz w:val="24"/>
        </w:rPr>
        <w:t>（</w:t>
      </w:r>
      <w:r w:rsidR="005F6ABB">
        <w:rPr>
          <w:rFonts w:hint="eastAsia"/>
          <w:sz w:val="24"/>
        </w:rPr>
        <w:t>Zou</w:t>
      </w:r>
      <w:r w:rsidR="005F6ABB">
        <w:rPr>
          <w:rFonts w:hint="eastAsia"/>
          <w:sz w:val="24"/>
        </w:rPr>
        <w:t>等，</w:t>
      </w:r>
      <w:r w:rsidR="005F6ABB">
        <w:rPr>
          <w:rFonts w:hint="eastAsia"/>
          <w:sz w:val="24"/>
        </w:rPr>
        <w:t>2008</w:t>
      </w:r>
      <w:r w:rsidR="005F6ABB">
        <w:rPr>
          <w:rFonts w:hint="eastAsia"/>
          <w:sz w:val="24"/>
        </w:rPr>
        <w:t>；凌士显和白锐锋，</w:t>
      </w:r>
      <w:r w:rsidR="005F6ABB">
        <w:rPr>
          <w:rFonts w:hint="eastAsia"/>
          <w:sz w:val="24"/>
        </w:rPr>
        <w:t>2018</w:t>
      </w:r>
      <w:r w:rsidR="005F6ABB">
        <w:rPr>
          <w:rFonts w:hint="eastAsia"/>
          <w:sz w:val="24"/>
        </w:rPr>
        <w:t>；</w:t>
      </w:r>
      <w:r w:rsidR="005F6ABB">
        <w:rPr>
          <w:rFonts w:hint="eastAsia"/>
          <w:sz w:val="24"/>
        </w:rPr>
        <w:t>Li</w:t>
      </w:r>
      <w:r w:rsidR="005F6ABB">
        <w:rPr>
          <w:rFonts w:hint="eastAsia"/>
          <w:sz w:val="24"/>
        </w:rPr>
        <w:t>等，</w:t>
      </w:r>
      <w:r w:rsidR="005F6ABB">
        <w:rPr>
          <w:rFonts w:hint="eastAsia"/>
          <w:sz w:val="24"/>
        </w:rPr>
        <w:t>2022</w:t>
      </w:r>
      <w:r w:rsidR="005F6ABB">
        <w:rPr>
          <w:rFonts w:hint="eastAsia"/>
          <w:sz w:val="24"/>
        </w:rPr>
        <w:t>）</w:t>
      </w:r>
      <w:r w:rsidR="000E5383">
        <w:rPr>
          <w:rFonts w:hint="eastAsia"/>
          <w:sz w:val="24"/>
        </w:rPr>
        <w:t>。</w:t>
      </w:r>
      <w:bookmarkEnd w:id="85"/>
      <w:r w:rsidR="00F4270A">
        <w:rPr>
          <w:rFonts w:hint="eastAsia"/>
          <w:sz w:val="24"/>
        </w:rPr>
        <w:t>在实际的数据收集</w:t>
      </w:r>
      <w:r w:rsidR="005374C7">
        <w:rPr>
          <w:rFonts w:hint="eastAsia"/>
          <w:sz w:val="24"/>
        </w:rPr>
        <w:t>时发现</w:t>
      </w:r>
      <w:r w:rsidR="00F4270A">
        <w:rPr>
          <w:rFonts w:hint="eastAsia"/>
          <w:sz w:val="24"/>
        </w:rPr>
        <w:t>，公开数据基本</w:t>
      </w:r>
      <w:r w:rsidR="005374C7">
        <w:rPr>
          <w:rFonts w:hint="eastAsia"/>
          <w:sz w:val="24"/>
        </w:rPr>
        <w:t>体现</w:t>
      </w:r>
      <w:r w:rsidR="00F4270A">
        <w:rPr>
          <w:rFonts w:hint="eastAsia"/>
          <w:sz w:val="24"/>
        </w:rPr>
        <w:t>公司的投保意向，</w:t>
      </w:r>
      <w:r w:rsidR="005374C7" w:rsidRPr="005374C7">
        <w:rPr>
          <w:rFonts w:hint="eastAsia"/>
          <w:sz w:val="24"/>
        </w:rPr>
        <w:t>合同签订细节如保额、保费</w:t>
      </w:r>
      <w:r w:rsidR="00E85228">
        <w:rPr>
          <w:rFonts w:hint="eastAsia"/>
          <w:sz w:val="24"/>
        </w:rPr>
        <w:t>、具体条款</w:t>
      </w:r>
      <w:r w:rsidR="005374C7" w:rsidRPr="005374C7">
        <w:rPr>
          <w:rFonts w:hint="eastAsia"/>
          <w:sz w:val="24"/>
        </w:rPr>
        <w:t>等并未</w:t>
      </w:r>
      <w:r w:rsidR="005374C7">
        <w:rPr>
          <w:rFonts w:hint="eastAsia"/>
          <w:sz w:val="24"/>
        </w:rPr>
        <w:t>全面和详细</w:t>
      </w:r>
      <w:r w:rsidR="005374C7" w:rsidRPr="005374C7">
        <w:rPr>
          <w:rFonts w:hint="eastAsia"/>
          <w:sz w:val="24"/>
        </w:rPr>
        <w:t>披露</w:t>
      </w:r>
      <w:r w:rsidR="005374C7">
        <w:rPr>
          <w:rFonts w:hint="eastAsia"/>
          <w:sz w:val="24"/>
        </w:rPr>
        <w:t>。而能够获得的</w:t>
      </w:r>
      <w:r w:rsidR="005374C7" w:rsidRPr="005374C7">
        <w:rPr>
          <w:rFonts w:hint="eastAsia"/>
          <w:sz w:val="24"/>
        </w:rPr>
        <w:t>保额和保费等数据</w:t>
      </w:r>
      <w:r w:rsidR="005374C7">
        <w:rPr>
          <w:rFonts w:hint="eastAsia"/>
          <w:sz w:val="24"/>
        </w:rPr>
        <w:t>也仅体现公司的投保设想，样本期内</w:t>
      </w:r>
      <w:r w:rsidR="00E85228">
        <w:rPr>
          <w:rFonts w:hint="eastAsia"/>
          <w:sz w:val="24"/>
        </w:rPr>
        <w:t>仅</w:t>
      </w:r>
      <w:r w:rsidR="005374C7">
        <w:rPr>
          <w:rFonts w:hint="eastAsia"/>
          <w:sz w:val="24"/>
        </w:rPr>
        <w:t>可获得</w:t>
      </w:r>
      <w:r w:rsidR="005374C7">
        <w:rPr>
          <w:rFonts w:hint="eastAsia"/>
          <w:sz w:val="24"/>
        </w:rPr>
        <w:t>1033</w:t>
      </w:r>
      <w:r w:rsidR="005374C7">
        <w:rPr>
          <w:rFonts w:hint="eastAsia"/>
          <w:sz w:val="24"/>
        </w:rPr>
        <w:t>条数据</w:t>
      </w:r>
      <w:r w:rsidR="00E85228">
        <w:rPr>
          <w:rFonts w:hint="eastAsia"/>
          <w:sz w:val="24"/>
        </w:rPr>
        <w:t>（占比</w:t>
      </w:r>
      <w:r w:rsidR="00E85228">
        <w:rPr>
          <w:rFonts w:hint="eastAsia"/>
          <w:sz w:val="24"/>
        </w:rPr>
        <w:t>4%</w:t>
      </w:r>
      <w:r w:rsidR="00E85228">
        <w:rPr>
          <w:rFonts w:hint="eastAsia"/>
          <w:sz w:val="24"/>
        </w:rPr>
        <w:t>）</w:t>
      </w:r>
      <w:r w:rsidR="005374C7">
        <w:rPr>
          <w:rFonts w:hint="eastAsia"/>
          <w:sz w:val="24"/>
        </w:rPr>
        <w:t>。其中公司拟投保的</w:t>
      </w:r>
      <w:r w:rsidR="005374C7" w:rsidRPr="005374C7">
        <w:rPr>
          <w:rFonts w:hint="eastAsia"/>
          <w:sz w:val="24"/>
        </w:rPr>
        <w:t>最高保额超六成集中在</w:t>
      </w:r>
      <w:r w:rsidR="005374C7" w:rsidRPr="005374C7">
        <w:rPr>
          <w:rFonts w:hint="eastAsia"/>
          <w:sz w:val="24"/>
        </w:rPr>
        <w:t>5000</w:t>
      </w:r>
      <w:r w:rsidR="005374C7" w:rsidRPr="005374C7">
        <w:rPr>
          <w:rFonts w:hint="eastAsia"/>
          <w:sz w:val="24"/>
        </w:rPr>
        <w:t>万元和</w:t>
      </w:r>
      <w:r w:rsidR="005374C7" w:rsidRPr="005374C7">
        <w:rPr>
          <w:rFonts w:hint="eastAsia"/>
          <w:sz w:val="24"/>
        </w:rPr>
        <w:t>10000</w:t>
      </w:r>
      <w:r w:rsidR="005374C7" w:rsidRPr="005374C7">
        <w:rPr>
          <w:rFonts w:hint="eastAsia"/>
          <w:sz w:val="24"/>
        </w:rPr>
        <w:t>万元两个数值，尚未形成明显的公司间分化，这也进一步说明当前</w:t>
      </w:r>
      <w:proofErr w:type="gramStart"/>
      <w:r w:rsidR="005374C7" w:rsidRPr="005374C7">
        <w:rPr>
          <w:rFonts w:hint="eastAsia"/>
          <w:sz w:val="24"/>
        </w:rPr>
        <w:t>国内董监高责任</w:t>
      </w:r>
      <w:proofErr w:type="gramEnd"/>
      <w:r w:rsidR="005374C7" w:rsidRPr="005374C7">
        <w:rPr>
          <w:rFonts w:hint="eastAsia"/>
          <w:sz w:val="24"/>
        </w:rPr>
        <w:t>险市场仍属于卖方市场，公司定制</w:t>
      </w:r>
      <w:proofErr w:type="gramStart"/>
      <w:r w:rsidR="005374C7" w:rsidRPr="005374C7">
        <w:rPr>
          <w:rFonts w:hint="eastAsia"/>
          <w:sz w:val="24"/>
        </w:rPr>
        <w:t>化需求</w:t>
      </w:r>
      <w:proofErr w:type="gramEnd"/>
      <w:r w:rsidR="005374C7" w:rsidRPr="005374C7">
        <w:rPr>
          <w:rFonts w:hint="eastAsia"/>
          <w:sz w:val="24"/>
        </w:rPr>
        <w:t>难以被满足，更多是保险公司基于主流合同进行微调。</w:t>
      </w:r>
      <w:r w:rsidR="005374C7">
        <w:rPr>
          <w:rFonts w:hint="eastAsia"/>
          <w:sz w:val="24"/>
        </w:rPr>
        <w:t>因此，基于公司拟投保的保额这一定量指标的研究价值有限。并且，</w:t>
      </w:r>
      <w:r w:rsidR="00E85228">
        <w:rPr>
          <w:rFonts w:hint="eastAsia"/>
          <w:sz w:val="24"/>
        </w:rPr>
        <w:t>投保</w:t>
      </w:r>
      <w:r w:rsidR="005374C7">
        <w:rPr>
          <w:rFonts w:hint="eastAsia"/>
          <w:sz w:val="24"/>
        </w:rPr>
        <w:t>意向能够如实反应公司主动风险管理态度，体现公司对潜在风险的认知与重视，足以彰显前瞻性和主动型思维。</w:t>
      </w:r>
      <w:r w:rsidR="00870BE7" w:rsidRPr="00870BE7">
        <w:rPr>
          <w:rFonts w:hint="eastAsia"/>
          <w:sz w:val="24"/>
        </w:rPr>
        <w:t>尤其是在卖方市场特征的保险环境下，这一变量的设定也</w:t>
      </w:r>
      <w:r w:rsidR="00870BE7">
        <w:rPr>
          <w:rFonts w:hint="eastAsia"/>
          <w:sz w:val="24"/>
        </w:rPr>
        <w:t>能</w:t>
      </w:r>
      <w:r w:rsidR="00870BE7" w:rsidRPr="00870BE7">
        <w:rPr>
          <w:rFonts w:hint="eastAsia"/>
          <w:sz w:val="24"/>
        </w:rPr>
        <w:t>排除</w:t>
      </w:r>
      <w:r w:rsidR="00870BE7">
        <w:rPr>
          <w:rFonts w:hint="eastAsia"/>
          <w:sz w:val="24"/>
        </w:rPr>
        <w:t>公司外部</w:t>
      </w:r>
      <w:r w:rsidR="00870BE7" w:rsidRPr="00870BE7">
        <w:rPr>
          <w:rFonts w:hint="eastAsia"/>
          <w:sz w:val="24"/>
        </w:rPr>
        <w:t>难以衡量的保险市场因素。</w:t>
      </w:r>
    </w:p>
    <w:p w14:paraId="590BFD62" w14:textId="0C276845" w:rsidR="00E96C65" w:rsidRPr="005F6ABB" w:rsidRDefault="00E96C65" w:rsidP="005F6ABB">
      <w:pPr>
        <w:spacing w:line="360" w:lineRule="auto"/>
        <w:ind w:firstLineChars="200" w:firstLine="480"/>
        <w:rPr>
          <w:sz w:val="24"/>
        </w:rPr>
      </w:pPr>
      <w:r>
        <w:rPr>
          <w:rFonts w:hint="eastAsia"/>
          <w:sz w:val="24"/>
        </w:rPr>
        <w:t>基于数据的可得性和投保意向具备的研究价值，本文认为</w:t>
      </w:r>
      <w:r w:rsidRPr="00E96C65">
        <w:rPr>
          <w:rFonts w:hint="eastAsia"/>
          <w:sz w:val="24"/>
        </w:rPr>
        <w:t>该指标</w:t>
      </w:r>
      <w:r w:rsidR="005374C7">
        <w:rPr>
          <w:rFonts w:hint="eastAsia"/>
          <w:sz w:val="24"/>
        </w:rPr>
        <w:t>可精准</w:t>
      </w:r>
      <w:r w:rsidRPr="00E96C65">
        <w:rPr>
          <w:rFonts w:hint="eastAsia"/>
          <w:sz w:val="24"/>
        </w:rPr>
        <w:t>反映公司对董</w:t>
      </w:r>
      <w:proofErr w:type="gramStart"/>
      <w:r w:rsidRPr="00E96C65">
        <w:rPr>
          <w:rFonts w:hint="eastAsia"/>
          <w:sz w:val="24"/>
        </w:rPr>
        <w:t>监高责任</w:t>
      </w:r>
      <w:proofErr w:type="gramEnd"/>
      <w:r w:rsidRPr="00E96C65">
        <w:rPr>
          <w:rFonts w:hint="eastAsia"/>
          <w:sz w:val="24"/>
        </w:rPr>
        <w:t>险的主观态度和偏好，同时也能规避保费或保额可能引发的内生性问题。为进一步降低可能的内生性影响，本文对解释变量采用滞后一</w:t>
      </w:r>
      <w:r w:rsidRPr="00E96C65">
        <w:rPr>
          <w:rFonts w:hint="eastAsia"/>
          <w:sz w:val="24"/>
        </w:rPr>
        <w:lastRenderedPageBreak/>
        <w:t>期设定，以确保组织资本的变动先于企业的投保意向决策。</w:t>
      </w:r>
    </w:p>
    <w:p w14:paraId="4E5C36D5" w14:textId="09E9B0D5" w:rsidR="0028193F" w:rsidRPr="00C74EB6" w:rsidRDefault="009654B8" w:rsidP="00C74EB6">
      <w:pPr>
        <w:pStyle w:val="3"/>
      </w:pPr>
      <w:bookmarkStart w:id="86" w:name="_Toc191420747"/>
      <w:bookmarkStart w:id="87" w:name="_Toc191574117"/>
      <w:bookmarkStart w:id="88" w:name="_Toc198286988"/>
      <w:r w:rsidRPr="00C74EB6">
        <w:rPr>
          <w:rFonts w:hint="eastAsia"/>
        </w:rPr>
        <w:t>控制变量设定</w:t>
      </w:r>
      <w:bookmarkEnd w:id="86"/>
      <w:bookmarkEnd w:id="87"/>
      <w:bookmarkEnd w:id="88"/>
    </w:p>
    <w:p w14:paraId="4887DEDA" w14:textId="5AB6F0D2" w:rsidR="009654B8" w:rsidRPr="00C74EB6" w:rsidRDefault="008C3744" w:rsidP="009654B8">
      <w:pPr>
        <w:spacing w:line="360" w:lineRule="auto"/>
        <w:ind w:firstLineChars="200" w:firstLine="480"/>
        <w:rPr>
          <w:sz w:val="24"/>
        </w:rPr>
      </w:pPr>
      <w:r w:rsidRPr="00C74EB6">
        <w:rPr>
          <w:rFonts w:hint="eastAsia"/>
          <w:sz w:val="24"/>
        </w:rPr>
        <w:t>参考</w:t>
      </w:r>
      <w:r w:rsidRPr="00C74EB6">
        <w:rPr>
          <w:rFonts w:hint="eastAsia"/>
          <w:sz w:val="24"/>
        </w:rPr>
        <w:t>Core</w:t>
      </w:r>
      <w:r w:rsidRPr="00C74EB6">
        <w:rPr>
          <w:rFonts w:hint="eastAsia"/>
          <w:sz w:val="24"/>
        </w:rPr>
        <w:t>等（</w:t>
      </w:r>
      <w:r w:rsidRPr="00C74EB6">
        <w:rPr>
          <w:rFonts w:hint="eastAsia"/>
          <w:sz w:val="24"/>
        </w:rPr>
        <w:t>1997</w:t>
      </w:r>
      <w:r w:rsidRPr="00C74EB6">
        <w:rPr>
          <w:rFonts w:hint="eastAsia"/>
          <w:sz w:val="24"/>
        </w:rPr>
        <w:t>）、</w:t>
      </w:r>
      <w:r w:rsidR="001019E8" w:rsidRPr="00C74EB6">
        <w:rPr>
          <w:rFonts w:hint="eastAsia"/>
          <w:sz w:val="24"/>
        </w:rPr>
        <w:t>Zou</w:t>
      </w:r>
      <w:r w:rsidR="001019E8" w:rsidRPr="00C74EB6">
        <w:rPr>
          <w:rFonts w:hint="eastAsia"/>
          <w:sz w:val="24"/>
        </w:rPr>
        <w:t>等（</w:t>
      </w:r>
      <w:r w:rsidR="001019E8" w:rsidRPr="00C74EB6">
        <w:rPr>
          <w:rFonts w:hint="eastAsia"/>
          <w:sz w:val="24"/>
        </w:rPr>
        <w:t>2008</w:t>
      </w:r>
      <w:r w:rsidR="001019E8" w:rsidRPr="00C74EB6">
        <w:rPr>
          <w:rFonts w:hint="eastAsia"/>
          <w:sz w:val="24"/>
        </w:rPr>
        <w:t>）、</w:t>
      </w:r>
      <w:r w:rsidRPr="00C74EB6">
        <w:rPr>
          <w:sz w:val="24"/>
        </w:rPr>
        <w:t>Boyer</w:t>
      </w:r>
      <w:r w:rsidRPr="00C74EB6">
        <w:rPr>
          <w:rFonts w:hint="eastAsia"/>
          <w:sz w:val="24"/>
        </w:rPr>
        <w:t>和</w:t>
      </w:r>
      <w:r w:rsidRPr="00C74EB6">
        <w:rPr>
          <w:sz w:val="24"/>
        </w:rPr>
        <w:t>Tennyson</w:t>
      </w:r>
      <w:r w:rsidRPr="00C74EB6">
        <w:rPr>
          <w:rFonts w:hint="eastAsia"/>
          <w:sz w:val="24"/>
        </w:rPr>
        <w:t>（</w:t>
      </w:r>
      <w:r w:rsidRPr="00C74EB6">
        <w:rPr>
          <w:sz w:val="24"/>
        </w:rPr>
        <w:t>2015</w:t>
      </w:r>
      <w:r w:rsidRPr="00C74EB6">
        <w:rPr>
          <w:rFonts w:hint="eastAsia"/>
          <w:sz w:val="24"/>
        </w:rPr>
        <w:t>）、</w:t>
      </w:r>
      <w:r w:rsidRPr="00C74EB6">
        <w:rPr>
          <w:rFonts w:hint="eastAsia"/>
          <w:sz w:val="24"/>
        </w:rPr>
        <w:t>Li</w:t>
      </w:r>
      <w:r w:rsidRPr="00C74EB6">
        <w:rPr>
          <w:rFonts w:hint="eastAsia"/>
          <w:sz w:val="24"/>
        </w:rPr>
        <w:t>等（</w:t>
      </w:r>
      <w:r w:rsidRPr="00C74EB6">
        <w:rPr>
          <w:rFonts w:hint="eastAsia"/>
          <w:sz w:val="24"/>
        </w:rPr>
        <w:t>2022</w:t>
      </w:r>
      <w:r w:rsidRPr="00C74EB6">
        <w:rPr>
          <w:rFonts w:hint="eastAsia"/>
          <w:sz w:val="24"/>
        </w:rPr>
        <w:t>）的变量设定和</w:t>
      </w:r>
      <w:r w:rsidR="00730846" w:rsidRPr="00C74EB6">
        <w:rPr>
          <w:rFonts w:hint="eastAsia"/>
          <w:sz w:val="24"/>
        </w:rPr>
        <w:t>选取依据</w:t>
      </w:r>
      <w:r w:rsidRPr="00C74EB6">
        <w:rPr>
          <w:rFonts w:hint="eastAsia"/>
          <w:sz w:val="24"/>
        </w:rPr>
        <w:t>，</w:t>
      </w:r>
      <w:r w:rsidR="009654B8" w:rsidRPr="00C74EB6">
        <w:rPr>
          <w:rFonts w:hint="eastAsia"/>
          <w:sz w:val="24"/>
        </w:rPr>
        <w:t>本文纳入</w:t>
      </w:r>
      <w:r w:rsidRPr="00C74EB6">
        <w:rPr>
          <w:rFonts w:hint="eastAsia"/>
          <w:sz w:val="24"/>
        </w:rPr>
        <w:t>显著</w:t>
      </w:r>
      <w:r w:rsidR="00086241" w:rsidRPr="00C74EB6">
        <w:rPr>
          <w:rFonts w:hint="eastAsia"/>
          <w:sz w:val="24"/>
        </w:rPr>
        <w:t>影响因变量的三类控制变量。</w:t>
      </w:r>
    </w:p>
    <w:p w14:paraId="65DBC617" w14:textId="119D2BD1" w:rsidR="0064513A" w:rsidRPr="00C74EB6" w:rsidRDefault="0064513A" w:rsidP="0064513A">
      <w:pPr>
        <w:spacing w:line="360" w:lineRule="auto"/>
        <w:ind w:firstLineChars="200" w:firstLine="480"/>
        <w:rPr>
          <w:sz w:val="24"/>
        </w:rPr>
      </w:pPr>
      <w:r w:rsidRPr="00C74EB6">
        <w:rPr>
          <w:rFonts w:hint="eastAsia"/>
          <w:sz w:val="24"/>
        </w:rPr>
        <w:t>第一类控制变量与诉讼风险直接相关，因为董</w:t>
      </w:r>
      <w:proofErr w:type="gramStart"/>
      <w:r w:rsidRPr="00C74EB6">
        <w:rPr>
          <w:rFonts w:hint="eastAsia"/>
          <w:sz w:val="24"/>
        </w:rPr>
        <w:t>监高责任</w:t>
      </w:r>
      <w:proofErr w:type="gramEnd"/>
      <w:r w:rsidRPr="00C74EB6">
        <w:rPr>
          <w:rFonts w:hint="eastAsia"/>
          <w:sz w:val="24"/>
        </w:rPr>
        <w:t>险的核心功能是规避履职过程中可能面临的诉讼风险：</w:t>
      </w:r>
      <w:r w:rsidRPr="00C74EB6">
        <w:rPr>
          <w:rFonts w:hint="eastAsia"/>
          <w:sz w:val="24"/>
        </w:rPr>
        <w:t>1</w:t>
      </w:r>
      <w:r w:rsidRPr="00C74EB6">
        <w:rPr>
          <w:rFonts w:hint="eastAsia"/>
          <w:sz w:val="24"/>
        </w:rPr>
        <w:t>）监管层面：股东数量（</w:t>
      </w:r>
      <w:proofErr w:type="spellStart"/>
      <w:r w:rsidRPr="00C74EB6">
        <w:rPr>
          <w:rFonts w:hint="eastAsia"/>
          <w:sz w:val="24"/>
        </w:rPr>
        <w:t>ShareNum</w:t>
      </w:r>
      <w:proofErr w:type="spellEnd"/>
      <w:r w:rsidRPr="00C74EB6">
        <w:rPr>
          <w:rFonts w:hint="eastAsia"/>
          <w:sz w:val="24"/>
        </w:rPr>
        <w:t>）越多、公司交叉上市（</w:t>
      </w:r>
      <w:r w:rsidRPr="00C74EB6">
        <w:rPr>
          <w:rFonts w:hint="eastAsia"/>
          <w:sz w:val="24"/>
        </w:rPr>
        <w:t>BH</w:t>
      </w:r>
      <w:r w:rsidRPr="00C74EB6">
        <w:rPr>
          <w:rFonts w:hint="eastAsia"/>
          <w:sz w:val="24"/>
        </w:rPr>
        <w:t>）、接受四大会计师事务所审计（</w:t>
      </w:r>
      <w:r w:rsidRPr="00C74EB6">
        <w:rPr>
          <w:rFonts w:hint="eastAsia"/>
          <w:sz w:val="24"/>
        </w:rPr>
        <w:t>Big4</w:t>
      </w:r>
      <w:r w:rsidRPr="00C74EB6">
        <w:rPr>
          <w:rFonts w:hint="eastAsia"/>
          <w:sz w:val="24"/>
        </w:rPr>
        <w:t>），股东诉求差异越大，合</w:t>
      </w:r>
      <w:proofErr w:type="gramStart"/>
      <w:r w:rsidRPr="00C74EB6">
        <w:rPr>
          <w:rFonts w:hint="eastAsia"/>
          <w:sz w:val="24"/>
        </w:rPr>
        <w:t>规</w:t>
      </w:r>
      <w:proofErr w:type="gramEnd"/>
      <w:r w:rsidRPr="00C74EB6">
        <w:rPr>
          <w:rFonts w:hint="eastAsia"/>
          <w:sz w:val="24"/>
        </w:rPr>
        <w:t>挑战越高，监督更严格，诉讼风险增加。违约次数（</w:t>
      </w:r>
      <w:r w:rsidRPr="00C74EB6">
        <w:rPr>
          <w:rFonts w:hint="eastAsia"/>
          <w:sz w:val="24"/>
        </w:rPr>
        <w:t>Penalty</w:t>
      </w:r>
      <w:r w:rsidRPr="00C74EB6">
        <w:rPr>
          <w:rFonts w:hint="eastAsia"/>
          <w:sz w:val="24"/>
        </w:rPr>
        <w:t>）越多，表明公司合</w:t>
      </w:r>
      <w:proofErr w:type="gramStart"/>
      <w:r w:rsidRPr="00C74EB6">
        <w:rPr>
          <w:rFonts w:hint="eastAsia"/>
          <w:sz w:val="24"/>
        </w:rPr>
        <w:t>规</w:t>
      </w:r>
      <w:proofErr w:type="gramEnd"/>
      <w:r w:rsidRPr="00C74EB6">
        <w:rPr>
          <w:rFonts w:hint="eastAsia"/>
          <w:sz w:val="24"/>
        </w:rPr>
        <w:t>风险较高，潜在诉讼风险也更大。</w:t>
      </w:r>
      <w:r w:rsidRPr="00C74EB6">
        <w:rPr>
          <w:rFonts w:hint="eastAsia"/>
          <w:sz w:val="24"/>
        </w:rPr>
        <w:t>2</w:t>
      </w:r>
      <w:r w:rsidRPr="00C74EB6">
        <w:rPr>
          <w:rFonts w:hint="eastAsia"/>
          <w:sz w:val="24"/>
        </w:rPr>
        <w:t>）投资者和债权人层面：，资产负债率（</w:t>
      </w:r>
      <w:r w:rsidRPr="00C74EB6">
        <w:rPr>
          <w:rFonts w:hint="eastAsia"/>
          <w:sz w:val="24"/>
        </w:rPr>
        <w:t>Lev</w:t>
      </w:r>
      <w:r w:rsidRPr="00C74EB6">
        <w:rPr>
          <w:rFonts w:hint="eastAsia"/>
          <w:sz w:val="24"/>
        </w:rPr>
        <w:t>）较高、财务灵活性（</w:t>
      </w:r>
      <w:r w:rsidRPr="00C74EB6">
        <w:rPr>
          <w:rFonts w:hint="eastAsia"/>
          <w:sz w:val="24"/>
        </w:rPr>
        <w:t>Cash</w:t>
      </w:r>
      <w:r w:rsidRPr="00C74EB6">
        <w:rPr>
          <w:rFonts w:hint="eastAsia"/>
          <w:sz w:val="24"/>
        </w:rPr>
        <w:t>）较低、固定资产占比（</w:t>
      </w:r>
      <w:r w:rsidRPr="00C74EB6">
        <w:rPr>
          <w:rFonts w:hint="eastAsia"/>
          <w:sz w:val="24"/>
        </w:rPr>
        <w:t>FTA</w:t>
      </w:r>
      <w:r w:rsidRPr="00C74EB6">
        <w:rPr>
          <w:rFonts w:hint="eastAsia"/>
          <w:sz w:val="24"/>
        </w:rPr>
        <w:t>）较低时，偿债压力增大，债权人诉讼风险上升；股价波动率（</w:t>
      </w:r>
      <w:r w:rsidRPr="00C74EB6">
        <w:rPr>
          <w:rFonts w:hint="eastAsia"/>
          <w:sz w:val="24"/>
        </w:rPr>
        <w:t>Volatility</w:t>
      </w:r>
      <w:r w:rsidRPr="00C74EB6">
        <w:rPr>
          <w:rFonts w:hint="eastAsia"/>
          <w:sz w:val="24"/>
        </w:rPr>
        <w:t>）越大、</w:t>
      </w:r>
      <w:r w:rsidRPr="00C74EB6">
        <w:rPr>
          <w:rFonts w:hint="eastAsia"/>
          <w:sz w:val="24"/>
        </w:rPr>
        <w:t>PB</w:t>
      </w:r>
      <w:r w:rsidRPr="00C74EB6">
        <w:rPr>
          <w:rFonts w:hint="eastAsia"/>
          <w:sz w:val="24"/>
        </w:rPr>
        <w:t>（</w:t>
      </w:r>
      <w:proofErr w:type="gramStart"/>
      <w:r w:rsidRPr="00C74EB6">
        <w:rPr>
          <w:rFonts w:hint="eastAsia"/>
          <w:sz w:val="24"/>
        </w:rPr>
        <w:t>市净率</w:t>
      </w:r>
      <w:proofErr w:type="gramEnd"/>
      <w:r w:rsidRPr="00C74EB6">
        <w:rPr>
          <w:rFonts w:hint="eastAsia"/>
          <w:sz w:val="24"/>
        </w:rPr>
        <w:t>）越低时，流通股东投资受损，公司更易面临诉讼挑战。此外，业务成长性（</w:t>
      </w:r>
      <w:proofErr w:type="spellStart"/>
      <w:r w:rsidRPr="00C74EB6">
        <w:rPr>
          <w:rFonts w:hint="eastAsia"/>
          <w:sz w:val="24"/>
        </w:rPr>
        <w:t>GrowthRev</w:t>
      </w:r>
      <w:proofErr w:type="spellEnd"/>
      <w:r w:rsidRPr="00C74EB6">
        <w:rPr>
          <w:rFonts w:hint="eastAsia"/>
          <w:sz w:val="24"/>
        </w:rPr>
        <w:t>）越高，市场不确定性增加，诉讼风险上升，而盈利能力（</w:t>
      </w:r>
      <w:r w:rsidRPr="00C74EB6">
        <w:rPr>
          <w:rFonts w:hint="eastAsia"/>
          <w:sz w:val="24"/>
        </w:rPr>
        <w:t>ROA</w:t>
      </w:r>
      <w:r w:rsidRPr="00C74EB6">
        <w:rPr>
          <w:rFonts w:hint="eastAsia"/>
          <w:sz w:val="24"/>
        </w:rPr>
        <w:t>）越高，则诉讼可能性降低。</w:t>
      </w:r>
    </w:p>
    <w:p w14:paraId="788515BD" w14:textId="359C50FF" w:rsidR="009654B8" w:rsidRPr="00C74EB6" w:rsidRDefault="009654B8" w:rsidP="009654B8">
      <w:pPr>
        <w:spacing w:line="360" w:lineRule="auto"/>
        <w:ind w:firstLineChars="200" w:firstLine="480"/>
        <w:rPr>
          <w:sz w:val="24"/>
        </w:rPr>
      </w:pPr>
      <w:r w:rsidRPr="00C74EB6">
        <w:rPr>
          <w:rFonts w:hint="eastAsia"/>
          <w:sz w:val="24"/>
        </w:rPr>
        <w:t>第二类控制变量</w:t>
      </w:r>
      <w:r w:rsidR="0064513A" w:rsidRPr="00C74EB6">
        <w:rPr>
          <w:rFonts w:hint="eastAsia"/>
          <w:sz w:val="24"/>
        </w:rPr>
        <w:t>涉及</w:t>
      </w:r>
      <w:r w:rsidRPr="00C74EB6">
        <w:rPr>
          <w:rFonts w:hint="eastAsia"/>
          <w:sz w:val="24"/>
        </w:rPr>
        <w:t>公司治理结构。独立董事</w:t>
      </w:r>
      <w:r w:rsidR="0064513A" w:rsidRPr="00C74EB6">
        <w:rPr>
          <w:rFonts w:hint="eastAsia"/>
          <w:sz w:val="24"/>
        </w:rPr>
        <w:t>（</w:t>
      </w:r>
      <w:proofErr w:type="spellStart"/>
      <w:r w:rsidR="0064513A" w:rsidRPr="00C74EB6">
        <w:rPr>
          <w:rFonts w:hint="eastAsia"/>
          <w:sz w:val="24"/>
        </w:rPr>
        <w:t>IndepR</w:t>
      </w:r>
      <w:proofErr w:type="spellEnd"/>
      <w:r w:rsidR="0064513A" w:rsidRPr="00C74EB6">
        <w:rPr>
          <w:rFonts w:hint="eastAsia"/>
          <w:sz w:val="24"/>
        </w:rPr>
        <w:t>）</w:t>
      </w:r>
      <w:r w:rsidRPr="00C74EB6">
        <w:rPr>
          <w:rFonts w:hint="eastAsia"/>
          <w:sz w:val="24"/>
        </w:rPr>
        <w:t>占比越高，因其风险厌恶，更</w:t>
      </w:r>
      <w:r w:rsidR="0064513A" w:rsidRPr="00C74EB6">
        <w:rPr>
          <w:rFonts w:hint="eastAsia"/>
          <w:sz w:val="24"/>
        </w:rPr>
        <w:t>支持</w:t>
      </w:r>
      <w:r w:rsidRPr="00C74EB6">
        <w:rPr>
          <w:rFonts w:hint="eastAsia"/>
          <w:sz w:val="24"/>
        </w:rPr>
        <w:t>公司购买董</w:t>
      </w:r>
      <w:proofErr w:type="gramStart"/>
      <w:r w:rsidRPr="00C74EB6">
        <w:rPr>
          <w:rFonts w:hint="eastAsia"/>
          <w:sz w:val="24"/>
        </w:rPr>
        <w:t>监高责任</w:t>
      </w:r>
      <w:proofErr w:type="gramEnd"/>
      <w:r w:rsidRPr="00C74EB6">
        <w:rPr>
          <w:rFonts w:hint="eastAsia"/>
          <w:sz w:val="24"/>
        </w:rPr>
        <w:t>险</w:t>
      </w:r>
      <w:r w:rsidR="00BB2EB3" w:rsidRPr="00C74EB6">
        <w:rPr>
          <w:rFonts w:hint="eastAsia"/>
          <w:sz w:val="24"/>
        </w:rPr>
        <w:t>，这也是公司吸引独立董事的工具之一</w:t>
      </w:r>
      <w:r w:rsidRPr="00C74EB6">
        <w:rPr>
          <w:rFonts w:hint="eastAsia"/>
          <w:sz w:val="24"/>
        </w:rPr>
        <w:t>。董事会规模（</w:t>
      </w:r>
      <w:proofErr w:type="spellStart"/>
      <w:r w:rsidRPr="00C74EB6">
        <w:rPr>
          <w:rFonts w:hint="eastAsia"/>
          <w:sz w:val="24"/>
        </w:rPr>
        <w:t>DSize</w:t>
      </w:r>
      <w:proofErr w:type="spellEnd"/>
      <w:r w:rsidRPr="00C74EB6">
        <w:rPr>
          <w:rFonts w:hint="eastAsia"/>
          <w:sz w:val="24"/>
        </w:rPr>
        <w:t>）越大，</w:t>
      </w:r>
      <w:r w:rsidR="0064513A" w:rsidRPr="00C74EB6">
        <w:rPr>
          <w:rFonts w:hint="eastAsia"/>
          <w:sz w:val="24"/>
        </w:rPr>
        <w:t>投资更审慎，</w:t>
      </w:r>
      <w:r w:rsidRPr="00C74EB6">
        <w:rPr>
          <w:rFonts w:hint="eastAsia"/>
          <w:sz w:val="24"/>
        </w:rPr>
        <w:t>也会增强对保险的需求。</w:t>
      </w:r>
    </w:p>
    <w:p w14:paraId="249FDC7D" w14:textId="2F62E576" w:rsidR="009654B8" w:rsidRPr="00C74EB6" w:rsidRDefault="009654B8" w:rsidP="009654B8">
      <w:pPr>
        <w:spacing w:line="360" w:lineRule="auto"/>
        <w:ind w:firstLineChars="200" w:firstLine="480"/>
        <w:rPr>
          <w:sz w:val="24"/>
        </w:rPr>
      </w:pPr>
      <w:proofErr w:type="gramStart"/>
      <w:r w:rsidRPr="00C74EB6">
        <w:rPr>
          <w:rFonts w:hint="eastAsia"/>
          <w:sz w:val="24"/>
        </w:rPr>
        <w:t>董监高持股</w:t>
      </w:r>
      <w:proofErr w:type="gramEnd"/>
      <w:r w:rsidRPr="00C74EB6">
        <w:rPr>
          <w:rFonts w:hint="eastAsia"/>
          <w:sz w:val="24"/>
        </w:rPr>
        <w:t>比例（</w:t>
      </w:r>
      <w:r w:rsidRPr="00C74EB6">
        <w:rPr>
          <w:rFonts w:hint="eastAsia"/>
          <w:sz w:val="24"/>
        </w:rPr>
        <w:t>DOSR</w:t>
      </w:r>
      <w:r w:rsidRPr="00C74EB6">
        <w:rPr>
          <w:rFonts w:hint="eastAsia"/>
          <w:sz w:val="24"/>
        </w:rPr>
        <w:t>）较高时，</w:t>
      </w:r>
      <w:r w:rsidR="0064513A" w:rsidRPr="00C74EB6">
        <w:rPr>
          <w:rFonts w:hint="eastAsia"/>
          <w:sz w:val="24"/>
        </w:rPr>
        <w:t>股权激励可能部分替代保险功能，降低投保意愿。</w:t>
      </w:r>
      <w:r w:rsidRPr="00C74EB6">
        <w:rPr>
          <w:rFonts w:hint="eastAsia"/>
          <w:sz w:val="24"/>
        </w:rPr>
        <w:t>两职合一（</w:t>
      </w:r>
      <w:r w:rsidRPr="00C74EB6">
        <w:rPr>
          <w:rFonts w:hint="eastAsia"/>
          <w:sz w:val="24"/>
        </w:rPr>
        <w:t>Duality</w:t>
      </w:r>
      <w:r w:rsidRPr="00C74EB6">
        <w:rPr>
          <w:rFonts w:hint="eastAsia"/>
          <w:sz w:val="24"/>
        </w:rPr>
        <w:t>）状态时，</w:t>
      </w:r>
      <w:r w:rsidR="0064513A" w:rsidRPr="00C74EB6">
        <w:rPr>
          <w:rFonts w:hint="eastAsia"/>
          <w:sz w:val="24"/>
        </w:rPr>
        <w:t>强化管理层权力，增加法律责任和舆论压力，通常提升保险需求。然而，在我国实践中，两职合一也可能因</w:t>
      </w:r>
      <w:r w:rsidR="00FB770C">
        <w:rPr>
          <w:rFonts w:hint="eastAsia"/>
          <w:sz w:val="24"/>
        </w:rPr>
        <w:t>提升管理者的积极性和投资效率</w:t>
      </w:r>
      <w:r w:rsidR="0064513A" w:rsidRPr="00C74EB6">
        <w:rPr>
          <w:rFonts w:hint="eastAsia"/>
          <w:sz w:val="24"/>
        </w:rPr>
        <w:t>而降低风险，从而抑制保险需求。</w:t>
      </w:r>
    </w:p>
    <w:p w14:paraId="617B32E4" w14:textId="61AC0CA3" w:rsidR="0028193F" w:rsidRPr="00C74EB6" w:rsidRDefault="009654B8" w:rsidP="009654B8">
      <w:pPr>
        <w:spacing w:line="360" w:lineRule="auto"/>
        <w:ind w:firstLineChars="200" w:firstLine="480"/>
        <w:rPr>
          <w:sz w:val="24"/>
        </w:rPr>
      </w:pPr>
      <w:r w:rsidRPr="00C74EB6">
        <w:rPr>
          <w:rFonts w:hint="eastAsia"/>
          <w:sz w:val="24"/>
        </w:rPr>
        <w:t>第三类控制变量与公司特征相关。</w:t>
      </w:r>
      <w:r w:rsidR="0064513A" w:rsidRPr="00C74EB6">
        <w:rPr>
          <w:rFonts w:hint="eastAsia"/>
          <w:sz w:val="24"/>
        </w:rPr>
        <w:t>公司规模（</w:t>
      </w:r>
      <w:r w:rsidR="0064513A" w:rsidRPr="00C74EB6">
        <w:rPr>
          <w:rFonts w:hint="eastAsia"/>
          <w:sz w:val="24"/>
        </w:rPr>
        <w:t>Size</w:t>
      </w:r>
      <w:r w:rsidR="0064513A" w:rsidRPr="00C74EB6">
        <w:rPr>
          <w:rFonts w:hint="eastAsia"/>
          <w:sz w:val="24"/>
        </w:rPr>
        <w:t>）越大，业务更复杂，诉讼风险可能上升。产权性质（</w:t>
      </w:r>
      <w:r w:rsidR="0064513A" w:rsidRPr="00C74EB6">
        <w:rPr>
          <w:rFonts w:hint="eastAsia"/>
          <w:sz w:val="24"/>
        </w:rPr>
        <w:t>SOE</w:t>
      </w:r>
      <w:r w:rsidR="0064513A" w:rsidRPr="00C74EB6">
        <w:rPr>
          <w:rFonts w:hint="eastAsia"/>
          <w:sz w:val="24"/>
        </w:rPr>
        <w:t>）</w:t>
      </w:r>
      <w:r w:rsidR="003606FE" w:rsidRPr="00C74EB6">
        <w:rPr>
          <w:rFonts w:hint="eastAsia"/>
          <w:sz w:val="24"/>
        </w:rPr>
        <w:t>对董</w:t>
      </w:r>
      <w:proofErr w:type="gramStart"/>
      <w:r w:rsidR="003606FE" w:rsidRPr="00C74EB6">
        <w:rPr>
          <w:rFonts w:hint="eastAsia"/>
          <w:sz w:val="24"/>
        </w:rPr>
        <w:t>监高责任</w:t>
      </w:r>
      <w:proofErr w:type="gramEnd"/>
      <w:r w:rsidR="003606FE" w:rsidRPr="00C74EB6">
        <w:rPr>
          <w:rFonts w:hint="eastAsia"/>
          <w:sz w:val="24"/>
        </w:rPr>
        <w:t>险的需求具有复杂的影响。</w:t>
      </w:r>
      <w:r w:rsidR="0064513A" w:rsidRPr="00C74EB6">
        <w:rPr>
          <w:rFonts w:hint="eastAsia"/>
          <w:sz w:val="24"/>
        </w:rPr>
        <w:t>国企可能</w:t>
      </w:r>
      <w:r w:rsidR="003606FE" w:rsidRPr="00C74EB6">
        <w:rPr>
          <w:rFonts w:hint="eastAsia"/>
          <w:sz w:val="24"/>
        </w:rPr>
        <w:t>由于</w:t>
      </w:r>
      <w:r w:rsidR="00344F38" w:rsidRPr="00C74EB6">
        <w:rPr>
          <w:rFonts w:hint="eastAsia"/>
          <w:sz w:val="24"/>
        </w:rPr>
        <w:t>其政治角色而顺应国家政策、拥抱董</w:t>
      </w:r>
      <w:proofErr w:type="gramStart"/>
      <w:r w:rsidR="00344F38" w:rsidRPr="00C74EB6">
        <w:rPr>
          <w:rFonts w:hint="eastAsia"/>
          <w:sz w:val="24"/>
        </w:rPr>
        <w:t>监高责任</w:t>
      </w:r>
      <w:proofErr w:type="gramEnd"/>
      <w:r w:rsidR="00344F38" w:rsidRPr="00C74EB6">
        <w:rPr>
          <w:rFonts w:hint="eastAsia"/>
          <w:sz w:val="24"/>
        </w:rPr>
        <w:t>险，起到示范作用。不过，国有身份往往意味着</w:t>
      </w:r>
      <w:r w:rsidR="00FB770C">
        <w:rPr>
          <w:rFonts w:hint="eastAsia"/>
          <w:sz w:val="24"/>
        </w:rPr>
        <w:t>有</w:t>
      </w:r>
      <w:r w:rsidR="00344F38" w:rsidRPr="00C74EB6">
        <w:rPr>
          <w:rFonts w:hint="eastAsia"/>
          <w:sz w:val="24"/>
        </w:rPr>
        <w:t>更强的法律资源支持，起诉或败诉风险可能更低，可能抑制保险需求。相对而言，非国有企业的决策不太受行政干预，但其面临较为激烈的市场竞争和行业增长不确定性，这种压力促使其配置</w:t>
      </w:r>
      <w:r w:rsidR="00FB770C">
        <w:rPr>
          <w:rFonts w:hint="eastAsia"/>
          <w:sz w:val="24"/>
        </w:rPr>
        <w:t>董</w:t>
      </w:r>
      <w:proofErr w:type="gramStart"/>
      <w:r w:rsidR="00FB770C">
        <w:rPr>
          <w:rFonts w:hint="eastAsia"/>
          <w:sz w:val="24"/>
        </w:rPr>
        <w:t>监高</w:t>
      </w:r>
      <w:r w:rsidR="00344F38" w:rsidRPr="00C74EB6">
        <w:rPr>
          <w:rFonts w:hint="eastAsia"/>
          <w:sz w:val="24"/>
        </w:rPr>
        <w:t>责任</w:t>
      </w:r>
      <w:proofErr w:type="gramEnd"/>
      <w:r w:rsidR="00344F38" w:rsidRPr="00C74EB6">
        <w:rPr>
          <w:rFonts w:hint="eastAsia"/>
          <w:sz w:val="24"/>
        </w:rPr>
        <w:t>险。另外，非国有企业的委托代理问题，尤其是大股东与中小股东的利益冲突，可能与国有企业不相上下。当然，非国有企业可能也具备一定的政治关联，使得</w:t>
      </w:r>
      <w:r w:rsidR="00344F38" w:rsidRPr="00C74EB6">
        <w:rPr>
          <w:rFonts w:hint="eastAsia"/>
          <w:sz w:val="24"/>
        </w:rPr>
        <w:lastRenderedPageBreak/>
        <w:t>其配置保险上与国企有所重合。产权性质对保险配置的影响较为复杂，仍需要进一步实证。</w:t>
      </w:r>
    </w:p>
    <w:p w14:paraId="39565853" w14:textId="77777777" w:rsidR="009654B8" w:rsidRPr="00086241" w:rsidRDefault="009654B8" w:rsidP="0028193F">
      <w:pPr>
        <w:spacing w:line="360" w:lineRule="auto"/>
        <w:ind w:firstLine="480"/>
        <w:rPr>
          <w:sz w:val="24"/>
        </w:rPr>
      </w:pPr>
    </w:p>
    <w:p w14:paraId="2B7567DF" w14:textId="6F18573A" w:rsidR="00A56183" w:rsidRPr="00734874" w:rsidRDefault="00B50D68" w:rsidP="00B50D68">
      <w:pPr>
        <w:pStyle w:val="af5"/>
        <w:ind w:firstLine="482"/>
        <w:rPr>
          <w:rFonts w:ascii="Times New Roman" w:hAnsi="Times New Roman"/>
        </w:rPr>
      </w:pPr>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1</w:t>
      </w:r>
      <w:r w:rsidRPr="00734874">
        <w:rPr>
          <w:rFonts w:ascii="Times New Roman" w:hAnsi="Times New Roman" w:hint="eastAsia"/>
        </w:rPr>
        <w:fldChar w:fldCharType="end"/>
      </w:r>
      <w:r w:rsidR="006F0E00">
        <w:rPr>
          <w:rFonts w:ascii="Times New Roman" w:hAnsi="Times New Roman" w:hint="eastAsia"/>
        </w:rPr>
        <w:t>：</w:t>
      </w:r>
      <w:r w:rsidR="00A56183" w:rsidRPr="00734874">
        <w:rPr>
          <w:rFonts w:ascii="Times New Roman" w:hAnsi="Times New Roman" w:hint="eastAsia"/>
        </w:rPr>
        <w:t>变量定义及说明</w:t>
      </w:r>
    </w:p>
    <w:tbl>
      <w:tblPr>
        <w:tblStyle w:val="afc"/>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1195"/>
        <w:gridCol w:w="1818"/>
        <w:gridCol w:w="1196"/>
        <w:gridCol w:w="4097"/>
      </w:tblGrid>
      <w:tr w:rsidR="0043214C" w:rsidRPr="00FD0D8E" w14:paraId="4FA92B80" w14:textId="77777777" w:rsidTr="00086241">
        <w:trPr>
          <w:trHeight w:val="295"/>
          <w:jc w:val="center"/>
        </w:trPr>
        <w:tc>
          <w:tcPr>
            <w:tcW w:w="719" w:type="pct"/>
            <w:vAlign w:val="center"/>
          </w:tcPr>
          <w:p w14:paraId="1847A716" w14:textId="5E944FE8" w:rsidR="0043214C" w:rsidRPr="00FD0D8E" w:rsidRDefault="0043214C" w:rsidP="00C74EB6">
            <w:pPr>
              <w:pStyle w:val="a9"/>
              <w:spacing w:line="276" w:lineRule="auto"/>
              <w:ind w:left="0"/>
              <w:rPr>
                <w:szCs w:val="21"/>
              </w:rPr>
            </w:pPr>
            <w:r w:rsidRPr="00FD0D8E">
              <w:rPr>
                <w:rFonts w:hint="eastAsia"/>
                <w:szCs w:val="21"/>
              </w:rPr>
              <w:t>变量类别</w:t>
            </w:r>
          </w:p>
        </w:tc>
        <w:tc>
          <w:tcPr>
            <w:tcW w:w="1094" w:type="pct"/>
            <w:vAlign w:val="center"/>
          </w:tcPr>
          <w:p w14:paraId="0FE1AEBE" w14:textId="409F8609" w:rsidR="0043214C" w:rsidRPr="00FD0D8E" w:rsidRDefault="0043214C" w:rsidP="00C74EB6">
            <w:pPr>
              <w:pStyle w:val="a9"/>
              <w:spacing w:line="276" w:lineRule="auto"/>
              <w:ind w:left="0"/>
              <w:rPr>
                <w:szCs w:val="21"/>
              </w:rPr>
            </w:pPr>
            <w:r w:rsidRPr="00FD0D8E">
              <w:rPr>
                <w:rFonts w:hint="eastAsia"/>
                <w:szCs w:val="21"/>
              </w:rPr>
              <w:t>变量名称</w:t>
            </w:r>
          </w:p>
        </w:tc>
        <w:tc>
          <w:tcPr>
            <w:tcW w:w="720" w:type="pct"/>
            <w:vAlign w:val="center"/>
          </w:tcPr>
          <w:p w14:paraId="5FF967E4" w14:textId="4C9DB2DB" w:rsidR="0043214C" w:rsidRPr="00FD0D8E" w:rsidRDefault="0043214C" w:rsidP="00C74EB6">
            <w:pPr>
              <w:pStyle w:val="a9"/>
              <w:spacing w:line="276" w:lineRule="auto"/>
              <w:ind w:left="0"/>
              <w:rPr>
                <w:szCs w:val="21"/>
              </w:rPr>
            </w:pPr>
            <w:r w:rsidRPr="00FD0D8E">
              <w:rPr>
                <w:rFonts w:hint="eastAsia"/>
                <w:szCs w:val="21"/>
              </w:rPr>
              <w:t>变量符号</w:t>
            </w:r>
          </w:p>
        </w:tc>
        <w:tc>
          <w:tcPr>
            <w:tcW w:w="2466" w:type="pct"/>
            <w:vAlign w:val="center"/>
          </w:tcPr>
          <w:p w14:paraId="7E1390DB" w14:textId="12F7271A" w:rsidR="0043214C" w:rsidRPr="00FD0D8E" w:rsidRDefault="0043214C" w:rsidP="00C74EB6">
            <w:pPr>
              <w:pStyle w:val="a9"/>
              <w:spacing w:line="276" w:lineRule="auto"/>
              <w:ind w:left="0"/>
              <w:rPr>
                <w:szCs w:val="21"/>
              </w:rPr>
            </w:pPr>
            <w:r w:rsidRPr="00FD0D8E">
              <w:rPr>
                <w:rFonts w:hint="eastAsia"/>
                <w:szCs w:val="21"/>
              </w:rPr>
              <w:t>变量计算说明</w:t>
            </w:r>
          </w:p>
        </w:tc>
      </w:tr>
      <w:tr w:rsidR="0043214C" w:rsidRPr="00FD0D8E" w14:paraId="11D43BBE" w14:textId="77777777" w:rsidTr="00086241">
        <w:trPr>
          <w:jc w:val="center"/>
        </w:trPr>
        <w:tc>
          <w:tcPr>
            <w:tcW w:w="719" w:type="pct"/>
            <w:vAlign w:val="center"/>
          </w:tcPr>
          <w:p w14:paraId="27F6B6C7" w14:textId="5F8D765D" w:rsidR="0043214C" w:rsidRPr="00FD0D8E" w:rsidRDefault="0043214C" w:rsidP="00C74EB6">
            <w:pPr>
              <w:pStyle w:val="a9"/>
              <w:spacing w:line="276" w:lineRule="auto"/>
              <w:ind w:left="0"/>
              <w:rPr>
                <w:szCs w:val="21"/>
              </w:rPr>
            </w:pPr>
            <w:r w:rsidRPr="00FD0D8E">
              <w:rPr>
                <w:rFonts w:hint="eastAsia"/>
                <w:szCs w:val="21"/>
              </w:rPr>
              <w:t>被解释变量</w:t>
            </w:r>
          </w:p>
        </w:tc>
        <w:tc>
          <w:tcPr>
            <w:tcW w:w="1094" w:type="pct"/>
            <w:vAlign w:val="center"/>
          </w:tcPr>
          <w:p w14:paraId="3ECEABA3" w14:textId="1242FD76" w:rsidR="0043214C" w:rsidRPr="00FD0D8E" w:rsidRDefault="00A37415" w:rsidP="00C74EB6">
            <w:pPr>
              <w:pStyle w:val="a9"/>
              <w:spacing w:line="276" w:lineRule="auto"/>
              <w:ind w:left="0"/>
              <w:rPr>
                <w:szCs w:val="21"/>
              </w:rPr>
            </w:pPr>
            <w:r w:rsidRPr="00FD0D8E">
              <w:rPr>
                <w:rFonts w:hint="eastAsia"/>
                <w:szCs w:val="21"/>
              </w:rPr>
              <w:t>董</w:t>
            </w:r>
            <w:proofErr w:type="gramStart"/>
            <w:r w:rsidRPr="00FD0D8E">
              <w:rPr>
                <w:rFonts w:hint="eastAsia"/>
                <w:szCs w:val="21"/>
              </w:rPr>
              <w:t>监高责任</w:t>
            </w:r>
            <w:proofErr w:type="gramEnd"/>
            <w:r w:rsidRPr="00FD0D8E">
              <w:rPr>
                <w:rFonts w:hint="eastAsia"/>
                <w:szCs w:val="21"/>
              </w:rPr>
              <w:t>险的</w:t>
            </w:r>
            <w:r w:rsidR="00D473F8" w:rsidRPr="00FD0D8E">
              <w:rPr>
                <w:rFonts w:hint="eastAsia"/>
                <w:szCs w:val="21"/>
              </w:rPr>
              <w:t>投保意向</w:t>
            </w:r>
          </w:p>
        </w:tc>
        <w:tc>
          <w:tcPr>
            <w:tcW w:w="720" w:type="pct"/>
            <w:vAlign w:val="center"/>
          </w:tcPr>
          <w:p w14:paraId="199B60A9" w14:textId="222DD44D" w:rsidR="0043214C" w:rsidRPr="00FD0D8E" w:rsidRDefault="0043214C" w:rsidP="00C74EB6">
            <w:pPr>
              <w:pStyle w:val="a9"/>
              <w:spacing w:line="276" w:lineRule="auto"/>
              <w:ind w:left="0"/>
              <w:rPr>
                <w:szCs w:val="21"/>
              </w:rPr>
            </w:pPr>
            <w:r w:rsidRPr="00FD0D8E">
              <w:rPr>
                <w:rFonts w:hint="eastAsia"/>
                <w:szCs w:val="21"/>
              </w:rPr>
              <w:t>DO</w:t>
            </w:r>
          </w:p>
        </w:tc>
        <w:tc>
          <w:tcPr>
            <w:tcW w:w="2466" w:type="pct"/>
            <w:vAlign w:val="center"/>
          </w:tcPr>
          <w:p w14:paraId="78D80211" w14:textId="392C3347" w:rsidR="0043214C" w:rsidRPr="00FD0D8E" w:rsidRDefault="0043214C" w:rsidP="00C74EB6">
            <w:pPr>
              <w:pStyle w:val="a9"/>
              <w:spacing w:line="276" w:lineRule="auto"/>
              <w:ind w:left="0"/>
              <w:rPr>
                <w:szCs w:val="21"/>
              </w:rPr>
            </w:pPr>
            <w:r w:rsidRPr="00FD0D8E">
              <w:rPr>
                <w:rFonts w:hint="eastAsia"/>
                <w:szCs w:val="21"/>
              </w:rPr>
              <w:t>若</w:t>
            </w:r>
            <w:r w:rsidR="00D473F8" w:rsidRPr="00FD0D8E">
              <w:rPr>
                <w:rFonts w:hint="eastAsia"/>
                <w:szCs w:val="21"/>
              </w:rPr>
              <w:t>公司发布拟购买董</w:t>
            </w:r>
            <w:proofErr w:type="gramStart"/>
            <w:r w:rsidR="00D473F8" w:rsidRPr="00FD0D8E">
              <w:rPr>
                <w:rFonts w:hint="eastAsia"/>
                <w:szCs w:val="21"/>
              </w:rPr>
              <w:t>监高责任</w:t>
            </w:r>
            <w:proofErr w:type="gramEnd"/>
            <w:r w:rsidR="00D473F8" w:rsidRPr="00FD0D8E">
              <w:rPr>
                <w:rFonts w:hint="eastAsia"/>
                <w:szCs w:val="21"/>
              </w:rPr>
              <w:t>险公告</w:t>
            </w:r>
            <w:r w:rsidRPr="00FD0D8E">
              <w:rPr>
                <w:rFonts w:hint="eastAsia"/>
                <w:szCs w:val="21"/>
              </w:rPr>
              <w:t>，则取值为</w:t>
            </w:r>
            <w:r w:rsidRPr="00FD0D8E">
              <w:rPr>
                <w:rFonts w:hint="eastAsia"/>
                <w:szCs w:val="21"/>
              </w:rPr>
              <w:t>1</w:t>
            </w:r>
            <w:r w:rsidRPr="00FD0D8E">
              <w:rPr>
                <w:rFonts w:hint="eastAsia"/>
                <w:szCs w:val="21"/>
              </w:rPr>
              <w:t>，否则为</w:t>
            </w:r>
            <w:r w:rsidRPr="00FD0D8E">
              <w:rPr>
                <w:rFonts w:hint="eastAsia"/>
                <w:szCs w:val="21"/>
              </w:rPr>
              <w:t>0</w:t>
            </w:r>
          </w:p>
        </w:tc>
      </w:tr>
      <w:tr w:rsidR="0043214C" w:rsidRPr="00FD0D8E" w14:paraId="17661376" w14:textId="77777777" w:rsidTr="00086241">
        <w:trPr>
          <w:jc w:val="center"/>
        </w:trPr>
        <w:tc>
          <w:tcPr>
            <w:tcW w:w="719" w:type="pct"/>
            <w:vAlign w:val="center"/>
          </w:tcPr>
          <w:p w14:paraId="16049B5A" w14:textId="1D2C09E7" w:rsidR="0043214C" w:rsidRPr="00FD0D8E" w:rsidRDefault="0043214C" w:rsidP="00C74EB6">
            <w:pPr>
              <w:pStyle w:val="a9"/>
              <w:spacing w:line="276" w:lineRule="auto"/>
              <w:ind w:left="0"/>
              <w:rPr>
                <w:szCs w:val="21"/>
              </w:rPr>
            </w:pPr>
            <w:r w:rsidRPr="00FD0D8E">
              <w:rPr>
                <w:rFonts w:hint="eastAsia"/>
                <w:szCs w:val="21"/>
              </w:rPr>
              <w:t>核心解释变量</w:t>
            </w:r>
          </w:p>
        </w:tc>
        <w:tc>
          <w:tcPr>
            <w:tcW w:w="1094" w:type="pct"/>
            <w:vAlign w:val="center"/>
          </w:tcPr>
          <w:p w14:paraId="49C88F6E" w14:textId="538C4E11" w:rsidR="0043214C" w:rsidRPr="00FD0D8E" w:rsidRDefault="0043214C" w:rsidP="00C74EB6">
            <w:pPr>
              <w:pStyle w:val="a9"/>
              <w:spacing w:line="276" w:lineRule="auto"/>
              <w:ind w:left="0"/>
              <w:rPr>
                <w:szCs w:val="21"/>
              </w:rPr>
            </w:pPr>
            <w:r w:rsidRPr="00FD0D8E">
              <w:rPr>
                <w:rFonts w:hint="eastAsia"/>
                <w:szCs w:val="21"/>
              </w:rPr>
              <w:t>组织资本</w:t>
            </w:r>
          </w:p>
        </w:tc>
        <w:tc>
          <w:tcPr>
            <w:tcW w:w="720" w:type="pct"/>
            <w:vAlign w:val="center"/>
          </w:tcPr>
          <w:p w14:paraId="2E335098" w14:textId="7CE3E181" w:rsidR="0043214C" w:rsidRPr="00FD0D8E" w:rsidRDefault="00D9560C" w:rsidP="00C74EB6">
            <w:pPr>
              <w:pStyle w:val="a9"/>
              <w:spacing w:line="276" w:lineRule="auto"/>
              <w:ind w:left="0"/>
              <w:rPr>
                <w:szCs w:val="21"/>
              </w:rPr>
            </w:pPr>
            <w:r w:rsidRPr="00FD0D8E">
              <w:rPr>
                <w:rFonts w:hint="eastAsia"/>
                <w:szCs w:val="21"/>
              </w:rPr>
              <w:t>OC</w:t>
            </w:r>
          </w:p>
        </w:tc>
        <w:tc>
          <w:tcPr>
            <w:tcW w:w="2466" w:type="pct"/>
            <w:vAlign w:val="center"/>
          </w:tcPr>
          <w:p w14:paraId="01A7A4B3" w14:textId="74F4C342" w:rsidR="0043214C" w:rsidRPr="00FD0D8E" w:rsidRDefault="0043214C" w:rsidP="00C74EB6">
            <w:pPr>
              <w:pStyle w:val="a9"/>
              <w:spacing w:line="276" w:lineRule="auto"/>
              <w:ind w:left="0"/>
              <w:rPr>
                <w:szCs w:val="21"/>
              </w:rPr>
            </w:pPr>
            <w:r w:rsidRPr="00FD0D8E">
              <w:rPr>
                <w:rFonts w:hint="eastAsia"/>
                <w:szCs w:val="21"/>
              </w:rPr>
              <w:t>基于永续盘存法计算</w:t>
            </w:r>
          </w:p>
        </w:tc>
      </w:tr>
      <w:tr w:rsidR="0043214C" w:rsidRPr="00FD0D8E" w14:paraId="22DFF54C" w14:textId="77777777" w:rsidTr="00086241">
        <w:trPr>
          <w:jc w:val="center"/>
        </w:trPr>
        <w:tc>
          <w:tcPr>
            <w:tcW w:w="719" w:type="pct"/>
            <w:vMerge w:val="restart"/>
            <w:vAlign w:val="center"/>
          </w:tcPr>
          <w:p w14:paraId="420564B1" w14:textId="39F05699" w:rsidR="0043214C" w:rsidRPr="00FD0D8E" w:rsidRDefault="0043214C" w:rsidP="00C74EB6">
            <w:pPr>
              <w:pStyle w:val="a9"/>
              <w:spacing w:line="276" w:lineRule="auto"/>
              <w:ind w:left="0"/>
              <w:rPr>
                <w:szCs w:val="21"/>
              </w:rPr>
            </w:pPr>
            <w:r w:rsidRPr="00FD0D8E">
              <w:rPr>
                <w:rFonts w:hint="eastAsia"/>
                <w:szCs w:val="21"/>
              </w:rPr>
              <w:t>控制变量</w:t>
            </w:r>
          </w:p>
        </w:tc>
        <w:tc>
          <w:tcPr>
            <w:tcW w:w="1094" w:type="pct"/>
            <w:vAlign w:val="center"/>
          </w:tcPr>
          <w:p w14:paraId="63F4C2F0" w14:textId="4BC88FD2" w:rsidR="0043214C" w:rsidRPr="00FD0D8E" w:rsidRDefault="0043214C" w:rsidP="00C74EB6">
            <w:pPr>
              <w:pStyle w:val="a9"/>
              <w:spacing w:line="276" w:lineRule="auto"/>
              <w:ind w:left="0"/>
              <w:rPr>
                <w:szCs w:val="21"/>
              </w:rPr>
            </w:pPr>
            <w:r w:rsidRPr="00FD0D8E">
              <w:rPr>
                <w:rFonts w:hint="eastAsia"/>
                <w:szCs w:val="21"/>
              </w:rPr>
              <w:t>交叉上市</w:t>
            </w:r>
          </w:p>
        </w:tc>
        <w:tc>
          <w:tcPr>
            <w:tcW w:w="720" w:type="pct"/>
            <w:vAlign w:val="center"/>
          </w:tcPr>
          <w:p w14:paraId="3FE7513F" w14:textId="4FF74436" w:rsidR="0043214C" w:rsidRPr="00FD0D8E" w:rsidRDefault="0043214C" w:rsidP="00C74EB6">
            <w:pPr>
              <w:pStyle w:val="a9"/>
              <w:spacing w:line="276" w:lineRule="auto"/>
              <w:ind w:left="0"/>
              <w:rPr>
                <w:szCs w:val="21"/>
              </w:rPr>
            </w:pPr>
            <w:r w:rsidRPr="00FD0D8E">
              <w:rPr>
                <w:rFonts w:hint="eastAsia"/>
                <w:szCs w:val="21"/>
              </w:rPr>
              <w:t>BH</w:t>
            </w:r>
          </w:p>
        </w:tc>
        <w:tc>
          <w:tcPr>
            <w:tcW w:w="2466" w:type="pct"/>
            <w:vAlign w:val="center"/>
          </w:tcPr>
          <w:p w14:paraId="2824B27C" w14:textId="5C54E624" w:rsidR="0043214C" w:rsidRPr="00FD0D8E" w:rsidRDefault="0043214C" w:rsidP="00C74EB6">
            <w:pPr>
              <w:pStyle w:val="a9"/>
              <w:spacing w:line="276" w:lineRule="auto"/>
              <w:ind w:left="0"/>
              <w:rPr>
                <w:szCs w:val="21"/>
              </w:rPr>
            </w:pPr>
            <w:r w:rsidRPr="00FD0D8E">
              <w:rPr>
                <w:rFonts w:hint="eastAsia"/>
                <w:szCs w:val="21"/>
              </w:rPr>
              <w:t>若公司是否同时发行</w:t>
            </w:r>
            <w:r w:rsidRPr="00FD0D8E">
              <w:rPr>
                <w:rFonts w:hint="eastAsia"/>
                <w:szCs w:val="21"/>
              </w:rPr>
              <w:t>B</w:t>
            </w:r>
            <w:r w:rsidRPr="00FD0D8E">
              <w:rPr>
                <w:rFonts w:hint="eastAsia"/>
                <w:szCs w:val="21"/>
              </w:rPr>
              <w:t>或</w:t>
            </w:r>
            <w:r w:rsidRPr="00FD0D8E">
              <w:rPr>
                <w:rFonts w:hint="eastAsia"/>
                <w:szCs w:val="21"/>
              </w:rPr>
              <w:t>H</w:t>
            </w:r>
            <w:r w:rsidRPr="00FD0D8E">
              <w:rPr>
                <w:rFonts w:hint="eastAsia"/>
                <w:szCs w:val="21"/>
              </w:rPr>
              <w:t>股，则取值为</w:t>
            </w:r>
            <w:r w:rsidRPr="00FD0D8E">
              <w:rPr>
                <w:rFonts w:hint="eastAsia"/>
                <w:szCs w:val="21"/>
              </w:rPr>
              <w:t>1</w:t>
            </w:r>
            <w:r w:rsidRPr="00FD0D8E">
              <w:rPr>
                <w:rFonts w:hint="eastAsia"/>
                <w:szCs w:val="21"/>
              </w:rPr>
              <w:t>，否则为</w:t>
            </w:r>
            <w:r w:rsidRPr="00FD0D8E">
              <w:rPr>
                <w:rFonts w:hint="eastAsia"/>
                <w:szCs w:val="21"/>
              </w:rPr>
              <w:t>0</w:t>
            </w:r>
          </w:p>
        </w:tc>
      </w:tr>
      <w:tr w:rsidR="0043214C" w:rsidRPr="00FD0D8E" w14:paraId="70A58E98" w14:textId="77777777" w:rsidTr="00086241">
        <w:trPr>
          <w:jc w:val="center"/>
        </w:trPr>
        <w:tc>
          <w:tcPr>
            <w:tcW w:w="719" w:type="pct"/>
            <w:vMerge/>
            <w:vAlign w:val="center"/>
          </w:tcPr>
          <w:p w14:paraId="04D22B92" w14:textId="77777777" w:rsidR="0043214C" w:rsidRPr="00FD0D8E" w:rsidRDefault="0043214C" w:rsidP="00C74EB6">
            <w:pPr>
              <w:pStyle w:val="a9"/>
              <w:spacing w:line="276" w:lineRule="auto"/>
              <w:ind w:left="0"/>
              <w:rPr>
                <w:szCs w:val="21"/>
              </w:rPr>
            </w:pPr>
          </w:p>
        </w:tc>
        <w:tc>
          <w:tcPr>
            <w:tcW w:w="1094" w:type="pct"/>
            <w:vAlign w:val="center"/>
          </w:tcPr>
          <w:p w14:paraId="0DDE340B" w14:textId="62E6C32A" w:rsidR="0043214C" w:rsidRPr="00FD0D8E" w:rsidRDefault="0043214C" w:rsidP="00C74EB6">
            <w:pPr>
              <w:pStyle w:val="a9"/>
              <w:spacing w:line="276" w:lineRule="auto"/>
              <w:ind w:left="0"/>
              <w:rPr>
                <w:szCs w:val="21"/>
              </w:rPr>
            </w:pPr>
            <w:r w:rsidRPr="00FD0D8E">
              <w:rPr>
                <w:rFonts w:hint="eastAsia"/>
                <w:szCs w:val="21"/>
              </w:rPr>
              <w:t>四大审计</w:t>
            </w:r>
          </w:p>
        </w:tc>
        <w:tc>
          <w:tcPr>
            <w:tcW w:w="720" w:type="pct"/>
            <w:vAlign w:val="center"/>
          </w:tcPr>
          <w:p w14:paraId="207F3FB9" w14:textId="1F4E5163" w:rsidR="0043214C" w:rsidRPr="00FD0D8E" w:rsidRDefault="0043214C" w:rsidP="00C74EB6">
            <w:pPr>
              <w:pStyle w:val="a9"/>
              <w:spacing w:line="276" w:lineRule="auto"/>
              <w:ind w:left="0"/>
              <w:rPr>
                <w:szCs w:val="21"/>
              </w:rPr>
            </w:pPr>
            <w:r w:rsidRPr="00FD0D8E">
              <w:rPr>
                <w:rFonts w:hint="eastAsia"/>
                <w:szCs w:val="21"/>
              </w:rPr>
              <w:t>B</w:t>
            </w:r>
            <w:r w:rsidRPr="00FD0D8E">
              <w:rPr>
                <w:szCs w:val="21"/>
              </w:rPr>
              <w:t>i</w:t>
            </w:r>
            <w:r w:rsidRPr="00FD0D8E">
              <w:rPr>
                <w:rFonts w:hint="eastAsia"/>
                <w:szCs w:val="21"/>
              </w:rPr>
              <w:t>g4</w:t>
            </w:r>
          </w:p>
        </w:tc>
        <w:tc>
          <w:tcPr>
            <w:tcW w:w="2466" w:type="pct"/>
            <w:vAlign w:val="center"/>
          </w:tcPr>
          <w:p w14:paraId="4CBC58C0" w14:textId="2BCD94B2" w:rsidR="0043214C" w:rsidRPr="00FD0D8E" w:rsidRDefault="0043214C" w:rsidP="00C74EB6">
            <w:pPr>
              <w:pStyle w:val="a9"/>
              <w:spacing w:line="276" w:lineRule="auto"/>
              <w:ind w:left="0"/>
              <w:rPr>
                <w:szCs w:val="21"/>
              </w:rPr>
            </w:pPr>
            <w:r w:rsidRPr="00FD0D8E">
              <w:rPr>
                <w:rFonts w:hint="eastAsia"/>
                <w:szCs w:val="21"/>
              </w:rPr>
              <w:t>若当年被四大审计，则取值为</w:t>
            </w:r>
            <w:r w:rsidRPr="00FD0D8E">
              <w:rPr>
                <w:rFonts w:hint="eastAsia"/>
                <w:szCs w:val="21"/>
              </w:rPr>
              <w:t>1</w:t>
            </w:r>
            <w:r w:rsidRPr="00FD0D8E">
              <w:rPr>
                <w:rFonts w:hint="eastAsia"/>
                <w:szCs w:val="21"/>
              </w:rPr>
              <w:t>，否则为</w:t>
            </w:r>
            <w:r w:rsidRPr="00FD0D8E">
              <w:rPr>
                <w:rFonts w:hint="eastAsia"/>
                <w:szCs w:val="21"/>
              </w:rPr>
              <w:t>0</w:t>
            </w:r>
          </w:p>
        </w:tc>
      </w:tr>
      <w:tr w:rsidR="0043214C" w:rsidRPr="00FD0D8E" w14:paraId="3847736E" w14:textId="77777777" w:rsidTr="00086241">
        <w:trPr>
          <w:jc w:val="center"/>
        </w:trPr>
        <w:tc>
          <w:tcPr>
            <w:tcW w:w="719" w:type="pct"/>
            <w:vMerge/>
            <w:vAlign w:val="center"/>
          </w:tcPr>
          <w:p w14:paraId="1A5C5D0D" w14:textId="77777777" w:rsidR="0043214C" w:rsidRPr="00FD0D8E" w:rsidRDefault="0043214C" w:rsidP="00C74EB6">
            <w:pPr>
              <w:pStyle w:val="a9"/>
              <w:spacing w:line="276" w:lineRule="auto"/>
              <w:ind w:left="0"/>
              <w:rPr>
                <w:szCs w:val="21"/>
              </w:rPr>
            </w:pPr>
          </w:p>
        </w:tc>
        <w:tc>
          <w:tcPr>
            <w:tcW w:w="1094" w:type="pct"/>
            <w:vAlign w:val="center"/>
          </w:tcPr>
          <w:p w14:paraId="646A6AB3" w14:textId="68B954C6" w:rsidR="0043214C" w:rsidRPr="00FD0D8E" w:rsidRDefault="0043214C" w:rsidP="00C74EB6">
            <w:pPr>
              <w:pStyle w:val="a9"/>
              <w:spacing w:line="276" w:lineRule="auto"/>
              <w:ind w:left="0"/>
              <w:rPr>
                <w:szCs w:val="21"/>
              </w:rPr>
            </w:pPr>
            <w:r w:rsidRPr="00FD0D8E">
              <w:rPr>
                <w:rFonts w:hint="eastAsia"/>
                <w:szCs w:val="21"/>
              </w:rPr>
              <w:t>资产负债率</w:t>
            </w:r>
          </w:p>
        </w:tc>
        <w:tc>
          <w:tcPr>
            <w:tcW w:w="720" w:type="pct"/>
            <w:vAlign w:val="center"/>
          </w:tcPr>
          <w:p w14:paraId="618C50F5" w14:textId="6093D527" w:rsidR="0043214C" w:rsidRPr="00FD0D8E" w:rsidRDefault="0043214C" w:rsidP="00C74EB6">
            <w:pPr>
              <w:pStyle w:val="a9"/>
              <w:spacing w:line="276" w:lineRule="auto"/>
              <w:ind w:left="0"/>
              <w:rPr>
                <w:szCs w:val="21"/>
              </w:rPr>
            </w:pPr>
            <w:r w:rsidRPr="00FD0D8E">
              <w:rPr>
                <w:rFonts w:hint="eastAsia"/>
                <w:szCs w:val="21"/>
              </w:rPr>
              <w:t>Lev</w:t>
            </w:r>
          </w:p>
        </w:tc>
        <w:tc>
          <w:tcPr>
            <w:tcW w:w="2466" w:type="pct"/>
            <w:vAlign w:val="center"/>
          </w:tcPr>
          <w:p w14:paraId="5F0AB17A" w14:textId="320F6D55" w:rsidR="0043214C" w:rsidRPr="00FD0D8E" w:rsidRDefault="0043214C" w:rsidP="00C74EB6">
            <w:pPr>
              <w:pStyle w:val="a9"/>
              <w:spacing w:line="276" w:lineRule="auto"/>
              <w:ind w:left="0"/>
              <w:rPr>
                <w:szCs w:val="21"/>
              </w:rPr>
            </w:pPr>
            <w:r w:rsidRPr="00FD0D8E">
              <w:rPr>
                <w:rFonts w:hint="eastAsia"/>
                <w:szCs w:val="21"/>
              </w:rPr>
              <w:t>总负债</w:t>
            </w:r>
            <w:r w:rsidRPr="00FD0D8E">
              <w:rPr>
                <w:rFonts w:hint="eastAsia"/>
                <w:szCs w:val="21"/>
              </w:rPr>
              <w:t>/</w:t>
            </w:r>
            <w:r w:rsidRPr="00FD0D8E">
              <w:rPr>
                <w:rFonts w:hint="eastAsia"/>
                <w:szCs w:val="21"/>
              </w:rPr>
              <w:t>总资产</w:t>
            </w:r>
          </w:p>
        </w:tc>
      </w:tr>
      <w:tr w:rsidR="0043214C" w:rsidRPr="00FD0D8E" w14:paraId="02C2DFA2" w14:textId="77777777" w:rsidTr="00086241">
        <w:trPr>
          <w:jc w:val="center"/>
        </w:trPr>
        <w:tc>
          <w:tcPr>
            <w:tcW w:w="719" w:type="pct"/>
            <w:vMerge/>
            <w:vAlign w:val="center"/>
          </w:tcPr>
          <w:p w14:paraId="28242232" w14:textId="77777777" w:rsidR="0043214C" w:rsidRPr="00FD0D8E" w:rsidRDefault="0043214C" w:rsidP="00C74EB6">
            <w:pPr>
              <w:pStyle w:val="a9"/>
              <w:spacing w:line="276" w:lineRule="auto"/>
              <w:ind w:left="0"/>
              <w:rPr>
                <w:szCs w:val="21"/>
              </w:rPr>
            </w:pPr>
          </w:p>
        </w:tc>
        <w:tc>
          <w:tcPr>
            <w:tcW w:w="1094" w:type="pct"/>
            <w:vAlign w:val="center"/>
          </w:tcPr>
          <w:p w14:paraId="0D40ACD6" w14:textId="55F694F8" w:rsidR="0043214C" w:rsidRPr="00FD0D8E" w:rsidRDefault="0043214C" w:rsidP="00C74EB6">
            <w:pPr>
              <w:pStyle w:val="a9"/>
              <w:spacing w:line="276" w:lineRule="auto"/>
              <w:ind w:left="0"/>
              <w:rPr>
                <w:szCs w:val="21"/>
              </w:rPr>
            </w:pPr>
            <w:r w:rsidRPr="00FD0D8E">
              <w:rPr>
                <w:rFonts w:hint="eastAsia"/>
                <w:szCs w:val="21"/>
              </w:rPr>
              <w:t>固定资产占比</w:t>
            </w:r>
          </w:p>
        </w:tc>
        <w:tc>
          <w:tcPr>
            <w:tcW w:w="720" w:type="pct"/>
            <w:vAlign w:val="center"/>
          </w:tcPr>
          <w:p w14:paraId="05334AF6" w14:textId="1AD082D1" w:rsidR="0043214C" w:rsidRPr="00FD0D8E" w:rsidRDefault="0043214C" w:rsidP="00C74EB6">
            <w:pPr>
              <w:pStyle w:val="a9"/>
              <w:spacing w:line="276" w:lineRule="auto"/>
              <w:ind w:left="0"/>
              <w:rPr>
                <w:szCs w:val="21"/>
              </w:rPr>
            </w:pPr>
            <w:r w:rsidRPr="00FD0D8E">
              <w:rPr>
                <w:rFonts w:hint="eastAsia"/>
                <w:szCs w:val="21"/>
              </w:rPr>
              <w:t>FTA</w:t>
            </w:r>
          </w:p>
        </w:tc>
        <w:tc>
          <w:tcPr>
            <w:tcW w:w="2466" w:type="pct"/>
            <w:vAlign w:val="center"/>
          </w:tcPr>
          <w:p w14:paraId="1BCF8235" w14:textId="04EECE43" w:rsidR="0043214C" w:rsidRPr="00FD0D8E" w:rsidRDefault="0043214C" w:rsidP="00C74EB6">
            <w:pPr>
              <w:pStyle w:val="a9"/>
              <w:spacing w:line="276" w:lineRule="auto"/>
              <w:ind w:left="0"/>
              <w:rPr>
                <w:szCs w:val="21"/>
              </w:rPr>
            </w:pPr>
            <w:r w:rsidRPr="00FD0D8E">
              <w:rPr>
                <w:rFonts w:hint="eastAsia"/>
                <w:szCs w:val="21"/>
              </w:rPr>
              <w:t>固定资产</w:t>
            </w:r>
            <w:r w:rsidRPr="00FD0D8E">
              <w:rPr>
                <w:rFonts w:hint="eastAsia"/>
                <w:szCs w:val="21"/>
              </w:rPr>
              <w:t>/</w:t>
            </w:r>
            <w:r w:rsidRPr="00FD0D8E">
              <w:rPr>
                <w:rFonts w:hint="eastAsia"/>
                <w:szCs w:val="21"/>
              </w:rPr>
              <w:t>总资产</w:t>
            </w:r>
          </w:p>
        </w:tc>
      </w:tr>
      <w:tr w:rsidR="0043214C" w:rsidRPr="00FD0D8E" w14:paraId="7AE1BA3F" w14:textId="77777777" w:rsidTr="00086241">
        <w:trPr>
          <w:jc w:val="center"/>
        </w:trPr>
        <w:tc>
          <w:tcPr>
            <w:tcW w:w="719" w:type="pct"/>
            <w:vMerge/>
            <w:vAlign w:val="center"/>
          </w:tcPr>
          <w:p w14:paraId="0909FC0F" w14:textId="77777777" w:rsidR="0043214C" w:rsidRPr="00FD0D8E" w:rsidRDefault="0043214C" w:rsidP="00C74EB6">
            <w:pPr>
              <w:pStyle w:val="a9"/>
              <w:spacing w:line="276" w:lineRule="auto"/>
              <w:ind w:left="0"/>
              <w:rPr>
                <w:szCs w:val="21"/>
              </w:rPr>
            </w:pPr>
          </w:p>
        </w:tc>
        <w:tc>
          <w:tcPr>
            <w:tcW w:w="1094" w:type="pct"/>
            <w:vAlign w:val="center"/>
          </w:tcPr>
          <w:p w14:paraId="5F177363" w14:textId="60AAE809" w:rsidR="0043214C" w:rsidRPr="00FD0D8E" w:rsidRDefault="0043214C" w:rsidP="00C74EB6">
            <w:pPr>
              <w:pStyle w:val="a9"/>
              <w:spacing w:line="276" w:lineRule="auto"/>
              <w:ind w:left="0"/>
              <w:rPr>
                <w:szCs w:val="21"/>
              </w:rPr>
            </w:pPr>
            <w:r w:rsidRPr="00FD0D8E">
              <w:rPr>
                <w:rFonts w:hint="eastAsia"/>
                <w:szCs w:val="21"/>
              </w:rPr>
              <w:t>现金充足性</w:t>
            </w:r>
          </w:p>
        </w:tc>
        <w:tc>
          <w:tcPr>
            <w:tcW w:w="720" w:type="pct"/>
            <w:vAlign w:val="center"/>
          </w:tcPr>
          <w:p w14:paraId="21B286AE" w14:textId="7D9C6EB1" w:rsidR="0043214C" w:rsidRPr="00FD0D8E" w:rsidRDefault="0043214C" w:rsidP="00C74EB6">
            <w:pPr>
              <w:pStyle w:val="a9"/>
              <w:spacing w:line="276" w:lineRule="auto"/>
              <w:ind w:left="0"/>
              <w:rPr>
                <w:szCs w:val="21"/>
              </w:rPr>
            </w:pPr>
            <w:r w:rsidRPr="00FD0D8E">
              <w:rPr>
                <w:rFonts w:hint="eastAsia"/>
                <w:szCs w:val="21"/>
              </w:rPr>
              <w:t>Cash</w:t>
            </w:r>
          </w:p>
        </w:tc>
        <w:tc>
          <w:tcPr>
            <w:tcW w:w="2466" w:type="pct"/>
            <w:vAlign w:val="center"/>
          </w:tcPr>
          <w:p w14:paraId="58E59714" w14:textId="030D787B" w:rsidR="0043214C" w:rsidRPr="00FD0D8E" w:rsidRDefault="0043214C" w:rsidP="00C74EB6">
            <w:pPr>
              <w:pStyle w:val="a9"/>
              <w:spacing w:line="276" w:lineRule="auto"/>
              <w:ind w:left="0"/>
              <w:rPr>
                <w:szCs w:val="21"/>
              </w:rPr>
            </w:pPr>
            <w:r w:rsidRPr="00FD0D8E">
              <w:rPr>
                <w:rFonts w:hint="eastAsia"/>
                <w:szCs w:val="21"/>
              </w:rPr>
              <w:t>现金及现金等价物</w:t>
            </w:r>
          </w:p>
        </w:tc>
      </w:tr>
      <w:tr w:rsidR="0043214C" w:rsidRPr="00FD0D8E" w14:paraId="56AEF454" w14:textId="77777777" w:rsidTr="00086241">
        <w:trPr>
          <w:jc w:val="center"/>
        </w:trPr>
        <w:tc>
          <w:tcPr>
            <w:tcW w:w="719" w:type="pct"/>
            <w:vMerge/>
            <w:vAlign w:val="center"/>
          </w:tcPr>
          <w:p w14:paraId="40B2F6E0" w14:textId="77777777" w:rsidR="0043214C" w:rsidRPr="00FD0D8E" w:rsidRDefault="0043214C" w:rsidP="00C74EB6">
            <w:pPr>
              <w:pStyle w:val="a9"/>
              <w:spacing w:line="276" w:lineRule="auto"/>
              <w:ind w:left="0"/>
              <w:rPr>
                <w:szCs w:val="21"/>
              </w:rPr>
            </w:pPr>
          </w:p>
        </w:tc>
        <w:tc>
          <w:tcPr>
            <w:tcW w:w="1094" w:type="pct"/>
            <w:vAlign w:val="center"/>
          </w:tcPr>
          <w:p w14:paraId="2CB5D01C" w14:textId="5E842236" w:rsidR="0043214C" w:rsidRPr="00FD0D8E" w:rsidRDefault="0043214C" w:rsidP="00C74EB6">
            <w:pPr>
              <w:pStyle w:val="a9"/>
              <w:spacing w:line="276" w:lineRule="auto"/>
              <w:ind w:left="0"/>
              <w:rPr>
                <w:szCs w:val="21"/>
              </w:rPr>
            </w:pPr>
            <w:r w:rsidRPr="00FD0D8E">
              <w:rPr>
                <w:rFonts w:hint="eastAsia"/>
                <w:szCs w:val="21"/>
              </w:rPr>
              <w:t>股价波动率</w:t>
            </w:r>
          </w:p>
        </w:tc>
        <w:tc>
          <w:tcPr>
            <w:tcW w:w="720" w:type="pct"/>
            <w:vAlign w:val="center"/>
          </w:tcPr>
          <w:p w14:paraId="55FD88C1" w14:textId="043D4010" w:rsidR="0043214C" w:rsidRPr="00FD0D8E" w:rsidRDefault="0043214C" w:rsidP="00C74EB6">
            <w:pPr>
              <w:pStyle w:val="a9"/>
              <w:spacing w:line="276" w:lineRule="auto"/>
              <w:ind w:left="0"/>
              <w:rPr>
                <w:szCs w:val="21"/>
              </w:rPr>
            </w:pPr>
            <w:r w:rsidRPr="00FD0D8E">
              <w:rPr>
                <w:rFonts w:hint="eastAsia"/>
                <w:szCs w:val="21"/>
              </w:rPr>
              <w:t>Volatility</w:t>
            </w:r>
          </w:p>
        </w:tc>
        <w:tc>
          <w:tcPr>
            <w:tcW w:w="2466" w:type="pct"/>
            <w:vAlign w:val="center"/>
          </w:tcPr>
          <w:p w14:paraId="7A7431FF" w14:textId="6EFAE94D" w:rsidR="0043214C" w:rsidRPr="00FD0D8E" w:rsidRDefault="0043214C" w:rsidP="00C74EB6">
            <w:pPr>
              <w:pStyle w:val="a9"/>
              <w:spacing w:line="276" w:lineRule="auto"/>
              <w:ind w:left="0"/>
              <w:rPr>
                <w:szCs w:val="21"/>
              </w:rPr>
            </w:pPr>
            <w:r w:rsidRPr="00FD0D8E">
              <w:rPr>
                <w:rFonts w:hint="eastAsia"/>
                <w:szCs w:val="21"/>
              </w:rPr>
              <w:t>基于月收益率的标准差计算</w:t>
            </w:r>
          </w:p>
        </w:tc>
      </w:tr>
      <w:tr w:rsidR="0043214C" w:rsidRPr="00FD0D8E" w14:paraId="4CA658E1" w14:textId="77777777" w:rsidTr="00086241">
        <w:trPr>
          <w:jc w:val="center"/>
        </w:trPr>
        <w:tc>
          <w:tcPr>
            <w:tcW w:w="719" w:type="pct"/>
            <w:vMerge/>
            <w:vAlign w:val="center"/>
          </w:tcPr>
          <w:p w14:paraId="10E01B8D" w14:textId="77777777" w:rsidR="0043214C" w:rsidRPr="00FD0D8E" w:rsidRDefault="0043214C" w:rsidP="00C74EB6">
            <w:pPr>
              <w:pStyle w:val="a9"/>
              <w:spacing w:line="276" w:lineRule="auto"/>
              <w:ind w:left="0"/>
              <w:rPr>
                <w:szCs w:val="21"/>
              </w:rPr>
            </w:pPr>
          </w:p>
        </w:tc>
        <w:tc>
          <w:tcPr>
            <w:tcW w:w="1094" w:type="pct"/>
            <w:vAlign w:val="center"/>
          </w:tcPr>
          <w:p w14:paraId="008DAC52" w14:textId="56778B90" w:rsidR="0043214C" w:rsidRPr="00FD0D8E" w:rsidRDefault="0043214C" w:rsidP="00C74EB6">
            <w:pPr>
              <w:pStyle w:val="a9"/>
              <w:spacing w:line="276" w:lineRule="auto"/>
              <w:ind w:left="0"/>
              <w:rPr>
                <w:szCs w:val="21"/>
              </w:rPr>
            </w:pPr>
            <w:proofErr w:type="gramStart"/>
            <w:r w:rsidRPr="00FD0D8E">
              <w:rPr>
                <w:rFonts w:hint="eastAsia"/>
                <w:szCs w:val="21"/>
              </w:rPr>
              <w:t>市净率</w:t>
            </w:r>
            <w:proofErr w:type="gramEnd"/>
          </w:p>
        </w:tc>
        <w:tc>
          <w:tcPr>
            <w:tcW w:w="720" w:type="pct"/>
            <w:vAlign w:val="center"/>
          </w:tcPr>
          <w:p w14:paraId="56186CD3" w14:textId="7B9B26CA" w:rsidR="0043214C" w:rsidRPr="00FD0D8E" w:rsidRDefault="0043214C" w:rsidP="00C74EB6">
            <w:pPr>
              <w:pStyle w:val="a9"/>
              <w:spacing w:line="276" w:lineRule="auto"/>
              <w:ind w:left="0"/>
              <w:rPr>
                <w:szCs w:val="21"/>
              </w:rPr>
            </w:pPr>
            <w:r w:rsidRPr="00FD0D8E">
              <w:rPr>
                <w:rFonts w:hint="eastAsia"/>
                <w:szCs w:val="21"/>
              </w:rPr>
              <w:t>PB</w:t>
            </w:r>
          </w:p>
        </w:tc>
        <w:tc>
          <w:tcPr>
            <w:tcW w:w="2466" w:type="pct"/>
            <w:vAlign w:val="center"/>
          </w:tcPr>
          <w:p w14:paraId="0213CCD9" w14:textId="1ECE8B94" w:rsidR="0043214C" w:rsidRPr="00FD0D8E" w:rsidRDefault="0043214C" w:rsidP="00C74EB6">
            <w:pPr>
              <w:pStyle w:val="a9"/>
              <w:spacing w:line="276" w:lineRule="auto"/>
              <w:ind w:left="0"/>
              <w:rPr>
                <w:szCs w:val="21"/>
              </w:rPr>
            </w:pPr>
            <w:r w:rsidRPr="00FD0D8E">
              <w:rPr>
                <w:rFonts w:hint="eastAsia"/>
                <w:szCs w:val="21"/>
              </w:rPr>
              <w:t>每股股价</w:t>
            </w:r>
            <w:r w:rsidRPr="00FD0D8E">
              <w:rPr>
                <w:rFonts w:hint="eastAsia"/>
                <w:szCs w:val="21"/>
              </w:rPr>
              <w:t>/</w:t>
            </w:r>
            <w:r w:rsidRPr="00FD0D8E">
              <w:rPr>
                <w:rFonts w:hint="eastAsia"/>
                <w:szCs w:val="21"/>
              </w:rPr>
              <w:t>每股净资产</w:t>
            </w:r>
          </w:p>
        </w:tc>
      </w:tr>
      <w:tr w:rsidR="0043214C" w:rsidRPr="00FD0D8E" w14:paraId="0AD625B0" w14:textId="77777777" w:rsidTr="00086241">
        <w:trPr>
          <w:jc w:val="center"/>
        </w:trPr>
        <w:tc>
          <w:tcPr>
            <w:tcW w:w="719" w:type="pct"/>
            <w:vMerge/>
            <w:vAlign w:val="center"/>
          </w:tcPr>
          <w:p w14:paraId="24AC847D" w14:textId="77777777" w:rsidR="0043214C" w:rsidRPr="00FD0D8E" w:rsidRDefault="0043214C" w:rsidP="00C74EB6">
            <w:pPr>
              <w:pStyle w:val="a9"/>
              <w:spacing w:line="276" w:lineRule="auto"/>
              <w:ind w:left="0"/>
              <w:rPr>
                <w:szCs w:val="21"/>
              </w:rPr>
            </w:pPr>
          </w:p>
        </w:tc>
        <w:tc>
          <w:tcPr>
            <w:tcW w:w="1094" w:type="pct"/>
            <w:vAlign w:val="center"/>
          </w:tcPr>
          <w:p w14:paraId="0963643D" w14:textId="589519B6" w:rsidR="0043214C" w:rsidRPr="00FD0D8E" w:rsidRDefault="0043214C" w:rsidP="00C74EB6">
            <w:pPr>
              <w:pStyle w:val="a9"/>
              <w:spacing w:line="276" w:lineRule="auto"/>
              <w:ind w:left="0"/>
              <w:rPr>
                <w:szCs w:val="21"/>
              </w:rPr>
            </w:pPr>
            <w:r w:rsidRPr="00FD0D8E">
              <w:rPr>
                <w:rFonts w:hint="eastAsia"/>
                <w:szCs w:val="21"/>
              </w:rPr>
              <w:t>成长性</w:t>
            </w:r>
          </w:p>
        </w:tc>
        <w:tc>
          <w:tcPr>
            <w:tcW w:w="720" w:type="pct"/>
            <w:vAlign w:val="center"/>
          </w:tcPr>
          <w:p w14:paraId="45092DCF" w14:textId="5870EDCE" w:rsidR="0043214C" w:rsidRPr="00FD0D8E" w:rsidRDefault="0043214C" w:rsidP="00C74EB6">
            <w:pPr>
              <w:pStyle w:val="a9"/>
              <w:spacing w:line="276" w:lineRule="auto"/>
              <w:ind w:left="0"/>
              <w:rPr>
                <w:szCs w:val="21"/>
              </w:rPr>
            </w:pPr>
            <w:proofErr w:type="spellStart"/>
            <w:r w:rsidRPr="00FD0D8E">
              <w:rPr>
                <w:rFonts w:hint="eastAsia"/>
                <w:szCs w:val="21"/>
              </w:rPr>
              <w:t>GrowthRev</w:t>
            </w:r>
            <w:proofErr w:type="spellEnd"/>
          </w:p>
        </w:tc>
        <w:tc>
          <w:tcPr>
            <w:tcW w:w="2466" w:type="pct"/>
            <w:vAlign w:val="center"/>
          </w:tcPr>
          <w:p w14:paraId="0C2F3A24" w14:textId="36B9E7DB" w:rsidR="0043214C" w:rsidRPr="00FD0D8E" w:rsidRDefault="0043214C" w:rsidP="00C74EB6">
            <w:pPr>
              <w:pStyle w:val="a9"/>
              <w:spacing w:line="276" w:lineRule="auto"/>
              <w:ind w:left="0"/>
              <w:rPr>
                <w:szCs w:val="21"/>
              </w:rPr>
            </w:pPr>
            <w:r w:rsidRPr="00FD0D8E">
              <w:rPr>
                <w:rFonts w:hint="eastAsia"/>
                <w:szCs w:val="21"/>
              </w:rPr>
              <w:t>营业收入同比增长率</w:t>
            </w:r>
          </w:p>
        </w:tc>
      </w:tr>
      <w:tr w:rsidR="0043214C" w:rsidRPr="00FD0D8E" w14:paraId="4571856B" w14:textId="77777777" w:rsidTr="00086241">
        <w:trPr>
          <w:jc w:val="center"/>
        </w:trPr>
        <w:tc>
          <w:tcPr>
            <w:tcW w:w="719" w:type="pct"/>
            <w:vMerge/>
            <w:vAlign w:val="center"/>
          </w:tcPr>
          <w:p w14:paraId="547083AA" w14:textId="77777777" w:rsidR="0043214C" w:rsidRPr="00FD0D8E" w:rsidRDefault="0043214C" w:rsidP="00C74EB6">
            <w:pPr>
              <w:pStyle w:val="a9"/>
              <w:spacing w:line="276" w:lineRule="auto"/>
              <w:ind w:left="0"/>
              <w:rPr>
                <w:szCs w:val="21"/>
              </w:rPr>
            </w:pPr>
          </w:p>
        </w:tc>
        <w:tc>
          <w:tcPr>
            <w:tcW w:w="1094" w:type="pct"/>
            <w:vAlign w:val="center"/>
          </w:tcPr>
          <w:p w14:paraId="7B77E978" w14:textId="4E08201F" w:rsidR="0043214C" w:rsidRPr="00FD0D8E" w:rsidRDefault="0043214C" w:rsidP="00C74EB6">
            <w:pPr>
              <w:pStyle w:val="a9"/>
              <w:spacing w:line="276" w:lineRule="auto"/>
              <w:ind w:left="0"/>
              <w:rPr>
                <w:szCs w:val="21"/>
              </w:rPr>
            </w:pPr>
            <w:r w:rsidRPr="00FD0D8E">
              <w:rPr>
                <w:rFonts w:hint="eastAsia"/>
                <w:szCs w:val="21"/>
              </w:rPr>
              <w:t>总资产收益率</w:t>
            </w:r>
          </w:p>
        </w:tc>
        <w:tc>
          <w:tcPr>
            <w:tcW w:w="720" w:type="pct"/>
            <w:vAlign w:val="center"/>
          </w:tcPr>
          <w:p w14:paraId="4244A332" w14:textId="1DC45FF0" w:rsidR="0043214C" w:rsidRPr="00FD0D8E" w:rsidRDefault="0043214C" w:rsidP="00C74EB6">
            <w:pPr>
              <w:pStyle w:val="a9"/>
              <w:spacing w:line="276" w:lineRule="auto"/>
              <w:ind w:left="0"/>
              <w:rPr>
                <w:szCs w:val="21"/>
              </w:rPr>
            </w:pPr>
            <w:r w:rsidRPr="00FD0D8E">
              <w:rPr>
                <w:rFonts w:hint="eastAsia"/>
                <w:szCs w:val="21"/>
              </w:rPr>
              <w:t>ROA</w:t>
            </w:r>
          </w:p>
        </w:tc>
        <w:tc>
          <w:tcPr>
            <w:tcW w:w="2466" w:type="pct"/>
            <w:vAlign w:val="center"/>
          </w:tcPr>
          <w:p w14:paraId="5E357FB7" w14:textId="6E8783F0" w:rsidR="0043214C" w:rsidRPr="00FD0D8E" w:rsidRDefault="0043214C" w:rsidP="00C74EB6">
            <w:pPr>
              <w:pStyle w:val="a9"/>
              <w:spacing w:line="276" w:lineRule="auto"/>
              <w:ind w:left="0"/>
              <w:rPr>
                <w:szCs w:val="21"/>
              </w:rPr>
            </w:pPr>
            <w:proofErr w:type="gramStart"/>
            <w:r w:rsidRPr="00FD0D8E">
              <w:rPr>
                <w:rFonts w:hint="eastAsia"/>
                <w:szCs w:val="21"/>
              </w:rPr>
              <w:t>归母净利润</w:t>
            </w:r>
            <w:proofErr w:type="gramEnd"/>
            <w:r w:rsidRPr="00FD0D8E">
              <w:rPr>
                <w:rFonts w:hint="eastAsia"/>
                <w:szCs w:val="21"/>
              </w:rPr>
              <w:t>/</w:t>
            </w:r>
            <w:r w:rsidRPr="00FD0D8E">
              <w:rPr>
                <w:rFonts w:hint="eastAsia"/>
                <w:szCs w:val="21"/>
              </w:rPr>
              <w:t>总资产</w:t>
            </w:r>
          </w:p>
        </w:tc>
      </w:tr>
      <w:tr w:rsidR="0043214C" w:rsidRPr="00FD0D8E" w14:paraId="663AAFD5" w14:textId="77777777" w:rsidTr="00086241">
        <w:trPr>
          <w:jc w:val="center"/>
        </w:trPr>
        <w:tc>
          <w:tcPr>
            <w:tcW w:w="719" w:type="pct"/>
            <w:vMerge/>
            <w:vAlign w:val="center"/>
          </w:tcPr>
          <w:p w14:paraId="2F182FF7" w14:textId="77777777" w:rsidR="0043214C" w:rsidRPr="00FD0D8E" w:rsidRDefault="0043214C" w:rsidP="00C74EB6">
            <w:pPr>
              <w:pStyle w:val="a9"/>
              <w:spacing w:line="276" w:lineRule="auto"/>
              <w:ind w:left="0"/>
              <w:rPr>
                <w:szCs w:val="21"/>
              </w:rPr>
            </w:pPr>
          </w:p>
        </w:tc>
        <w:tc>
          <w:tcPr>
            <w:tcW w:w="1094" w:type="pct"/>
            <w:vAlign w:val="center"/>
          </w:tcPr>
          <w:p w14:paraId="4DF4E541" w14:textId="0879C913" w:rsidR="0043214C" w:rsidRPr="00FD0D8E" w:rsidRDefault="0043214C" w:rsidP="00C74EB6">
            <w:pPr>
              <w:pStyle w:val="a9"/>
              <w:spacing w:line="276" w:lineRule="auto"/>
              <w:ind w:left="0"/>
              <w:rPr>
                <w:szCs w:val="21"/>
              </w:rPr>
            </w:pPr>
            <w:r w:rsidRPr="00FD0D8E">
              <w:rPr>
                <w:rFonts w:hint="eastAsia"/>
                <w:szCs w:val="21"/>
              </w:rPr>
              <w:t>被处罚情况</w:t>
            </w:r>
          </w:p>
        </w:tc>
        <w:tc>
          <w:tcPr>
            <w:tcW w:w="720" w:type="pct"/>
            <w:vAlign w:val="center"/>
          </w:tcPr>
          <w:p w14:paraId="470BD63D" w14:textId="73EAF02E" w:rsidR="0043214C" w:rsidRPr="00FD0D8E" w:rsidRDefault="0043214C" w:rsidP="00C74EB6">
            <w:pPr>
              <w:pStyle w:val="a9"/>
              <w:spacing w:line="276" w:lineRule="auto"/>
              <w:ind w:left="0"/>
              <w:rPr>
                <w:szCs w:val="21"/>
              </w:rPr>
            </w:pPr>
            <w:r w:rsidRPr="00FD0D8E">
              <w:rPr>
                <w:rFonts w:hint="eastAsia"/>
                <w:szCs w:val="21"/>
              </w:rPr>
              <w:t>Penalty</w:t>
            </w:r>
          </w:p>
        </w:tc>
        <w:tc>
          <w:tcPr>
            <w:tcW w:w="2466" w:type="pct"/>
            <w:vAlign w:val="center"/>
          </w:tcPr>
          <w:p w14:paraId="2C26C405" w14:textId="33BF89F1" w:rsidR="0043214C" w:rsidRPr="00FD0D8E" w:rsidRDefault="0043214C" w:rsidP="00C74EB6">
            <w:pPr>
              <w:pStyle w:val="a9"/>
              <w:spacing w:line="276" w:lineRule="auto"/>
              <w:ind w:left="0"/>
              <w:rPr>
                <w:szCs w:val="21"/>
              </w:rPr>
            </w:pPr>
            <w:r w:rsidRPr="00FD0D8E">
              <w:rPr>
                <w:rFonts w:hint="eastAsia"/>
                <w:szCs w:val="21"/>
              </w:rPr>
              <w:t>公司近两年类是否受过处罚</w:t>
            </w:r>
          </w:p>
        </w:tc>
      </w:tr>
      <w:tr w:rsidR="0043214C" w:rsidRPr="00FD0D8E" w14:paraId="004E1EAB" w14:textId="77777777" w:rsidTr="00086241">
        <w:trPr>
          <w:jc w:val="center"/>
        </w:trPr>
        <w:tc>
          <w:tcPr>
            <w:tcW w:w="719" w:type="pct"/>
            <w:vMerge/>
            <w:vAlign w:val="center"/>
          </w:tcPr>
          <w:p w14:paraId="74786B2C" w14:textId="77777777" w:rsidR="0043214C" w:rsidRPr="00FD0D8E" w:rsidRDefault="0043214C" w:rsidP="00C74EB6">
            <w:pPr>
              <w:pStyle w:val="a9"/>
              <w:spacing w:line="276" w:lineRule="auto"/>
              <w:ind w:left="0"/>
              <w:rPr>
                <w:szCs w:val="21"/>
              </w:rPr>
            </w:pPr>
          </w:p>
        </w:tc>
        <w:tc>
          <w:tcPr>
            <w:tcW w:w="1094" w:type="pct"/>
            <w:vAlign w:val="center"/>
          </w:tcPr>
          <w:p w14:paraId="4AB46D4C" w14:textId="56DA6656" w:rsidR="0043214C" w:rsidRPr="00FD0D8E" w:rsidRDefault="0043214C" w:rsidP="00C74EB6">
            <w:pPr>
              <w:pStyle w:val="a9"/>
              <w:spacing w:line="276" w:lineRule="auto"/>
              <w:ind w:left="0"/>
              <w:rPr>
                <w:szCs w:val="21"/>
              </w:rPr>
            </w:pPr>
            <w:r w:rsidRPr="00FD0D8E">
              <w:rPr>
                <w:rFonts w:hint="eastAsia"/>
                <w:szCs w:val="21"/>
              </w:rPr>
              <w:t>独立董事占比</w:t>
            </w:r>
          </w:p>
        </w:tc>
        <w:tc>
          <w:tcPr>
            <w:tcW w:w="720" w:type="pct"/>
            <w:vAlign w:val="center"/>
          </w:tcPr>
          <w:p w14:paraId="06D1CF42" w14:textId="698C81E9" w:rsidR="0043214C" w:rsidRPr="00FD0D8E" w:rsidRDefault="0043214C" w:rsidP="00C74EB6">
            <w:pPr>
              <w:pStyle w:val="a9"/>
              <w:spacing w:line="276" w:lineRule="auto"/>
              <w:ind w:left="0"/>
              <w:rPr>
                <w:szCs w:val="21"/>
              </w:rPr>
            </w:pPr>
            <w:proofErr w:type="spellStart"/>
            <w:r w:rsidRPr="00FD0D8E">
              <w:rPr>
                <w:rFonts w:hint="eastAsia"/>
                <w:szCs w:val="21"/>
              </w:rPr>
              <w:t>IndepR</w:t>
            </w:r>
            <w:proofErr w:type="spellEnd"/>
          </w:p>
        </w:tc>
        <w:tc>
          <w:tcPr>
            <w:tcW w:w="2466" w:type="pct"/>
            <w:vAlign w:val="center"/>
          </w:tcPr>
          <w:p w14:paraId="3A08D7DD" w14:textId="1F381D9D" w:rsidR="0043214C" w:rsidRPr="00FD0D8E" w:rsidRDefault="0043214C" w:rsidP="00C74EB6">
            <w:pPr>
              <w:pStyle w:val="a9"/>
              <w:spacing w:line="276" w:lineRule="auto"/>
              <w:ind w:left="0"/>
              <w:rPr>
                <w:szCs w:val="21"/>
              </w:rPr>
            </w:pPr>
            <w:r w:rsidRPr="00FD0D8E">
              <w:rPr>
                <w:rFonts w:hint="eastAsia"/>
                <w:szCs w:val="21"/>
              </w:rPr>
              <w:t>独立董事数量</w:t>
            </w:r>
            <w:r w:rsidRPr="00FD0D8E">
              <w:rPr>
                <w:rFonts w:hint="eastAsia"/>
                <w:szCs w:val="21"/>
              </w:rPr>
              <w:t>/</w:t>
            </w:r>
            <w:r w:rsidRPr="00FD0D8E">
              <w:rPr>
                <w:rFonts w:hint="eastAsia"/>
                <w:szCs w:val="21"/>
              </w:rPr>
              <w:t>董事总数量</w:t>
            </w:r>
          </w:p>
        </w:tc>
      </w:tr>
      <w:tr w:rsidR="0043214C" w:rsidRPr="00FD0D8E" w14:paraId="5DC893F8" w14:textId="77777777" w:rsidTr="00086241">
        <w:trPr>
          <w:jc w:val="center"/>
        </w:trPr>
        <w:tc>
          <w:tcPr>
            <w:tcW w:w="719" w:type="pct"/>
            <w:vMerge/>
            <w:vAlign w:val="center"/>
          </w:tcPr>
          <w:p w14:paraId="4FFB3061" w14:textId="77777777" w:rsidR="0043214C" w:rsidRPr="00FD0D8E" w:rsidRDefault="0043214C" w:rsidP="00C74EB6">
            <w:pPr>
              <w:pStyle w:val="a9"/>
              <w:spacing w:line="276" w:lineRule="auto"/>
              <w:ind w:left="0"/>
              <w:rPr>
                <w:szCs w:val="21"/>
              </w:rPr>
            </w:pPr>
          </w:p>
        </w:tc>
        <w:tc>
          <w:tcPr>
            <w:tcW w:w="1094" w:type="pct"/>
            <w:vAlign w:val="center"/>
          </w:tcPr>
          <w:p w14:paraId="727BE429" w14:textId="0C89C3E5" w:rsidR="0043214C" w:rsidRPr="00FD0D8E" w:rsidRDefault="0043214C" w:rsidP="00C74EB6">
            <w:pPr>
              <w:pStyle w:val="a9"/>
              <w:spacing w:line="276" w:lineRule="auto"/>
              <w:ind w:left="0"/>
              <w:rPr>
                <w:szCs w:val="21"/>
              </w:rPr>
            </w:pPr>
            <w:r w:rsidRPr="00FD0D8E">
              <w:rPr>
                <w:rFonts w:hint="eastAsia"/>
                <w:szCs w:val="21"/>
              </w:rPr>
              <w:t>董事会规模</w:t>
            </w:r>
          </w:p>
        </w:tc>
        <w:tc>
          <w:tcPr>
            <w:tcW w:w="720" w:type="pct"/>
            <w:vAlign w:val="center"/>
          </w:tcPr>
          <w:p w14:paraId="15ECE8D7" w14:textId="7050137A" w:rsidR="0043214C" w:rsidRPr="00FD0D8E" w:rsidRDefault="0043214C" w:rsidP="00C74EB6">
            <w:pPr>
              <w:pStyle w:val="a9"/>
              <w:spacing w:line="276" w:lineRule="auto"/>
              <w:ind w:left="0"/>
              <w:rPr>
                <w:szCs w:val="21"/>
              </w:rPr>
            </w:pPr>
            <w:proofErr w:type="spellStart"/>
            <w:r w:rsidRPr="00FD0D8E">
              <w:rPr>
                <w:rFonts w:hint="eastAsia"/>
                <w:szCs w:val="21"/>
              </w:rPr>
              <w:t>DSize</w:t>
            </w:r>
            <w:proofErr w:type="spellEnd"/>
          </w:p>
        </w:tc>
        <w:tc>
          <w:tcPr>
            <w:tcW w:w="2466" w:type="pct"/>
            <w:vAlign w:val="center"/>
          </w:tcPr>
          <w:p w14:paraId="3CAD41F8" w14:textId="2D7F7E08" w:rsidR="0043214C" w:rsidRPr="00FD0D8E" w:rsidRDefault="0043214C" w:rsidP="00C74EB6">
            <w:pPr>
              <w:pStyle w:val="a9"/>
              <w:spacing w:line="276" w:lineRule="auto"/>
              <w:ind w:left="0"/>
              <w:rPr>
                <w:szCs w:val="21"/>
              </w:rPr>
            </w:pPr>
            <w:r w:rsidRPr="00FD0D8E">
              <w:rPr>
                <w:rFonts w:hint="eastAsia"/>
                <w:szCs w:val="21"/>
              </w:rPr>
              <w:t>董事人数</w:t>
            </w:r>
            <w:r w:rsidR="00F75212">
              <w:rPr>
                <w:rFonts w:hint="eastAsia"/>
                <w:szCs w:val="21"/>
              </w:rPr>
              <w:t>之和</w:t>
            </w:r>
          </w:p>
        </w:tc>
      </w:tr>
      <w:tr w:rsidR="0043214C" w:rsidRPr="00FD0D8E" w14:paraId="2A9F3F74" w14:textId="77777777" w:rsidTr="00086241">
        <w:trPr>
          <w:jc w:val="center"/>
        </w:trPr>
        <w:tc>
          <w:tcPr>
            <w:tcW w:w="719" w:type="pct"/>
            <w:vMerge/>
            <w:vAlign w:val="center"/>
          </w:tcPr>
          <w:p w14:paraId="72E178DE" w14:textId="77777777" w:rsidR="0043214C" w:rsidRPr="00FD0D8E" w:rsidRDefault="0043214C" w:rsidP="00C74EB6">
            <w:pPr>
              <w:pStyle w:val="a9"/>
              <w:spacing w:line="276" w:lineRule="auto"/>
              <w:ind w:left="0"/>
              <w:rPr>
                <w:szCs w:val="21"/>
              </w:rPr>
            </w:pPr>
          </w:p>
        </w:tc>
        <w:tc>
          <w:tcPr>
            <w:tcW w:w="1094" w:type="pct"/>
            <w:vAlign w:val="center"/>
          </w:tcPr>
          <w:p w14:paraId="4EE6CC71" w14:textId="15E2AC21" w:rsidR="0043214C" w:rsidRPr="00FD0D8E" w:rsidRDefault="0043214C" w:rsidP="00C74EB6">
            <w:pPr>
              <w:pStyle w:val="a9"/>
              <w:spacing w:line="276" w:lineRule="auto"/>
              <w:ind w:left="0"/>
              <w:rPr>
                <w:szCs w:val="21"/>
              </w:rPr>
            </w:pPr>
            <w:r w:rsidRPr="00FD0D8E">
              <w:rPr>
                <w:rFonts w:hint="eastAsia"/>
                <w:szCs w:val="21"/>
              </w:rPr>
              <w:t>两职合一</w:t>
            </w:r>
          </w:p>
        </w:tc>
        <w:tc>
          <w:tcPr>
            <w:tcW w:w="720" w:type="pct"/>
            <w:vAlign w:val="center"/>
          </w:tcPr>
          <w:p w14:paraId="073DE531" w14:textId="139E1ECF" w:rsidR="0043214C" w:rsidRPr="00FD0D8E" w:rsidRDefault="0043214C" w:rsidP="00C74EB6">
            <w:pPr>
              <w:pStyle w:val="a9"/>
              <w:spacing w:line="276" w:lineRule="auto"/>
              <w:ind w:left="0"/>
              <w:rPr>
                <w:szCs w:val="21"/>
              </w:rPr>
            </w:pPr>
            <w:r w:rsidRPr="00FD0D8E">
              <w:rPr>
                <w:rFonts w:hint="eastAsia"/>
                <w:szCs w:val="21"/>
              </w:rPr>
              <w:t>Duality</w:t>
            </w:r>
          </w:p>
        </w:tc>
        <w:tc>
          <w:tcPr>
            <w:tcW w:w="2466" w:type="pct"/>
            <w:vAlign w:val="center"/>
          </w:tcPr>
          <w:p w14:paraId="6C8E4FFB" w14:textId="0F12C81C" w:rsidR="0043214C" w:rsidRPr="00FD0D8E" w:rsidRDefault="0043214C" w:rsidP="00C74EB6">
            <w:pPr>
              <w:pStyle w:val="a9"/>
              <w:spacing w:line="276" w:lineRule="auto"/>
              <w:ind w:left="0"/>
              <w:rPr>
                <w:szCs w:val="21"/>
              </w:rPr>
            </w:pPr>
            <w:r w:rsidRPr="00FD0D8E">
              <w:rPr>
                <w:rFonts w:hint="eastAsia"/>
                <w:szCs w:val="21"/>
              </w:rPr>
              <w:t>董事长和总经理为一人，则</w:t>
            </w:r>
            <w:r w:rsidRPr="00FD0D8E">
              <w:rPr>
                <w:rFonts w:hint="eastAsia"/>
                <w:szCs w:val="21"/>
              </w:rPr>
              <w:t>Duality =1</w:t>
            </w:r>
            <w:r w:rsidRPr="00FD0D8E">
              <w:rPr>
                <w:rFonts w:hint="eastAsia"/>
                <w:szCs w:val="21"/>
              </w:rPr>
              <w:t>，否则为</w:t>
            </w:r>
            <w:r w:rsidRPr="00FD0D8E">
              <w:rPr>
                <w:rFonts w:hint="eastAsia"/>
                <w:szCs w:val="21"/>
              </w:rPr>
              <w:t>0</w:t>
            </w:r>
          </w:p>
        </w:tc>
      </w:tr>
      <w:tr w:rsidR="0043214C" w:rsidRPr="00FD0D8E" w14:paraId="3488BB0B" w14:textId="77777777" w:rsidTr="00086241">
        <w:trPr>
          <w:jc w:val="center"/>
        </w:trPr>
        <w:tc>
          <w:tcPr>
            <w:tcW w:w="719" w:type="pct"/>
            <w:vMerge/>
            <w:vAlign w:val="center"/>
          </w:tcPr>
          <w:p w14:paraId="3A5214F1" w14:textId="77777777" w:rsidR="0043214C" w:rsidRPr="00FD0D8E" w:rsidRDefault="0043214C" w:rsidP="00C74EB6">
            <w:pPr>
              <w:pStyle w:val="a9"/>
              <w:spacing w:line="276" w:lineRule="auto"/>
              <w:ind w:left="0"/>
              <w:rPr>
                <w:szCs w:val="21"/>
              </w:rPr>
            </w:pPr>
          </w:p>
        </w:tc>
        <w:tc>
          <w:tcPr>
            <w:tcW w:w="1094" w:type="pct"/>
            <w:vAlign w:val="center"/>
          </w:tcPr>
          <w:p w14:paraId="79FA262F" w14:textId="7C66618E" w:rsidR="0043214C" w:rsidRPr="00FD0D8E" w:rsidRDefault="0043214C" w:rsidP="00C74EB6">
            <w:pPr>
              <w:pStyle w:val="a9"/>
              <w:spacing w:line="276" w:lineRule="auto"/>
              <w:ind w:left="0"/>
              <w:rPr>
                <w:szCs w:val="21"/>
              </w:rPr>
            </w:pPr>
            <w:r w:rsidRPr="00FD0D8E">
              <w:rPr>
                <w:rFonts w:hint="eastAsia"/>
                <w:szCs w:val="21"/>
              </w:rPr>
              <w:t>股权激励程度</w:t>
            </w:r>
          </w:p>
        </w:tc>
        <w:tc>
          <w:tcPr>
            <w:tcW w:w="720" w:type="pct"/>
            <w:vAlign w:val="center"/>
          </w:tcPr>
          <w:p w14:paraId="0C97C19A" w14:textId="7B3CD4AF" w:rsidR="0043214C" w:rsidRPr="00FD0D8E" w:rsidRDefault="0043214C" w:rsidP="00C74EB6">
            <w:pPr>
              <w:pStyle w:val="a9"/>
              <w:spacing w:line="276" w:lineRule="auto"/>
              <w:ind w:left="0"/>
              <w:rPr>
                <w:szCs w:val="21"/>
              </w:rPr>
            </w:pPr>
            <w:r w:rsidRPr="00FD0D8E">
              <w:rPr>
                <w:rFonts w:hint="eastAsia"/>
                <w:szCs w:val="21"/>
              </w:rPr>
              <w:t>DOSR</w:t>
            </w:r>
          </w:p>
        </w:tc>
        <w:tc>
          <w:tcPr>
            <w:tcW w:w="2466" w:type="pct"/>
            <w:vAlign w:val="center"/>
          </w:tcPr>
          <w:p w14:paraId="34EAF368" w14:textId="0574D7EF" w:rsidR="0043214C" w:rsidRPr="00FD0D8E" w:rsidRDefault="0043214C" w:rsidP="00C74EB6">
            <w:pPr>
              <w:pStyle w:val="a9"/>
              <w:spacing w:line="276" w:lineRule="auto"/>
              <w:ind w:left="0"/>
              <w:rPr>
                <w:szCs w:val="21"/>
              </w:rPr>
            </w:pPr>
            <w:proofErr w:type="gramStart"/>
            <w:r w:rsidRPr="00FD0D8E">
              <w:rPr>
                <w:rFonts w:hint="eastAsia"/>
                <w:szCs w:val="21"/>
              </w:rPr>
              <w:t>董监高持股</w:t>
            </w:r>
            <w:proofErr w:type="gramEnd"/>
            <w:r w:rsidRPr="00FD0D8E">
              <w:rPr>
                <w:rFonts w:hint="eastAsia"/>
                <w:szCs w:val="21"/>
              </w:rPr>
              <w:t>比例</w:t>
            </w:r>
          </w:p>
        </w:tc>
      </w:tr>
      <w:tr w:rsidR="0043214C" w:rsidRPr="00FD0D8E" w14:paraId="14AD35B0" w14:textId="77777777" w:rsidTr="00086241">
        <w:trPr>
          <w:jc w:val="center"/>
        </w:trPr>
        <w:tc>
          <w:tcPr>
            <w:tcW w:w="719" w:type="pct"/>
            <w:vMerge/>
            <w:vAlign w:val="center"/>
          </w:tcPr>
          <w:p w14:paraId="7C7C5BCD" w14:textId="77777777" w:rsidR="0043214C" w:rsidRPr="00FD0D8E" w:rsidRDefault="0043214C" w:rsidP="00C74EB6">
            <w:pPr>
              <w:pStyle w:val="a9"/>
              <w:spacing w:line="276" w:lineRule="auto"/>
              <w:ind w:left="0"/>
              <w:rPr>
                <w:szCs w:val="21"/>
              </w:rPr>
            </w:pPr>
          </w:p>
        </w:tc>
        <w:tc>
          <w:tcPr>
            <w:tcW w:w="1094" w:type="pct"/>
            <w:vAlign w:val="center"/>
          </w:tcPr>
          <w:p w14:paraId="49DABA43" w14:textId="26681862" w:rsidR="0043214C" w:rsidRPr="00FD0D8E" w:rsidRDefault="0043214C" w:rsidP="00C74EB6">
            <w:pPr>
              <w:pStyle w:val="a9"/>
              <w:spacing w:line="276" w:lineRule="auto"/>
              <w:ind w:left="0"/>
              <w:rPr>
                <w:szCs w:val="21"/>
              </w:rPr>
            </w:pPr>
            <w:r w:rsidRPr="00FD0D8E">
              <w:rPr>
                <w:rFonts w:hint="eastAsia"/>
                <w:szCs w:val="21"/>
              </w:rPr>
              <w:t>产权性质</w:t>
            </w:r>
          </w:p>
        </w:tc>
        <w:tc>
          <w:tcPr>
            <w:tcW w:w="720" w:type="pct"/>
            <w:vAlign w:val="center"/>
          </w:tcPr>
          <w:p w14:paraId="672880AB" w14:textId="1ECB53A3" w:rsidR="0043214C" w:rsidRPr="00FD0D8E" w:rsidRDefault="0043214C" w:rsidP="00C74EB6">
            <w:pPr>
              <w:pStyle w:val="a9"/>
              <w:spacing w:line="276" w:lineRule="auto"/>
              <w:ind w:left="0"/>
              <w:rPr>
                <w:szCs w:val="21"/>
              </w:rPr>
            </w:pPr>
            <w:r w:rsidRPr="00FD0D8E">
              <w:rPr>
                <w:rFonts w:hint="eastAsia"/>
                <w:szCs w:val="21"/>
              </w:rPr>
              <w:t>SOE</w:t>
            </w:r>
          </w:p>
        </w:tc>
        <w:tc>
          <w:tcPr>
            <w:tcW w:w="2466" w:type="pct"/>
            <w:vAlign w:val="center"/>
          </w:tcPr>
          <w:p w14:paraId="17DD0248" w14:textId="37EB3B0B" w:rsidR="0043214C" w:rsidRPr="00FD0D8E" w:rsidRDefault="0043214C" w:rsidP="00C74EB6">
            <w:pPr>
              <w:pStyle w:val="a9"/>
              <w:spacing w:line="276" w:lineRule="auto"/>
              <w:ind w:left="0"/>
              <w:rPr>
                <w:szCs w:val="21"/>
              </w:rPr>
            </w:pPr>
            <w:r w:rsidRPr="00FD0D8E">
              <w:rPr>
                <w:rFonts w:hint="eastAsia"/>
                <w:szCs w:val="21"/>
              </w:rPr>
              <w:t>若为国有企业，则</w:t>
            </w:r>
            <w:r w:rsidRPr="00FD0D8E">
              <w:rPr>
                <w:rFonts w:hint="eastAsia"/>
                <w:szCs w:val="21"/>
              </w:rPr>
              <w:t>SOE=1</w:t>
            </w:r>
            <w:r w:rsidRPr="00FD0D8E">
              <w:rPr>
                <w:rFonts w:hint="eastAsia"/>
                <w:szCs w:val="21"/>
              </w:rPr>
              <w:t>，否则为</w:t>
            </w:r>
            <w:r w:rsidRPr="00FD0D8E">
              <w:rPr>
                <w:rFonts w:hint="eastAsia"/>
                <w:szCs w:val="21"/>
              </w:rPr>
              <w:t>0</w:t>
            </w:r>
          </w:p>
        </w:tc>
      </w:tr>
      <w:tr w:rsidR="0043214C" w:rsidRPr="00FD0D8E" w14:paraId="3D3AFF35" w14:textId="77777777" w:rsidTr="00086241">
        <w:trPr>
          <w:jc w:val="center"/>
        </w:trPr>
        <w:tc>
          <w:tcPr>
            <w:tcW w:w="719" w:type="pct"/>
            <w:vMerge/>
            <w:vAlign w:val="center"/>
          </w:tcPr>
          <w:p w14:paraId="4614BB49" w14:textId="77777777" w:rsidR="0043214C" w:rsidRPr="00FD0D8E" w:rsidRDefault="0043214C" w:rsidP="00C74EB6">
            <w:pPr>
              <w:pStyle w:val="a9"/>
              <w:spacing w:line="276" w:lineRule="auto"/>
              <w:ind w:left="0"/>
              <w:rPr>
                <w:szCs w:val="21"/>
              </w:rPr>
            </w:pPr>
          </w:p>
        </w:tc>
        <w:tc>
          <w:tcPr>
            <w:tcW w:w="1094" w:type="pct"/>
            <w:vAlign w:val="center"/>
          </w:tcPr>
          <w:p w14:paraId="2461A967" w14:textId="50C07ED2" w:rsidR="0043214C" w:rsidRPr="00FD0D8E" w:rsidRDefault="0043214C" w:rsidP="00C74EB6">
            <w:pPr>
              <w:pStyle w:val="a9"/>
              <w:spacing w:line="276" w:lineRule="auto"/>
              <w:ind w:left="0"/>
              <w:rPr>
                <w:szCs w:val="21"/>
              </w:rPr>
            </w:pPr>
            <w:r w:rsidRPr="00FD0D8E">
              <w:rPr>
                <w:rFonts w:hint="eastAsia"/>
                <w:szCs w:val="21"/>
              </w:rPr>
              <w:t>公司规模</w:t>
            </w:r>
          </w:p>
        </w:tc>
        <w:tc>
          <w:tcPr>
            <w:tcW w:w="720" w:type="pct"/>
            <w:vAlign w:val="center"/>
          </w:tcPr>
          <w:p w14:paraId="51AC8BA4" w14:textId="31ED3BDC" w:rsidR="0043214C" w:rsidRPr="00FD0D8E" w:rsidRDefault="0043214C" w:rsidP="00C74EB6">
            <w:pPr>
              <w:pStyle w:val="a9"/>
              <w:spacing w:line="276" w:lineRule="auto"/>
              <w:ind w:left="0"/>
              <w:rPr>
                <w:szCs w:val="21"/>
              </w:rPr>
            </w:pPr>
            <w:r w:rsidRPr="00FD0D8E">
              <w:rPr>
                <w:rFonts w:hint="eastAsia"/>
                <w:szCs w:val="21"/>
              </w:rPr>
              <w:t>Size</w:t>
            </w:r>
          </w:p>
        </w:tc>
        <w:tc>
          <w:tcPr>
            <w:tcW w:w="2466" w:type="pct"/>
            <w:vAlign w:val="center"/>
          </w:tcPr>
          <w:p w14:paraId="6375E765" w14:textId="3F7303A2" w:rsidR="0043214C" w:rsidRPr="00FD0D8E" w:rsidRDefault="0043214C" w:rsidP="00C74EB6">
            <w:pPr>
              <w:pStyle w:val="a9"/>
              <w:spacing w:line="276" w:lineRule="auto"/>
              <w:ind w:left="0"/>
              <w:rPr>
                <w:szCs w:val="21"/>
              </w:rPr>
            </w:pPr>
            <w:r w:rsidRPr="00FD0D8E">
              <w:rPr>
                <w:rFonts w:hint="eastAsia"/>
                <w:szCs w:val="21"/>
              </w:rPr>
              <w:t>公司总资产的对数化处理</w:t>
            </w:r>
          </w:p>
        </w:tc>
      </w:tr>
    </w:tbl>
    <w:p w14:paraId="2033EBEB" w14:textId="77777777" w:rsidR="00B50D68" w:rsidRPr="00B50D68" w:rsidRDefault="00B50D68" w:rsidP="00B50D68">
      <w:pPr>
        <w:ind w:firstLine="480"/>
      </w:pPr>
    </w:p>
    <w:p w14:paraId="1B7A5A49" w14:textId="2070BDF4" w:rsidR="00170DA4" w:rsidRPr="00C74EB6" w:rsidRDefault="00170DA4" w:rsidP="00C74EB6">
      <w:pPr>
        <w:pStyle w:val="2"/>
      </w:pPr>
      <w:bookmarkStart w:id="89" w:name="_Toc191420748"/>
      <w:bookmarkStart w:id="90" w:name="_Toc191574118"/>
      <w:bookmarkStart w:id="91" w:name="_Toc198286989"/>
      <w:r w:rsidRPr="00C74EB6">
        <w:rPr>
          <w:rFonts w:hint="eastAsia"/>
        </w:rPr>
        <w:t>模型构建</w:t>
      </w:r>
      <w:bookmarkEnd w:id="89"/>
      <w:bookmarkEnd w:id="90"/>
      <w:bookmarkEnd w:id="91"/>
    </w:p>
    <w:p w14:paraId="3FE652A0" w14:textId="1F6BA69B" w:rsidR="00170DA4" w:rsidRPr="00C74EB6" w:rsidRDefault="00170DA4" w:rsidP="009A179B">
      <w:pPr>
        <w:spacing w:line="360" w:lineRule="auto"/>
        <w:ind w:firstLineChars="200" w:firstLine="480"/>
        <w:rPr>
          <w:sz w:val="24"/>
        </w:rPr>
      </w:pPr>
      <w:r w:rsidRPr="00C74EB6">
        <w:rPr>
          <w:rFonts w:hint="eastAsia"/>
          <w:sz w:val="24"/>
        </w:rPr>
        <w:t>为研究组织资本对董</w:t>
      </w:r>
      <w:proofErr w:type="gramStart"/>
      <w:r w:rsidRPr="00C74EB6">
        <w:rPr>
          <w:rFonts w:hint="eastAsia"/>
          <w:sz w:val="24"/>
        </w:rPr>
        <w:t>监高责任</w:t>
      </w:r>
      <w:proofErr w:type="gramEnd"/>
      <w:r w:rsidRPr="00C74EB6">
        <w:rPr>
          <w:rFonts w:hint="eastAsia"/>
          <w:sz w:val="24"/>
        </w:rPr>
        <w:t>险</w:t>
      </w:r>
      <w:r w:rsidR="00D473F8" w:rsidRPr="00C74EB6">
        <w:rPr>
          <w:rFonts w:hint="eastAsia"/>
          <w:sz w:val="24"/>
        </w:rPr>
        <w:t>投保意向</w:t>
      </w:r>
      <w:r w:rsidRPr="00C74EB6">
        <w:rPr>
          <w:rFonts w:hint="eastAsia"/>
          <w:sz w:val="24"/>
        </w:rPr>
        <w:t>的影响，本文构建如下模型：</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879"/>
        <w:gridCol w:w="996"/>
      </w:tblGrid>
      <w:tr w:rsidR="002D39F1" w:rsidRPr="00C74EB6" w14:paraId="01F6C2D3" w14:textId="77777777" w:rsidTr="002D39F1">
        <w:tc>
          <w:tcPr>
            <w:tcW w:w="421" w:type="dxa"/>
          </w:tcPr>
          <w:p w14:paraId="1FE0EE58" w14:textId="77777777" w:rsidR="002D39F1" w:rsidRPr="00C74EB6" w:rsidRDefault="002D39F1" w:rsidP="009A179B">
            <w:pPr>
              <w:spacing w:line="360" w:lineRule="auto"/>
              <w:ind w:firstLine="480"/>
              <w:rPr>
                <w:sz w:val="24"/>
              </w:rPr>
            </w:pPr>
          </w:p>
        </w:tc>
        <w:tc>
          <w:tcPr>
            <w:tcW w:w="6879" w:type="dxa"/>
          </w:tcPr>
          <w:p w14:paraId="13245DF1" w14:textId="43DF7136" w:rsidR="002D39F1" w:rsidRPr="00C74EB6" w:rsidRDefault="002D39F1" w:rsidP="002D39F1">
            <w:pPr>
              <w:spacing w:line="360" w:lineRule="auto"/>
              <w:rPr>
                <w:sz w:val="24"/>
              </w:rPr>
            </w:pPr>
            <m:oMathPara>
              <m:oMath>
                <m:r>
                  <m:rPr>
                    <m:sty m:val="p"/>
                  </m:rPr>
                  <w:rPr>
                    <w:rFonts w:ascii="Cambria Math" w:hAnsi="Cambria Math"/>
                    <w:sz w:val="24"/>
                  </w:rPr>
                  <m:t>Probit(D&amp;</m:t>
                </m:r>
                <m:sSub>
                  <m:sSubPr>
                    <m:ctrlPr>
                      <w:rPr>
                        <w:rFonts w:ascii="Cambria Math" w:hAnsi="Cambria Math"/>
                        <w:bCs/>
                        <w:iCs/>
                        <w:sz w:val="24"/>
                      </w:rPr>
                    </m:ctrlPr>
                  </m:sSubPr>
                  <m:e>
                    <m:r>
                      <m:rPr>
                        <m:sty m:val="p"/>
                      </m:rPr>
                      <w:rPr>
                        <w:rFonts w:ascii="Cambria Math" w:hAnsi="Cambria Math"/>
                        <w:sz w:val="24"/>
                      </w:rPr>
                      <m:t>O</m:t>
                    </m:r>
                  </m:e>
                  <m:sub>
                    <m:r>
                      <m:rPr>
                        <m:sty m:val="p"/>
                      </m:rPr>
                      <w:rPr>
                        <w:rFonts w:ascii="Cambria Math" w:hAnsi="Cambria Math"/>
                        <w:sz w:val="24"/>
                      </w:rPr>
                      <m:t>i,t+1</m:t>
                    </m:r>
                  </m:sub>
                </m:sSub>
                <m:r>
                  <w:rPr>
                    <w:rFonts w:ascii="Cambria Math" w:hAnsi="Cambria Math"/>
                    <w:sz w:val="24"/>
                  </w:rPr>
                  <m:t>=1)=</m:t>
                </m:r>
                <m:sSub>
                  <m:sSubPr>
                    <m:ctrlPr>
                      <w:rPr>
                        <w:rFonts w:ascii="Cambria Math" w:hAnsi="Cambria Math"/>
                        <w:bCs/>
                        <w:i/>
                        <w:iCs/>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bCs/>
                        <w:i/>
                        <w:iCs/>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lang w:val="en-AU"/>
                      </w:rPr>
                    </m:ctrlPr>
                  </m:sSubPr>
                  <m:e>
                    <m:r>
                      <w:rPr>
                        <w:rFonts w:ascii="Cambria Math" w:hAnsi="Cambria Math"/>
                        <w:sz w:val="24"/>
                        <w:lang w:val="en-AU"/>
                      </w:rPr>
                      <m:t>OC</m:t>
                    </m:r>
                    <m:ctrlPr>
                      <w:rPr>
                        <w:rFonts w:ascii="Cambria Math" w:hAnsi="Cambria Math"/>
                        <w:i/>
                        <w:sz w:val="24"/>
                      </w:rPr>
                    </m:ctrlPr>
                  </m:e>
                  <m:sub>
                    <m:r>
                      <w:rPr>
                        <w:rFonts w:ascii="Cambria Math" w:hAnsi="Cambria Math"/>
                        <w:sz w:val="24"/>
                      </w:rPr>
                      <m:t>i,t</m:t>
                    </m:r>
                  </m:sub>
                </m:sSub>
                <m:r>
                  <w:rPr>
                    <w:rFonts w:ascii="Cambria Math" w:hAnsi="Cambria Math"/>
                    <w:sz w:val="24"/>
                  </w:rPr>
                  <m:t>+γ</m:t>
                </m:r>
                <m:sSub>
                  <m:sSubPr>
                    <m:ctrlPr>
                      <w:rPr>
                        <w:rFonts w:ascii="Cambria Math" w:hAnsi="Cambria Math"/>
                        <w:i/>
                        <w:sz w:val="24"/>
                      </w:rPr>
                    </m:ctrlPr>
                  </m:sSubPr>
                  <m:e>
                    <m:r>
                      <w:rPr>
                        <w:rFonts w:ascii="Cambria Math" w:hAnsi="Cambria Math"/>
                        <w:sz w:val="24"/>
                      </w:rPr>
                      <m:t>X</m:t>
                    </m:r>
                  </m:e>
                  <m:sub>
                    <m:r>
                      <w:rPr>
                        <w:rFonts w:ascii="Cambria Math" w:hAnsi="Cambria Math"/>
                        <w:sz w:val="24"/>
                      </w:rPr>
                      <m:t>control</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t</m:t>
                    </m:r>
                  </m:sub>
                </m:sSub>
                <m:r>
                  <w:rPr>
                    <w:rFonts w:ascii="Cambria Math" w:hAnsi="Cambria Math"/>
                    <w:sz w:val="24"/>
                  </w:rPr>
                  <m:t>+</m:t>
                </m:r>
                <m:sSub>
                  <m:sSubPr>
                    <m:ctrlPr>
                      <w:rPr>
                        <w:rFonts w:ascii="Cambria Math" w:hAnsi="Cambria Math"/>
                        <w:bCs/>
                        <w:i/>
                        <w:iCs/>
                        <w:sz w:val="24"/>
                      </w:rPr>
                    </m:ctrlPr>
                  </m:sSubPr>
                  <m:e>
                    <m:r>
                      <w:rPr>
                        <w:rFonts w:ascii="Cambria Math" w:hAnsi="Cambria Math"/>
                        <w:sz w:val="24"/>
                      </w:rPr>
                      <m:t>ϵ</m:t>
                    </m:r>
                  </m:e>
                  <m:sub>
                    <m:r>
                      <w:rPr>
                        <w:rFonts w:ascii="Cambria Math" w:hAnsi="Cambria Math"/>
                        <w:sz w:val="24"/>
                      </w:rPr>
                      <m:t>it</m:t>
                    </m:r>
                  </m:sub>
                </m:sSub>
              </m:oMath>
            </m:oMathPara>
          </w:p>
        </w:tc>
        <w:tc>
          <w:tcPr>
            <w:tcW w:w="996" w:type="dxa"/>
          </w:tcPr>
          <w:p w14:paraId="7534B453" w14:textId="6A2777D0" w:rsidR="002D39F1" w:rsidRPr="00C74EB6" w:rsidRDefault="002D39F1" w:rsidP="002D39F1">
            <w:pPr>
              <w:spacing w:line="360" w:lineRule="auto"/>
              <w:rPr>
                <w:sz w:val="24"/>
              </w:rPr>
            </w:pPr>
            <w:r w:rsidRPr="00C74EB6">
              <w:rPr>
                <w:rFonts w:hint="eastAsia"/>
                <w:bCs/>
                <w:sz w:val="24"/>
              </w:rPr>
              <w:t>（</w:t>
            </w:r>
            <w:r w:rsidRPr="00C74EB6">
              <w:rPr>
                <w:rFonts w:hint="eastAsia"/>
                <w:bCs/>
                <w:sz w:val="24"/>
              </w:rPr>
              <w:t>3.3</w:t>
            </w:r>
            <w:r w:rsidRPr="00C74EB6">
              <w:rPr>
                <w:rFonts w:hint="eastAsia"/>
                <w:bCs/>
                <w:sz w:val="24"/>
              </w:rPr>
              <w:t>）</w:t>
            </w:r>
          </w:p>
        </w:tc>
      </w:tr>
    </w:tbl>
    <w:p w14:paraId="403D8203" w14:textId="29E8989B" w:rsidR="0043214C" w:rsidRPr="00C74EB6" w:rsidRDefault="002D39F1" w:rsidP="002D39F1">
      <w:pPr>
        <w:spacing w:line="360" w:lineRule="auto"/>
        <w:ind w:firstLineChars="200" w:firstLine="480"/>
        <w:jc w:val="left"/>
        <w:rPr>
          <w:bCs/>
          <w:sz w:val="24"/>
        </w:rPr>
      </w:pPr>
      <w:r w:rsidRPr="00C74EB6">
        <w:rPr>
          <w:rFonts w:hint="eastAsia"/>
          <w:sz w:val="24"/>
        </w:rPr>
        <w:t>其中</w:t>
      </w:r>
      <m:oMath>
        <m:sSub>
          <m:sSubPr>
            <m:ctrlPr>
              <w:rPr>
                <w:rFonts w:ascii="Cambria Math" w:hAnsi="Cambria Math"/>
                <w:bCs/>
                <w:i/>
                <w:iCs/>
                <w:sz w:val="24"/>
              </w:rPr>
            </m:ctrlPr>
          </m:sSubPr>
          <m:e>
            <m:r>
              <w:rPr>
                <w:rFonts w:ascii="Cambria Math" w:hAnsi="Cambria Math"/>
                <w:sz w:val="24"/>
              </w:rPr>
              <m:t>β</m:t>
            </m:r>
          </m:e>
          <m:sub>
            <m:r>
              <w:rPr>
                <w:rFonts w:ascii="Cambria Math" w:hAnsi="Cambria Math"/>
                <w:sz w:val="24"/>
              </w:rPr>
              <m:t>1</m:t>
            </m:r>
          </m:sub>
        </m:sSub>
      </m:oMath>
      <w:r w:rsidRPr="00C74EB6">
        <w:rPr>
          <w:rFonts w:hint="eastAsia"/>
          <w:bCs/>
          <w:iCs/>
          <w:sz w:val="24"/>
        </w:rPr>
        <w:t>、</w:t>
      </w:r>
      <m:oMath>
        <m:r>
          <w:rPr>
            <w:rFonts w:ascii="Cambria Math" w:hAnsi="Cambria Math"/>
            <w:sz w:val="24"/>
          </w:rPr>
          <m:t>γ</m:t>
        </m:r>
      </m:oMath>
      <w:r w:rsidRPr="00C74EB6">
        <w:rPr>
          <w:rFonts w:hint="eastAsia"/>
          <w:sz w:val="24"/>
        </w:rPr>
        <w:t>为经过处理后的边际效应，代表变量每提升一单位，公司拟购买董</w:t>
      </w:r>
      <w:proofErr w:type="gramStart"/>
      <w:r w:rsidRPr="00C74EB6">
        <w:rPr>
          <w:rFonts w:hint="eastAsia"/>
          <w:sz w:val="24"/>
        </w:rPr>
        <w:t>监高责任</w:t>
      </w:r>
      <w:proofErr w:type="gramEnd"/>
      <w:r w:rsidRPr="00C74EB6">
        <w:rPr>
          <w:rFonts w:hint="eastAsia"/>
          <w:sz w:val="24"/>
        </w:rPr>
        <w:t>险的概率的提升值</w:t>
      </w:r>
      <w:r w:rsidR="00B92969">
        <w:rPr>
          <w:rFonts w:hint="eastAsia"/>
          <w:sz w:val="24"/>
        </w:rPr>
        <w:t>。</w:t>
      </w:r>
      <w:r w:rsidRPr="00C74EB6">
        <w:rPr>
          <w:rFonts w:hint="eastAsia"/>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control</m:t>
            </m:r>
          </m:sub>
        </m:sSub>
      </m:oMath>
      <w:r w:rsidRPr="00C74EB6">
        <w:rPr>
          <w:rFonts w:hint="eastAsia"/>
          <w:sz w:val="24"/>
        </w:rPr>
        <w:t>代表公司控制变量，</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t</m:t>
            </m:r>
          </m:sub>
        </m:sSub>
      </m:oMath>
      <w:r w:rsidRPr="00C74EB6">
        <w:rPr>
          <w:rFonts w:hint="eastAsia"/>
          <w:sz w:val="24"/>
        </w:rPr>
        <w:t>代表行业和年份的固定效应，回归时设定聚类稳健标准误。在模型（</w:t>
      </w:r>
      <w:r w:rsidRPr="00C74EB6">
        <w:rPr>
          <w:rFonts w:hint="eastAsia"/>
          <w:sz w:val="24"/>
        </w:rPr>
        <w:t>3.3</w:t>
      </w:r>
      <w:r w:rsidRPr="00C74EB6">
        <w:rPr>
          <w:rFonts w:hint="eastAsia"/>
          <w:sz w:val="24"/>
        </w:rPr>
        <w:t>）的回归过程中，主要关注经处理计算后的边际效应</w:t>
      </w:r>
      <m:oMath>
        <m:sSub>
          <m:sSubPr>
            <m:ctrlPr>
              <w:rPr>
                <w:rFonts w:ascii="Cambria Math" w:hAnsi="Cambria Math"/>
                <w:bCs/>
                <w:i/>
                <w:iCs/>
                <w:sz w:val="24"/>
              </w:rPr>
            </m:ctrlPr>
          </m:sSubPr>
          <m:e>
            <m:r>
              <w:rPr>
                <w:rFonts w:ascii="Cambria Math" w:hAnsi="Cambria Math"/>
                <w:sz w:val="24"/>
              </w:rPr>
              <m:t>β</m:t>
            </m:r>
          </m:e>
          <m:sub>
            <m:r>
              <w:rPr>
                <w:rFonts w:ascii="Cambria Math" w:hAnsi="Cambria Math"/>
                <w:sz w:val="24"/>
              </w:rPr>
              <m:t>1</m:t>
            </m:r>
          </m:sub>
        </m:sSub>
      </m:oMath>
      <w:r w:rsidRPr="00C74EB6">
        <w:rPr>
          <w:rFonts w:hint="eastAsia"/>
          <w:bCs/>
          <w:iCs/>
          <w:sz w:val="24"/>
        </w:rPr>
        <w:t>及其显著性，若</w:t>
      </w:r>
      <m:oMath>
        <m:sSub>
          <m:sSubPr>
            <m:ctrlPr>
              <w:rPr>
                <w:rFonts w:ascii="Cambria Math" w:hAnsi="Cambria Math"/>
                <w:bCs/>
                <w:i/>
                <w:iCs/>
                <w:sz w:val="24"/>
              </w:rPr>
            </m:ctrlPr>
          </m:sSubPr>
          <m:e>
            <m:r>
              <w:rPr>
                <w:rFonts w:ascii="Cambria Math" w:hAnsi="Cambria Math"/>
                <w:sz w:val="24"/>
              </w:rPr>
              <m:t>β</m:t>
            </m:r>
          </m:e>
          <m:sub>
            <m:r>
              <w:rPr>
                <w:rFonts w:ascii="Cambria Math" w:hAnsi="Cambria Math"/>
                <w:sz w:val="24"/>
              </w:rPr>
              <m:t>1</m:t>
            </m:r>
          </m:sub>
        </m:sSub>
      </m:oMath>
      <w:r w:rsidRPr="00C74EB6">
        <w:rPr>
          <w:rFonts w:hint="eastAsia"/>
          <w:bCs/>
          <w:iCs/>
          <w:sz w:val="24"/>
        </w:rPr>
        <w:t>显著为正，这说明当组织资本每提升一个单位，公司拟购买董</w:t>
      </w:r>
      <w:proofErr w:type="gramStart"/>
      <w:r w:rsidRPr="00C74EB6">
        <w:rPr>
          <w:rFonts w:hint="eastAsia"/>
          <w:bCs/>
          <w:iCs/>
          <w:sz w:val="24"/>
        </w:rPr>
        <w:t>监高责任</w:t>
      </w:r>
      <w:proofErr w:type="gramEnd"/>
      <w:r w:rsidRPr="00C74EB6">
        <w:rPr>
          <w:rFonts w:hint="eastAsia"/>
          <w:bCs/>
          <w:iCs/>
          <w:sz w:val="24"/>
        </w:rPr>
        <w:t>险的概率增加</w:t>
      </w:r>
      <m:oMath>
        <m:sSub>
          <m:sSubPr>
            <m:ctrlPr>
              <w:rPr>
                <w:rFonts w:ascii="Cambria Math" w:hAnsi="Cambria Math"/>
                <w:bCs/>
                <w:i/>
                <w:iCs/>
                <w:sz w:val="24"/>
              </w:rPr>
            </m:ctrlPr>
          </m:sSubPr>
          <m:e>
            <m:r>
              <w:rPr>
                <w:rFonts w:ascii="Cambria Math" w:hAnsi="Cambria Math"/>
                <w:sz w:val="24"/>
              </w:rPr>
              <m:t>β</m:t>
            </m:r>
          </m:e>
          <m:sub>
            <m:r>
              <w:rPr>
                <w:rFonts w:ascii="Cambria Math" w:hAnsi="Cambria Math"/>
                <w:sz w:val="24"/>
              </w:rPr>
              <m:t>1</m:t>
            </m:r>
          </m:sub>
        </m:sSub>
      </m:oMath>
      <w:r w:rsidRPr="00C74EB6">
        <w:rPr>
          <w:rFonts w:hint="eastAsia"/>
          <w:bCs/>
          <w:iCs/>
          <w:sz w:val="24"/>
        </w:rPr>
        <w:t>。</w:t>
      </w:r>
    </w:p>
    <w:p w14:paraId="2047F48F" w14:textId="329662A1" w:rsidR="006B42D8" w:rsidRPr="00C74EB6" w:rsidRDefault="006B42D8" w:rsidP="00C74EB6">
      <w:pPr>
        <w:pStyle w:val="2"/>
      </w:pPr>
      <w:bookmarkStart w:id="92" w:name="_Toc191420749"/>
      <w:bookmarkStart w:id="93" w:name="_Toc191574119"/>
      <w:bookmarkStart w:id="94" w:name="_Toc198286990"/>
      <w:r w:rsidRPr="00C74EB6">
        <w:rPr>
          <w:rFonts w:hint="eastAsia"/>
        </w:rPr>
        <w:lastRenderedPageBreak/>
        <w:t>描述性统计</w:t>
      </w:r>
      <w:bookmarkEnd w:id="92"/>
      <w:bookmarkEnd w:id="93"/>
      <w:bookmarkEnd w:id="94"/>
    </w:p>
    <w:p w14:paraId="74BCD265" w14:textId="6E0D6CD3" w:rsidR="006B42D8" w:rsidRPr="00C74EB6" w:rsidRDefault="006A55D9" w:rsidP="001973B4">
      <w:pPr>
        <w:spacing w:line="360" w:lineRule="auto"/>
        <w:ind w:firstLineChars="200" w:firstLine="480"/>
        <w:rPr>
          <w:sz w:val="24"/>
        </w:rPr>
      </w:pPr>
      <w:r w:rsidRPr="00C74EB6">
        <w:rPr>
          <w:rFonts w:hint="eastAsia"/>
          <w:sz w:val="24"/>
        </w:rPr>
        <w:t>研究期内，董</w:t>
      </w:r>
      <w:proofErr w:type="gramStart"/>
      <w:r w:rsidRPr="00C74EB6">
        <w:rPr>
          <w:rFonts w:hint="eastAsia"/>
          <w:sz w:val="24"/>
        </w:rPr>
        <w:t>监高责任</w:t>
      </w:r>
      <w:proofErr w:type="gramEnd"/>
      <w:r w:rsidRPr="00C74EB6">
        <w:rPr>
          <w:rFonts w:hint="eastAsia"/>
          <w:sz w:val="24"/>
        </w:rPr>
        <w:t>险的</w:t>
      </w:r>
      <w:r w:rsidR="00D473F8" w:rsidRPr="00C74EB6">
        <w:rPr>
          <w:rFonts w:hint="eastAsia"/>
          <w:sz w:val="24"/>
        </w:rPr>
        <w:t>投保意向均值</w:t>
      </w:r>
      <w:r w:rsidRPr="00C74EB6">
        <w:rPr>
          <w:rFonts w:hint="eastAsia"/>
          <w:sz w:val="24"/>
        </w:rPr>
        <w:t>仅为</w:t>
      </w:r>
      <w:r w:rsidRPr="00C74EB6">
        <w:rPr>
          <w:rFonts w:hint="eastAsia"/>
          <w:sz w:val="24"/>
        </w:rPr>
        <w:t>0.10</w:t>
      </w:r>
      <w:r w:rsidRPr="00C74EB6">
        <w:rPr>
          <w:rFonts w:hint="eastAsia"/>
          <w:sz w:val="24"/>
        </w:rPr>
        <w:t>，说明大部分企业尚未</w:t>
      </w:r>
      <w:r w:rsidR="00D473F8" w:rsidRPr="00C74EB6">
        <w:rPr>
          <w:rFonts w:hint="eastAsia"/>
          <w:sz w:val="24"/>
        </w:rPr>
        <w:t>准备购买</w:t>
      </w:r>
      <w:r w:rsidRPr="00C74EB6">
        <w:rPr>
          <w:rFonts w:hint="eastAsia"/>
          <w:sz w:val="24"/>
        </w:rPr>
        <w:t>董</w:t>
      </w:r>
      <w:proofErr w:type="gramStart"/>
      <w:r w:rsidRPr="00C74EB6">
        <w:rPr>
          <w:rFonts w:hint="eastAsia"/>
          <w:sz w:val="24"/>
        </w:rPr>
        <w:t>监高责任</w:t>
      </w:r>
      <w:proofErr w:type="gramEnd"/>
      <w:r w:rsidRPr="00C74EB6">
        <w:rPr>
          <w:rFonts w:hint="eastAsia"/>
          <w:sz w:val="24"/>
        </w:rPr>
        <w:t>险</w:t>
      </w:r>
      <w:r w:rsidR="00643B8F" w:rsidRPr="00C74EB6">
        <w:rPr>
          <w:rFonts w:hint="eastAsia"/>
          <w:sz w:val="24"/>
        </w:rPr>
        <w:t>。</w:t>
      </w:r>
      <w:r w:rsidR="006B42D8" w:rsidRPr="00C74EB6">
        <w:rPr>
          <w:rFonts w:hint="eastAsia"/>
          <w:sz w:val="24"/>
        </w:rPr>
        <w:t>组织资本最小值为</w:t>
      </w:r>
      <w:r w:rsidR="00643B8F" w:rsidRPr="00C74EB6">
        <w:rPr>
          <w:rFonts w:hint="eastAsia"/>
          <w:sz w:val="24"/>
        </w:rPr>
        <w:t>4.484</w:t>
      </w:r>
      <w:r w:rsidR="006B42D8" w:rsidRPr="00C74EB6">
        <w:rPr>
          <w:rFonts w:hint="eastAsia"/>
          <w:sz w:val="24"/>
        </w:rPr>
        <w:t>，最</w:t>
      </w:r>
      <w:r w:rsidR="00643B8F" w:rsidRPr="00C74EB6">
        <w:rPr>
          <w:rFonts w:hint="eastAsia"/>
          <w:sz w:val="24"/>
        </w:rPr>
        <w:t>大</w:t>
      </w:r>
      <w:r w:rsidR="006B42D8" w:rsidRPr="00C74EB6">
        <w:rPr>
          <w:rFonts w:hint="eastAsia"/>
          <w:sz w:val="24"/>
        </w:rPr>
        <w:t>值为</w:t>
      </w:r>
      <w:r w:rsidR="00643B8F" w:rsidRPr="00C74EB6">
        <w:rPr>
          <w:rFonts w:hint="eastAsia"/>
          <w:sz w:val="24"/>
        </w:rPr>
        <w:t>10.29</w:t>
      </w:r>
      <w:r w:rsidR="006B42D8" w:rsidRPr="00C74EB6">
        <w:rPr>
          <w:rFonts w:hint="eastAsia"/>
          <w:sz w:val="24"/>
        </w:rPr>
        <w:t>，中位数为</w:t>
      </w:r>
      <w:r w:rsidR="00643B8F" w:rsidRPr="00C74EB6">
        <w:rPr>
          <w:rFonts w:hint="eastAsia"/>
          <w:sz w:val="24"/>
        </w:rPr>
        <w:t>6.607</w:t>
      </w:r>
      <w:r w:rsidR="006B42D8" w:rsidRPr="00C74EB6">
        <w:rPr>
          <w:rFonts w:hint="eastAsia"/>
          <w:sz w:val="24"/>
        </w:rPr>
        <w:t>，</w:t>
      </w:r>
      <w:r w:rsidR="00643B8F" w:rsidRPr="00C74EB6">
        <w:rPr>
          <w:rFonts w:hint="eastAsia"/>
          <w:sz w:val="24"/>
        </w:rPr>
        <w:t>分布接近对称，波动较小，但不同企业间组织资本差异显著</w:t>
      </w:r>
      <w:r w:rsidR="001A1BBF" w:rsidRPr="00C74EB6">
        <w:rPr>
          <w:rFonts w:hint="eastAsia"/>
          <w:sz w:val="24"/>
        </w:rPr>
        <w:t>。</w:t>
      </w:r>
      <w:r w:rsidR="001973B4" w:rsidRPr="00C74EB6">
        <w:rPr>
          <w:sz w:val="24"/>
        </w:rPr>
        <w:t xml:space="preserve"> </w:t>
      </w:r>
    </w:p>
    <w:p w14:paraId="4FE3AFC1" w14:textId="77777777" w:rsidR="001973B4" w:rsidRPr="00086241" w:rsidRDefault="001973B4" w:rsidP="001973B4">
      <w:pPr>
        <w:spacing w:line="360" w:lineRule="auto"/>
        <w:ind w:firstLineChars="200" w:firstLine="480"/>
        <w:rPr>
          <w:sz w:val="24"/>
        </w:rPr>
      </w:pPr>
    </w:p>
    <w:p w14:paraId="0D36ABC9" w14:textId="2B871EEA" w:rsidR="001973B4" w:rsidRPr="00734874" w:rsidRDefault="00B50D68" w:rsidP="00B50D68">
      <w:pPr>
        <w:pStyle w:val="af5"/>
        <w:ind w:firstLine="482"/>
        <w:rPr>
          <w:rFonts w:ascii="Times New Roman" w:hAnsi="Times New Roman"/>
        </w:rPr>
      </w:pPr>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2</w:t>
      </w:r>
      <w:r w:rsidRPr="00734874">
        <w:rPr>
          <w:rFonts w:ascii="Times New Roman" w:hAnsi="Times New Roman" w:hint="eastAsia"/>
        </w:rPr>
        <w:fldChar w:fldCharType="end"/>
      </w:r>
      <w:r w:rsidR="001973B4" w:rsidRPr="00734874">
        <w:rPr>
          <w:rFonts w:ascii="Times New Roman" w:hAnsi="Times New Roman" w:hint="eastAsia"/>
        </w:rPr>
        <w:t>：描述性统计</w:t>
      </w:r>
    </w:p>
    <w:tbl>
      <w:tblPr>
        <w:tblW w:w="5000" w:type="pct"/>
        <w:jc w:val="center"/>
        <w:tblCellMar>
          <w:left w:w="75" w:type="dxa"/>
          <w:right w:w="75" w:type="dxa"/>
        </w:tblCellMar>
        <w:tblLook w:val="0000" w:firstRow="0" w:lastRow="0" w:firstColumn="0" w:lastColumn="0" w:noHBand="0" w:noVBand="0"/>
      </w:tblPr>
      <w:tblGrid>
        <w:gridCol w:w="1921"/>
        <w:gridCol w:w="853"/>
        <w:gridCol w:w="1277"/>
        <w:gridCol w:w="1277"/>
        <w:gridCol w:w="993"/>
        <w:gridCol w:w="1136"/>
        <w:gridCol w:w="849"/>
      </w:tblGrid>
      <w:tr w:rsidR="002A4081" w:rsidRPr="00FD0D8E" w14:paraId="24E18C8B" w14:textId="77777777" w:rsidTr="006B1109">
        <w:trPr>
          <w:trHeight w:val="262"/>
          <w:jc w:val="center"/>
        </w:trPr>
        <w:tc>
          <w:tcPr>
            <w:tcW w:w="1156" w:type="pct"/>
            <w:tcBorders>
              <w:top w:val="single" w:sz="6" w:space="0" w:color="auto"/>
              <w:left w:val="nil"/>
              <w:bottom w:val="single" w:sz="4" w:space="0" w:color="auto"/>
              <w:right w:val="nil"/>
            </w:tcBorders>
          </w:tcPr>
          <w:p w14:paraId="7FCE5C0A" w14:textId="77777777" w:rsidR="002A4081" w:rsidRPr="00FD0D8E" w:rsidRDefault="002A4081" w:rsidP="00C74EB6">
            <w:pPr>
              <w:autoSpaceDE w:val="0"/>
              <w:autoSpaceDN w:val="0"/>
              <w:adjustRightInd w:val="0"/>
              <w:spacing w:line="276" w:lineRule="auto"/>
              <w:rPr>
                <w:kern w:val="0"/>
                <w:szCs w:val="21"/>
              </w:rPr>
            </w:pPr>
            <w:r w:rsidRPr="00FD0D8E">
              <w:rPr>
                <w:rFonts w:hint="eastAsia"/>
                <w:kern w:val="0"/>
                <w:szCs w:val="21"/>
              </w:rPr>
              <w:t>主要变量</w:t>
            </w:r>
          </w:p>
        </w:tc>
        <w:tc>
          <w:tcPr>
            <w:tcW w:w="513" w:type="pct"/>
            <w:tcBorders>
              <w:top w:val="single" w:sz="6" w:space="0" w:color="auto"/>
              <w:left w:val="nil"/>
              <w:bottom w:val="single" w:sz="4" w:space="0" w:color="auto"/>
              <w:right w:val="nil"/>
            </w:tcBorders>
          </w:tcPr>
          <w:p w14:paraId="2AADDA87" w14:textId="77777777" w:rsidR="002A4081" w:rsidRPr="00FD0D8E" w:rsidRDefault="002A4081" w:rsidP="00C74EB6">
            <w:pPr>
              <w:autoSpaceDE w:val="0"/>
              <w:autoSpaceDN w:val="0"/>
              <w:adjustRightInd w:val="0"/>
              <w:spacing w:line="276" w:lineRule="auto"/>
              <w:jc w:val="center"/>
              <w:rPr>
                <w:kern w:val="0"/>
                <w:szCs w:val="21"/>
              </w:rPr>
            </w:pPr>
            <w:r w:rsidRPr="00FD0D8E">
              <w:rPr>
                <w:rFonts w:hint="eastAsia"/>
                <w:kern w:val="0"/>
                <w:szCs w:val="21"/>
              </w:rPr>
              <w:t>样本量</w:t>
            </w:r>
          </w:p>
        </w:tc>
        <w:tc>
          <w:tcPr>
            <w:tcW w:w="769" w:type="pct"/>
            <w:tcBorders>
              <w:top w:val="single" w:sz="6" w:space="0" w:color="auto"/>
              <w:left w:val="nil"/>
              <w:bottom w:val="single" w:sz="4" w:space="0" w:color="auto"/>
              <w:right w:val="nil"/>
            </w:tcBorders>
          </w:tcPr>
          <w:p w14:paraId="6AA54049" w14:textId="77777777" w:rsidR="002A4081" w:rsidRPr="00FD0D8E" w:rsidRDefault="002A4081" w:rsidP="00C74EB6">
            <w:pPr>
              <w:autoSpaceDE w:val="0"/>
              <w:autoSpaceDN w:val="0"/>
              <w:adjustRightInd w:val="0"/>
              <w:spacing w:line="276" w:lineRule="auto"/>
              <w:jc w:val="center"/>
              <w:rPr>
                <w:kern w:val="0"/>
                <w:szCs w:val="21"/>
              </w:rPr>
            </w:pPr>
            <w:r w:rsidRPr="00FD0D8E">
              <w:rPr>
                <w:rFonts w:hint="eastAsia"/>
                <w:kern w:val="0"/>
                <w:szCs w:val="21"/>
              </w:rPr>
              <w:t>均值</w:t>
            </w:r>
          </w:p>
        </w:tc>
        <w:tc>
          <w:tcPr>
            <w:tcW w:w="769" w:type="pct"/>
            <w:tcBorders>
              <w:top w:val="single" w:sz="6" w:space="0" w:color="auto"/>
              <w:left w:val="nil"/>
              <w:bottom w:val="single" w:sz="4" w:space="0" w:color="auto"/>
              <w:right w:val="nil"/>
            </w:tcBorders>
          </w:tcPr>
          <w:p w14:paraId="60A02927" w14:textId="77777777" w:rsidR="002A4081" w:rsidRPr="00FD0D8E" w:rsidRDefault="002A4081" w:rsidP="00C74EB6">
            <w:pPr>
              <w:autoSpaceDE w:val="0"/>
              <w:autoSpaceDN w:val="0"/>
              <w:adjustRightInd w:val="0"/>
              <w:spacing w:line="276" w:lineRule="auto"/>
              <w:jc w:val="center"/>
              <w:rPr>
                <w:kern w:val="0"/>
                <w:szCs w:val="21"/>
              </w:rPr>
            </w:pPr>
            <w:r w:rsidRPr="00FD0D8E">
              <w:rPr>
                <w:rFonts w:hint="eastAsia"/>
                <w:kern w:val="0"/>
                <w:szCs w:val="21"/>
              </w:rPr>
              <w:t>中位数</w:t>
            </w:r>
          </w:p>
        </w:tc>
        <w:tc>
          <w:tcPr>
            <w:tcW w:w="598" w:type="pct"/>
            <w:tcBorders>
              <w:top w:val="single" w:sz="6" w:space="0" w:color="auto"/>
              <w:left w:val="nil"/>
              <w:bottom w:val="single" w:sz="4" w:space="0" w:color="auto"/>
              <w:right w:val="nil"/>
            </w:tcBorders>
          </w:tcPr>
          <w:p w14:paraId="7B57A7F0" w14:textId="77777777" w:rsidR="002A4081" w:rsidRPr="00FD0D8E" w:rsidRDefault="002A4081" w:rsidP="00C74EB6">
            <w:pPr>
              <w:autoSpaceDE w:val="0"/>
              <w:autoSpaceDN w:val="0"/>
              <w:adjustRightInd w:val="0"/>
              <w:spacing w:line="276" w:lineRule="auto"/>
              <w:jc w:val="center"/>
              <w:rPr>
                <w:kern w:val="0"/>
                <w:szCs w:val="21"/>
              </w:rPr>
            </w:pPr>
            <w:r w:rsidRPr="00FD0D8E">
              <w:rPr>
                <w:rFonts w:hint="eastAsia"/>
                <w:kern w:val="0"/>
                <w:szCs w:val="21"/>
              </w:rPr>
              <w:t>方差</w:t>
            </w:r>
          </w:p>
        </w:tc>
        <w:tc>
          <w:tcPr>
            <w:tcW w:w="684" w:type="pct"/>
            <w:tcBorders>
              <w:top w:val="single" w:sz="6" w:space="0" w:color="auto"/>
              <w:left w:val="nil"/>
              <w:bottom w:val="single" w:sz="4" w:space="0" w:color="auto"/>
              <w:right w:val="nil"/>
            </w:tcBorders>
          </w:tcPr>
          <w:p w14:paraId="6CD29C2B" w14:textId="7474E4D3" w:rsidR="002A4081" w:rsidRPr="00FD0D8E" w:rsidRDefault="006A55D9" w:rsidP="00C74EB6">
            <w:pPr>
              <w:autoSpaceDE w:val="0"/>
              <w:autoSpaceDN w:val="0"/>
              <w:adjustRightInd w:val="0"/>
              <w:spacing w:line="276" w:lineRule="auto"/>
              <w:jc w:val="center"/>
              <w:rPr>
                <w:kern w:val="0"/>
                <w:szCs w:val="21"/>
              </w:rPr>
            </w:pPr>
            <w:r w:rsidRPr="00FD0D8E">
              <w:rPr>
                <w:rFonts w:hint="eastAsia"/>
                <w:kern w:val="0"/>
                <w:szCs w:val="21"/>
              </w:rPr>
              <w:t>最小值</w:t>
            </w:r>
          </w:p>
        </w:tc>
        <w:tc>
          <w:tcPr>
            <w:tcW w:w="512" w:type="pct"/>
            <w:tcBorders>
              <w:top w:val="single" w:sz="6" w:space="0" w:color="auto"/>
              <w:left w:val="nil"/>
              <w:bottom w:val="single" w:sz="4" w:space="0" w:color="auto"/>
              <w:right w:val="nil"/>
            </w:tcBorders>
          </w:tcPr>
          <w:p w14:paraId="66BE12BB" w14:textId="1D82548C" w:rsidR="002A4081" w:rsidRPr="00FD0D8E" w:rsidRDefault="006A55D9" w:rsidP="00C74EB6">
            <w:pPr>
              <w:autoSpaceDE w:val="0"/>
              <w:autoSpaceDN w:val="0"/>
              <w:adjustRightInd w:val="0"/>
              <w:spacing w:line="276" w:lineRule="auto"/>
              <w:jc w:val="center"/>
              <w:rPr>
                <w:kern w:val="0"/>
                <w:szCs w:val="21"/>
              </w:rPr>
            </w:pPr>
            <w:r w:rsidRPr="00FD0D8E">
              <w:rPr>
                <w:rFonts w:hint="eastAsia"/>
                <w:kern w:val="0"/>
                <w:szCs w:val="21"/>
              </w:rPr>
              <w:t>最大值</w:t>
            </w:r>
          </w:p>
        </w:tc>
      </w:tr>
      <w:tr w:rsidR="002A4081" w:rsidRPr="00FD0D8E" w14:paraId="01AA1F0D" w14:textId="77777777" w:rsidTr="006B1109">
        <w:trPr>
          <w:jc w:val="center"/>
        </w:trPr>
        <w:tc>
          <w:tcPr>
            <w:tcW w:w="1156" w:type="pct"/>
            <w:tcBorders>
              <w:top w:val="single" w:sz="4" w:space="0" w:color="auto"/>
              <w:left w:val="nil"/>
              <w:right w:val="nil"/>
            </w:tcBorders>
          </w:tcPr>
          <w:p w14:paraId="7BD96697"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DO</w:t>
            </w:r>
          </w:p>
        </w:tc>
        <w:tc>
          <w:tcPr>
            <w:tcW w:w="513" w:type="pct"/>
            <w:tcBorders>
              <w:top w:val="single" w:sz="4" w:space="0" w:color="auto"/>
              <w:left w:val="nil"/>
              <w:right w:val="nil"/>
            </w:tcBorders>
          </w:tcPr>
          <w:p w14:paraId="5E41B49A" w14:textId="52F6425E"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w:t>
            </w:r>
            <w:r w:rsidR="00471BDD" w:rsidRPr="00FD0D8E">
              <w:rPr>
                <w:rFonts w:hint="eastAsia"/>
                <w:kern w:val="0"/>
                <w:szCs w:val="21"/>
              </w:rPr>
              <w:t>4133</w:t>
            </w:r>
          </w:p>
        </w:tc>
        <w:tc>
          <w:tcPr>
            <w:tcW w:w="769" w:type="pct"/>
            <w:tcBorders>
              <w:top w:val="single" w:sz="4" w:space="0" w:color="auto"/>
              <w:left w:val="nil"/>
              <w:right w:val="nil"/>
            </w:tcBorders>
          </w:tcPr>
          <w:p w14:paraId="19BA5AA1" w14:textId="3C5B907B"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006A55D9" w:rsidRPr="00FD0D8E">
              <w:rPr>
                <w:rFonts w:hint="eastAsia"/>
                <w:kern w:val="0"/>
                <w:szCs w:val="21"/>
              </w:rPr>
              <w:t>10</w:t>
            </w:r>
            <w:r w:rsidRPr="00FD0D8E">
              <w:rPr>
                <w:kern w:val="0"/>
                <w:szCs w:val="21"/>
              </w:rPr>
              <w:t>2</w:t>
            </w:r>
          </w:p>
        </w:tc>
        <w:tc>
          <w:tcPr>
            <w:tcW w:w="769" w:type="pct"/>
            <w:tcBorders>
              <w:top w:val="single" w:sz="4" w:space="0" w:color="auto"/>
              <w:left w:val="nil"/>
              <w:right w:val="nil"/>
            </w:tcBorders>
          </w:tcPr>
          <w:p w14:paraId="1D338E6F" w14:textId="01CC52C3"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00471BDD" w:rsidRPr="00FD0D8E">
              <w:rPr>
                <w:rFonts w:hint="eastAsia"/>
                <w:kern w:val="0"/>
                <w:szCs w:val="21"/>
              </w:rPr>
              <w:t>.000</w:t>
            </w:r>
          </w:p>
        </w:tc>
        <w:tc>
          <w:tcPr>
            <w:tcW w:w="598" w:type="pct"/>
            <w:tcBorders>
              <w:top w:val="single" w:sz="4" w:space="0" w:color="auto"/>
              <w:left w:val="nil"/>
              <w:right w:val="nil"/>
            </w:tcBorders>
          </w:tcPr>
          <w:p w14:paraId="5DEBF7C9"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0.275</w:t>
            </w:r>
          </w:p>
        </w:tc>
        <w:tc>
          <w:tcPr>
            <w:tcW w:w="684" w:type="pct"/>
            <w:tcBorders>
              <w:top w:val="single" w:sz="4" w:space="0" w:color="auto"/>
              <w:left w:val="nil"/>
              <w:right w:val="nil"/>
            </w:tcBorders>
          </w:tcPr>
          <w:p w14:paraId="408DD474" w14:textId="7C6E3C40" w:rsidR="002A4081" w:rsidRPr="00FD0D8E" w:rsidRDefault="00471BDD" w:rsidP="00C74EB6">
            <w:pPr>
              <w:autoSpaceDE w:val="0"/>
              <w:autoSpaceDN w:val="0"/>
              <w:adjustRightInd w:val="0"/>
              <w:spacing w:line="276" w:lineRule="auto"/>
              <w:jc w:val="center"/>
              <w:rPr>
                <w:kern w:val="0"/>
                <w:szCs w:val="21"/>
              </w:rPr>
            </w:pPr>
            <w:r w:rsidRPr="00FD0D8E">
              <w:rPr>
                <w:rFonts w:hint="eastAsia"/>
                <w:kern w:val="0"/>
                <w:szCs w:val="21"/>
              </w:rPr>
              <w:t>0.000</w:t>
            </w:r>
          </w:p>
        </w:tc>
        <w:tc>
          <w:tcPr>
            <w:tcW w:w="512" w:type="pct"/>
            <w:tcBorders>
              <w:top w:val="single" w:sz="4" w:space="0" w:color="auto"/>
              <w:left w:val="nil"/>
              <w:right w:val="nil"/>
            </w:tcBorders>
          </w:tcPr>
          <w:p w14:paraId="1C1C3857" w14:textId="46AF88F4" w:rsidR="002A4081" w:rsidRPr="00FD0D8E" w:rsidRDefault="00471BDD" w:rsidP="00C74EB6">
            <w:pPr>
              <w:autoSpaceDE w:val="0"/>
              <w:autoSpaceDN w:val="0"/>
              <w:adjustRightInd w:val="0"/>
              <w:spacing w:line="276" w:lineRule="auto"/>
              <w:jc w:val="center"/>
              <w:rPr>
                <w:kern w:val="0"/>
                <w:szCs w:val="21"/>
              </w:rPr>
            </w:pPr>
            <w:r w:rsidRPr="00FD0D8E">
              <w:rPr>
                <w:rFonts w:hint="eastAsia"/>
                <w:kern w:val="0"/>
                <w:szCs w:val="21"/>
              </w:rPr>
              <w:t>1.000</w:t>
            </w:r>
          </w:p>
        </w:tc>
      </w:tr>
      <w:tr w:rsidR="002A4081" w:rsidRPr="00FD0D8E" w14:paraId="1455B981" w14:textId="77777777" w:rsidTr="006B1109">
        <w:trPr>
          <w:jc w:val="center"/>
        </w:trPr>
        <w:tc>
          <w:tcPr>
            <w:tcW w:w="1156" w:type="pct"/>
            <w:tcBorders>
              <w:left w:val="nil"/>
              <w:bottom w:val="nil"/>
              <w:right w:val="nil"/>
            </w:tcBorders>
          </w:tcPr>
          <w:p w14:paraId="7675E719" w14:textId="6A92293B" w:rsidR="002A4081" w:rsidRPr="00FD0D8E" w:rsidRDefault="00D9560C" w:rsidP="00C74EB6">
            <w:pPr>
              <w:autoSpaceDE w:val="0"/>
              <w:autoSpaceDN w:val="0"/>
              <w:adjustRightInd w:val="0"/>
              <w:spacing w:line="276" w:lineRule="auto"/>
              <w:rPr>
                <w:kern w:val="0"/>
                <w:szCs w:val="21"/>
              </w:rPr>
            </w:pPr>
            <w:r w:rsidRPr="00FD0D8E">
              <w:rPr>
                <w:kern w:val="0"/>
                <w:szCs w:val="21"/>
              </w:rPr>
              <w:t>OC</w:t>
            </w:r>
          </w:p>
        </w:tc>
        <w:tc>
          <w:tcPr>
            <w:tcW w:w="513" w:type="pct"/>
            <w:tcBorders>
              <w:left w:val="nil"/>
              <w:bottom w:val="nil"/>
              <w:right w:val="nil"/>
            </w:tcBorders>
          </w:tcPr>
          <w:p w14:paraId="242F9ED3"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left w:val="nil"/>
              <w:bottom w:val="nil"/>
              <w:right w:val="nil"/>
            </w:tcBorders>
          </w:tcPr>
          <w:p w14:paraId="51ECC38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6.765</w:t>
            </w:r>
          </w:p>
        </w:tc>
        <w:tc>
          <w:tcPr>
            <w:tcW w:w="769" w:type="pct"/>
            <w:tcBorders>
              <w:left w:val="nil"/>
              <w:bottom w:val="nil"/>
              <w:right w:val="nil"/>
            </w:tcBorders>
          </w:tcPr>
          <w:p w14:paraId="03158802"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6.607</w:t>
            </w:r>
          </w:p>
        </w:tc>
        <w:tc>
          <w:tcPr>
            <w:tcW w:w="598" w:type="pct"/>
            <w:tcBorders>
              <w:left w:val="nil"/>
              <w:bottom w:val="nil"/>
              <w:right w:val="nil"/>
            </w:tcBorders>
          </w:tcPr>
          <w:p w14:paraId="6C0F5B2A"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1.202</w:t>
            </w:r>
          </w:p>
        </w:tc>
        <w:tc>
          <w:tcPr>
            <w:tcW w:w="684" w:type="pct"/>
            <w:tcBorders>
              <w:left w:val="nil"/>
              <w:bottom w:val="nil"/>
              <w:right w:val="nil"/>
            </w:tcBorders>
          </w:tcPr>
          <w:p w14:paraId="24293B12"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4.484</w:t>
            </w:r>
          </w:p>
        </w:tc>
        <w:tc>
          <w:tcPr>
            <w:tcW w:w="512" w:type="pct"/>
            <w:tcBorders>
              <w:left w:val="nil"/>
              <w:bottom w:val="nil"/>
              <w:right w:val="nil"/>
            </w:tcBorders>
          </w:tcPr>
          <w:p w14:paraId="5CCBDFCE"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10.29</w:t>
            </w:r>
          </w:p>
        </w:tc>
      </w:tr>
      <w:tr w:rsidR="006A55D9" w:rsidRPr="00FD0D8E" w14:paraId="7275CA35" w14:textId="77777777" w:rsidTr="006B1109">
        <w:trPr>
          <w:jc w:val="center"/>
        </w:trPr>
        <w:tc>
          <w:tcPr>
            <w:tcW w:w="1156" w:type="pct"/>
            <w:tcBorders>
              <w:top w:val="nil"/>
              <w:left w:val="nil"/>
              <w:bottom w:val="nil"/>
              <w:right w:val="nil"/>
            </w:tcBorders>
          </w:tcPr>
          <w:p w14:paraId="37BA5145"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BH</w:t>
            </w:r>
          </w:p>
        </w:tc>
        <w:tc>
          <w:tcPr>
            <w:tcW w:w="513" w:type="pct"/>
            <w:tcBorders>
              <w:top w:val="nil"/>
              <w:left w:val="nil"/>
              <w:bottom w:val="nil"/>
              <w:right w:val="nil"/>
            </w:tcBorders>
          </w:tcPr>
          <w:p w14:paraId="01CCA1E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226AF81A" w14:textId="1FC2A0EB"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0.043</w:t>
            </w:r>
          </w:p>
        </w:tc>
        <w:tc>
          <w:tcPr>
            <w:tcW w:w="769" w:type="pct"/>
            <w:tcBorders>
              <w:top w:val="nil"/>
              <w:left w:val="nil"/>
              <w:bottom w:val="nil"/>
              <w:right w:val="nil"/>
            </w:tcBorders>
          </w:tcPr>
          <w:p w14:paraId="7CBCBC3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98" w:type="pct"/>
            <w:tcBorders>
              <w:top w:val="nil"/>
              <w:left w:val="nil"/>
              <w:bottom w:val="nil"/>
              <w:right w:val="nil"/>
            </w:tcBorders>
          </w:tcPr>
          <w:p w14:paraId="6F8E42E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0.203</w:t>
            </w:r>
          </w:p>
        </w:tc>
        <w:tc>
          <w:tcPr>
            <w:tcW w:w="684" w:type="pct"/>
            <w:tcBorders>
              <w:top w:val="nil"/>
              <w:left w:val="nil"/>
              <w:bottom w:val="nil"/>
              <w:right w:val="nil"/>
            </w:tcBorders>
          </w:tcPr>
          <w:p w14:paraId="3FA89FF5"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12" w:type="pct"/>
            <w:tcBorders>
              <w:top w:val="nil"/>
              <w:left w:val="nil"/>
              <w:bottom w:val="nil"/>
              <w:right w:val="nil"/>
            </w:tcBorders>
          </w:tcPr>
          <w:p w14:paraId="430D5B56"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w:t>
            </w:r>
            <w:r w:rsidRPr="00FD0D8E">
              <w:rPr>
                <w:rFonts w:hint="eastAsia"/>
                <w:kern w:val="0"/>
                <w:szCs w:val="21"/>
              </w:rPr>
              <w:t>.000</w:t>
            </w:r>
          </w:p>
        </w:tc>
      </w:tr>
      <w:tr w:rsidR="006A55D9" w:rsidRPr="00FD0D8E" w14:paraId="69ED750A" w14:textId="77777777" w:rsidTr="006B1109">
        <w:trPr>
          <w:jc w:val="center"/>
        </w:trPr>
        <w:tc>
          <w:tcPr>
            <w:tcW w:w="1156" w:type="pct"/>
            <w:tcBorders>
              <w:top w:val="nil"/>
              <w:left w:val="nil"/>
              <w:bottom w:val="nil"/>
              <w:right w:val="nil"/>
            </w:tcBorders>
          </w:tcPr>
          <w:p w14:paraId="2BDB3689"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Big4</w:t>
            </w:r>
          </w:p>
        </w:tc>
        <w:tc>
          <w:tcPr>
            <w:tcW w:w="513" w:type="pct"/>
            <w:tcBorders>
              <w:top w:val="nil"/>
              <w:left w:val="nil"/>
              <w:bottom w:val="nil"/>
              <w:right w:val="nil"/>
            </w:tcBorders>
          </w:tcPr>
          <w:p w14:paraId="13C7F32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78C8AACF" w14:textId="08A40FDF"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0.062</w:t>
            </w:r>
          </w:p>
        </w:tc>
        <w:tc>
          <w:tcPr>
            <w:tcW w:w="769" w:type="pct"/>
            <w:tcBorders>
              <w:top w:val="nil"/>
              <w:left w:val="nil"/>
              <w:bottom w:val="nil"/>
              <w:right w:val="nil"/>
            </w:tcBorders>
          </w:tcPr>
          <w:p w14:paraId="454DC082"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98" w:type="pct"/>
            <w:tcBorders>
              <w:top w:val="nil"/>
              <w:left w:val="nil"/>
              <w:bottom w:val="nil"/>
              <w:right w:val="nil"/>
            </w:tcBorders>
          </w:tcPr>
          <w:p w14:paraId="52DF1810"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0.241</w:t>
            </w:r>
          </w:p>
        </w:tc>
        <w:tc>
          <w:tcPr>
            <w:tcW w:w="684" w:type="pct"/>
            <w:tcBorders>
              <w:top w:val="nil"/>
              <w:left w:val="nil"/>
              <w:bottom w:val="nil"/>
              <w:right w:val="nil"/>
            </w:tcBorders>
          </w:tcPr>
          <w:p w14:paraId="53AAF9A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12" w:type="pct"/>
            <w:tcBorders>
              <w:top w:val="nil"/>
              <w:left w:val="nil"/>
              <w:bottom w:val="nil"/>
              <w:right w:val="nil"/>
            </w:tcBorders>
          </w:tcPr>
          <w:p w14:paraId="61392FD9"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w:t>
            </w:r>
            <w:r w:rsidRPr="00FD0D8E">
              <w:rPr>
                <w:rFonts w:hint="eastAsia"/>
                <w:kern w:val="0"/>
                <w:szCs w:val="21"/>
              </w:rPr>
              <w:t>.000</w:t>
            </w:r>
          </w:p>
        </w:tc>
      </w:tr>
      <w:tr w:rsidR="006A55D9" w:rsidRPr="00FD0D8E" w14:paraId="73B21042" w14:textId="77777777" w:rsidTr="006B1109">
        <w:trPr>
          <w:jc w:val="center"/>
        </w:trPr>
        <w:tc>
          <w:tcPr>
            <w:tcW w:w="1156" w:type="pct"/>
            <w:tcBorders>
              <w:top w:val="nil"/>
              <w:left w:val="nil"/>
              <w:bottom w:val="nil"/>
              <w:right w:val="nil"/>
            </w:tcBorders>
          </w:tcPr>
          <w:p w14:paraId="55AFFF56"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Lev</w:t>
            </w:r>
          </w:p>
        </w:tc>
        <w:tc>
          <w:tcPr>
            <w:tcW w:w="513" w:type="pct"/>
            <w:tcBorders>
              <w:top w:val="nil"/>
              <w:left w:val="nil"/>
              <w:bottom w:val="nil"/>
              <w:right w:val="nil"/>
            </w:tcBorders>
          </w:tcPr>
          <w:p w14:paraId="5BE36600"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3DCCED16"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0.400</w:t>
            </w:r>
          </w:p>
        </w:tc>
        <w:tc>
          <w:tcPr>
            <w:tcW w:w="769" w:type="pct"/>
            <w:tcBorders>
              <w:top w:val="nil"/>
              <w:left w:val="nil"/>
              <w:bottom w:val="nil"/>
              <w:right w:val="nil"/>
            </w:tcBorders>
          </w:tcPr>
          <w:p w14:paraId="79B02BB9"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0.393</w:t>
            </w:r>
          </w:p>
        </w:tc>
        <w:tc>
          <w:tcPr>
            <w:tcW w:w="598" w:type="pct"/>
            <w:tcBorders>
              <w:top w:val="nil"/>
              <w:left w:val="nil"/>
              <w:bottom w:val="nil"/>
              <w:right w:val="nil"/>
            </w:tcBorders>
          </w:tcPr>
          <w:p w14:paraId="768A4407"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0.193</w:t>
            </w:r>
          </w:p>
        </w:tc>
        <w:tc>
          <w:tcPr>
            <w:tcW w:w="684" w:type="pct"/>
            <w:tcBorders>
              <w:top w:val="nil"/>
              <w:left w:val="nil"/>
              <w:bottom w:val="nil"/>
              <w:right w:val="nil"/>
            </w:tcBorders>
          </w:tcPr>
          <w:p w14:paraId="3160A912" w14:textId="5BDF1129"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0.054</w:t>
            </w:r>
          </w:p>
        </w:tc>
        <w:tc>
          <w:tcPr>
            <w:tcW w:w="512" w:type="pct"/>
            <w:tcBorders>
              <w:top w:val="nil"/>
              <w:left w:val="nil"/>
              <w:bottom w:val="nil"/>
              <w:right w:val="nil"/>
            </w:tcBorders>
          </w:tcPr>
          <w:p w14:paraId="6442DA00"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0.836</w:t>
            </w:r>
          </w:p>
        </w:tc>
      </w:tr>
      <w:tr w:rsidR="006A55D9" w:rsidRPr="00FD0D8E" w14:paraId="2A3E54DE" w14:textId="77777777" w:rsidTr="006B1109">
        <w:trPr>
          <w:jc w:val="center"/>
        </w:trPr>
        <w:tc>
          <w:tcPr>
            <w:tcW w:w="1156" w:type="pct"/>
            <w:tcBorders>
              <w:top w:val="nil"/>
              <w:left w:val="nil"/>
              <w:bottom w:val="nil"/>
              <w:right w:val="nil"/>
            </w:tcBorders>
          </w:tcPr>
          <w:p w14:paraId="1126A126"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FTA</w:t>
            </w:r>
          </w:p>
        </w:tc>
        <w:tc>
          <w:tcPr>
            <w:tcW w:w="513" w:type="pct"/>
            <w:tcBorders>
              <w:top w:val="nil"/>
              <w:left w:val="nil"/>
              <w:bottom w:val="nil"/>
              <w:right w:val="nil"/>
            </w:tcBorders>
          </w:tcPr>
          <w:p w14:paraId="1200FB4F"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4AB5CAA2"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0.208</w:t>
            </w:r>
          </w:p>
        </w:tc>
        <w:tc>
          <w:tcPr>
            <w:tcW w:w="769" w:type="pct"/>
            <w:tcBorders>
              <w:top w:val="nil"/>
              <w:left w:val="nil"/>
              <w:bottom w:val="nil"/>
              <w:right w:val="nil"/>
            </w:tcBorders>
          </w:tcPr>
          <w:p w14:paraId="3B2B86E3"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0.180</w:t>
            </w:r>
          </w:p>
        </w:tc>
        <w:tc>
          <w:tcPr>
            <w:tcW w:w="598" w:type="pct"/>
            <w:tcBorders>
              <w:top w:val="nil"/>
              <w:left w:val="nil"/>
              <w:bottom w:val="nil"/>
              <w:right w:val="nil"/>
            </w:tcBorders>
          </w:tcPr>
          <w:p w14:paraId="0FE28AB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0.151</w:t>
            </w:r>
          </w:p>
        </w:tc>
        <w:tc>
          <w:tcPr>
            <w:tcW w:w="684" w:type="pct"/>
            <w:tcBorders>
              <w:top w:val="nil"/>
              <w:left w:val="nil"/>
              <w:bottom w:val="nil"/>
              <w:right w:val="nil"/>
            </w:tcBorders>
          </w:tcPr>
          <w:p w14:paraId="00F100BA" w14:textId="4845C57D"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0.003</w:t>
            </w:r>
          </w:p>
        </w:tc>
        <w:tc>
          <w:tcPr>
            <w:tcW w:w="512" w:type="pct"/>
            <w:tcBorders>
              <w:top w:val="nil"/>
              <w:left w:val="nil"/>
              <w:bottom w:val="nil"/>
              <w:right w:val="nil"/>
            </w:tcBorders>
          </w:tcPr>
          <w:p w14:paraId="38B59C6A"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0.708</w:t>
            </w:r>
          </w:p>
        </w:tc>
      </w:tr>
      <w:tr w:rsidR="006A55D9" w:rsidRPr="00FD0D8E" w14:paraId="534B7232" w14:textId="77777777" w:rsidTr="006B1109">
        <w:trPr>
          <w:jc w:val="center"/>
        </w:trPr>
        <w:tc>
          <w:tcPr>
            <w:tcW w:w="1156" w:type="pct"/>
            <w:tcBorders>
              <w:top w:val="nil"/>
              <w:left w:val="nil"/>
              <w:bottom w:val="nil"/>
              <w:right w:val="nil"/>
            </w:tcBorders>
          </w:tcPr>
          <w:p w14:paraId="344A9D18"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Cash</w:t>
            </w:r>
          </w:p>
        </w:tc>
        <w:tc>
          <w:tcPr>
            <w:tcW w:w="513" w:type="pct"/>
            <w:tcBorders>
              <w:top w:val="nil"/>
              <w:left w:val="nil"/>
              <w:bottom w:val="nil"/>
              <w:right w:val="nil"/>
            </w:tcBorders>
          </w:tcPr>
          <w:p w14:paraId="2D797065"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26D9A1E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0.168</w:t>
            </w:r>
          </w:p>
        </w:tc>
        <w:tc>
          <w:tcPr>
            <w:tcW w:w="769" w:type="pct"/>
            <w:tcBorders>
              <w:top w:val="nil"/>
              <w:left w:val="nil"/>
              <w:bottom w:val="nil"/>
              <w:right w:val="nil"/>
            </w:tcBorders>
          </w:tcPr>
          <w:p w14:paraId="06248172"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0.132</w:t>
            </w:r>
          </w:p>
        </w:tc>
        <w:tc>
          <w:tcPr>
            <w:tcW w:w="598" w:type="pct"/>
            <w:tcBorders>
              <w:top w:val="nil"/>
              <w:left w:val="nil"/>
              <w:bottom w:val="nil"/>
              <w:right w:val="nil"/>
            </w:tcBorders>
          </w:tcPr>
          <w:p w14:paraId="4186AF2E"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0.126</w:t>
            </w:r>
          </w:p>
        </w:tc>
        <w:tc>
          <w:tcPr>
            <w:tcW w:w="684" w:type="pct"/>
            <w:tcBorders>
              <w:top w:val="nil"/>
              <w:left w:val="nil"/>
              <w:bottom w:val="nil"/>
              <w:right w:val="nil"/>
            </w:tcBorders>
          </w:tcPr>
          <w:p w14:paraId="66FB5D76" w14:textId="23AEF76D"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0.013</w:t>
            </w:r>
          </w:p>
        </w:tc>
        <w:tc>
          <w:tcPr>
            <w:tcW w:w="512" w:type="pct"/>
            <w:tcBorders>
              <w:top w:val="nil"/>
              <w:left w:val="nil"/>
              <w:bottom w:val="nil"/>
              <w:right w:val="nil"/>
            </w:tcBorders>
          </w:tcPr>
          <w:p w14:paraId="543D6B55"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0.607</w:t>
            </w:r>
          </w:p>
        </w:tc>
      </w:tr>
      <w:tr w:rsidR="006A55D9" w:rsidRPr="00FD0D8E" w14:paraId="37BCDCA5" w14:textId="77777777" w:rsidTr="006B1109">
        <w:trPr>
          <w:jc w:val="center"/>
        </w:trPr>
        <w:tc>
          <w:tcPr>
            <w:tcW w:w="1156" w:type="pct"/>
            <w:tcBorders>
              <w:top w:val="nil"/>
              <w:left w:val="nil"/>
              <w:bottom w:val="nil"/>
              <w:right w:val="nil"/>
            </w:tcBorders>
          </w:tcPr>
          <w:p w14:paraId="1068CB99"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Volatility</w:t>
            </w:r>
          </w:p>
        </w:tc>
        <w:tc>
          <w:tcPr>
            <w:tcW w:w="513" w:type="pct"/>
            <w:tcBorders>
              <w:top w:val="nil"/>
              <w:left w:val="nil"/>
              <w:bottom w:val="nil"/>
              <w:right w:val="nil"/>
            </w:tcBorders>
          </w:tcPr>
          <w:p w14:paraId="1F57617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76438EA9"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0.293</w:t>
            </w:r>
          </w:p>
        </w:tc>
        <w:tc>
          <w:tcPr>
            <w:tcW w:w="769" w:type="pct"/>
            <w:tcBorders>
              <w:top w:val="nil"/>
              <w:left w:val="nil"/>
              <w:bottom w:val="nil"/>
              <w:right w:val="nil"/>
            </w:tcBorders>
          </w:tcPr>
          <w:p w14:paraId="18C4E79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0.279</w:t>
            </w:r>
          </w:p>
        </w:tc>
        <w:tc>
          <w:tcPr>
            <w:tcW w:w="598" w:type="pct"/>
            <w:tcBorders>
              <w:top w:val="nil"/>
              <w:left w:val="nil"/>
              <w:bottom w:val="nil"/>
              <w:right w:val="nil"/>
            </w:tcBorders>
          </w:tcPr>
          <w:p w14:paraId="54F4C7BF" w14:textId="6BF7FCED"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0.091</w:t>
            </w:r>
          </w:p>
        </w:tc>
        <w:tc>
          <w:tcPr>
            <w:tcW w:w="684" w:type="pct"/>
            <w:tcBorders>
              <w:top w:val="nil"/>
              <w:left w:val="nil"/>
              <w:bottom w:val="nil"/>
              <w:right w:val="nil"/>
            </w:tcBorders>
          </w:tcPr>
          <w:p w14:paraId="4D9FBFF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0.133</w:t>
            </w:r>
          </w:p>
        </w:tc>
        <w:tc>
          <w:tcPr>
            <w:tcW w:w="512" w:type="pct"/>
            <w:tcBorders>
              <w:top w:val="nil"/>
              <w:left w:val="nil"/>
              <w:bottom w:val="nil"/>
              <w:right w:val="nil"/>
            </w:tcBorders>
          </w:tcPr>
          <w:p w14:paraId="0493DE1E"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0.591</w:t>
            </w:r>
          </w:p>
        </w:tc>
      </w:tr>
      <w:tr w:rsidR="006A55D9" w:rsidRPr="00FD0D8E" w14:paraId="186F0347" w14:textId="77777777" w:rsidTr="006B1109">
        <w:trPr>
          <w:jc w:val="center"/>
        </w:trPr>
        <w:tc>
          <w:tcPr>
            <w:tcW w:w="1156" w:type="pct"/>
            <w:tcBorders>
              <w:top w:val="nil"/>
              <w:left w:val="nil"/>
              <w:bottom w:val="nil"/>
              <w:right w:val="nil"/>
            </w:tcBorders>
          </w:tcPr>
          <w:p w14:paraId="6369852C"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PB</w:t>
            </w:r>
          </w:p>
        </w:tc>
        <w:tc>
          <w:tcPr>
            <w:tcW w:w="513" w:type="pct"/>
            <w:tcBorders>
              <w:top w:val="nil"/>
              <w:left w:val="nil"/>
              <w:bottom w:val="nil"/>
              <w:right w:val="nil"/>
            </w:tcBorders>
          </w:tcPr>
          <w:p w14:paraId="6226E40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09065109"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3.460</w:t>
            </w:r>
          </w:p>
        </w:tc>
        <w:tc>
          <w:tcPr>
            <w:tcW w:w="769" w:type="pct"/>
            <w:tcBorders>
              <w:top w:val="nil"/>
              <w:left w:val="nil"/>
              <w:bottom w:val="nil"/>
              <w:right w:val="nil"/>
            </w:tcBorders>
          </w:tcPr>
          <w:p w14:paraId="525F891B"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2.722</w:t>
            </w:r>
          </w:p>
        </w:tc>
        <w:tc>
          <w:tcPr>
            <w:tcW w:w="598" w:type="pct"/>
            <w:tcBorders>
              <w:top w:val="nil"/>
              <w:left w:val="nil"/>
              <w:bottom w:val="nil"/>
              <w:right w:val="nil"/>
            </w:tcBorders>
          </w:tcPr>
          <w:p w14:paraId="361BAB8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2.542</w:t>
            </w:r>
          </w:p>
        </w:tc>
        <w:tc>
          <w:tcPr>
            <w:tcW w:w="684" w:type="pct"/>
            <w:tcBorders>
              <w:top w:val="nil"/>
              <w:left w:val="nil"/>
              <w:bottom w:val="nil"/>
              <w:right w:val="nil"/>
            </w:tcBorders>
          </w:tcPr>
          <w:p w14:paraId="5E90F26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0.609</w:t>
            </w:r>
          </w:p>
        </w:tc>
        <w:tc>
          <w:tcPr>
            <w:tcW w:w="512" w:type="pct"/>
            <w:tcBorders>
              <w:top w:val="nil"/>
              <w:left w:val="nil"/>
              <w:bottom w:val="nil"/>
              <w:right w:val="nil"/>
            </w:tcBorders>
          </w:tcPr>
          <w:p w14:paraId="79B10DE5"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14.29</w:t>
            </w:r>
          </w:p>
        </w:tc>
      </w:tr>
      <w:tr w:rsidR="006A55D9" w:rsidRPr="00FD0D8E" w14:paraId="5B15C4F6" w14:textId="77777777" w:rsidTr="006B1109">
        <w:trPr>
          <w:jc w:val="center"/>
        </w:trPr>
        <w:tc>
          <w:tcPr>
            <w:tcW w:w="1156" w:type="pct"/>
            <w:tcBorders>
              <w:top w:val="nil"/>
              <w:left w:val="nil"/>
              <w:bottom w:val="nil"/>
              <w:right w:val="nil"/>
            </w:tcBorders>
          </w:tcPr>
          <w:p w14:paraId="75DD82A5" w14:textId="77777777" w:rsidR="002A4081" w:rsidRPr="00FD0D8E" w:rsidRDefault="002A4081" w:rsidP="00C74EB6">
            <w:pPr>
              <w:autoSpaceDE w:val="0"/>
              <w:autoSpaceDN w:val="0"/>
              <w:adjustRightInd w:val="0"/>
              <w:spacing w:line="276" w:lineRule="auto"/>
              <w:rPr>
                <w:kern w:val="0"/>
                <w:szCs w:val="21"/>
              </w:rPr>
            </w:pPr>
            <w:proofErr w:type="spellStart"/>
            <w:r w:rsidRPr="00FD0D8E">
              <w:rPr>
                <w:kern w:val="0"/>
                <w:szCs w:val="21"/>
              </w:rPr>
              <w:t>GrowthRev</w:t>
            </w:r>
            <w:proofErr w:type="spellEnd"/>
          </w:p>
        </w:tc>
        <w:tc>
          <w:tcPr>
            <w:tcW w:w="513" w:type="pct"/>
            <w:tcBorders>
              <w:top w:val="nil"/>
              <w:left w:val="nil"/>
              <w:bottom w:val="nil"/>
              <w:right w:val="nil"/>
            </w:tcBorders>
          </w:tcPr>
          <w:p w14:paraId="4DE9FB90"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24649476"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0.178</w:t>
            </w:r>
          </w:p>
        </w:tc>
        <w:tc>
          <w:tcPr>
            <w:tcW w:w="769" w:type="pct"/>
            <w:tcBorders>
              <w:top w:val="nil"/>
              <w:left w:val="nil"/>
              <w:bottom w:val="nil"/>
              <w:right w:val="nil"/>
            </w:tcBorders>
          </w:tcPr>
          <w:p w14:paraId="41A041D8"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0.125</w:t>
            </w:r>
          </w:p>
        </w:tc>
        <w:tc>
          <w:tcPr>
            <w:tcW w:w="598" w:type="pct"/>
            <w:tcBorders>
              <w:top w:val="nil"/>
              <w:left w:val="nil"/>
              <w:bottom w:val="nil"/>
              <w:right w:val="nil"/>
            </w:tcBorders>
          </w:tcPr>
          <w:p w14:paraId="3C0AC02E"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0.334</w:t>
            </w:r>
          </w:p>
        </w:tc>
        <w:tc>
          <w:tcPr>
            <w:tcW w:w="684" w:type="pct"/>
            <w:tcBorders>
              <w:top w:val="nil"/>
              <w:left w:val="nil"/>
              <w:bottom w:val="nil"/>
              <w:right w:val="nil"/>
            </w:tcBorders>
          </w:tcPr>
          <w:p w14:paraId="037B6DD8"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-0.479</w:t>
            </w:r>
          </w:p>
        </w:tc>
        <w:tc>
          <w:tcPr>
            <w:tcW w:w="512" w:type="pct"/>
            <w:tcBorders>
              <w:top w:val="nil"/>
              <w:left w:val="nil"/>
              <w:bottom w:val="nil"/>
              <w:right w:val="nil"/>
            </w:tcBorders>
          </w:tcPr>
          <w:p w14:paraId="3131B5B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1.860</w:t>
            </w:r>
          </w:p>
        </w:tc>
      </w:tr>
      <w:tr w:rsidR="006A55D9" w:rsidRPr="00FD0D8E" w14:paraId="4C67814C" w14:textId="77777777" w:rsidTr="006B1109">
        <w:trPr>
          <w:jc w:val="center"/>
        </w:trPr>
        <w:tc>
          <w:tcPr>
            <w:tcW w:w="1156" w:type="pct"/>
            <w:tcBorders>
              <w:top w:val="nil"/>
              <w:left w:val="nil"/>
              <w:bottom w:val="nil"/>
              <w:right w:val="nil"/>
            </w:tcBorders>
          </w:tcPr>
          <w:p w14:paraId="6D31FF22"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ROA</w:t>
            </w:r>
          </w:p>
        </w:tc>
        <w:tc>
          <w:tcPr>
            <w:tcW w:w="513" w:type="pct"/>
            <w:tcBorders>
              <w:top w:val="nil"/>
              <w:left w:val="nil"/>
              <w:bottom w:val="nil"/>
              <w:right w:val="nil"/>
            </w:tcBorders>
          </w:tcPr>
          <w:p w14:paraId="3215BF87"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07616168" w14:textId="5E70883A"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0.044</w:t>
            </w:r>
          </w:p>
        </w:tc>
        <w:tc>
          <w:tcPr>
            <w:tcW w:w="769" w:type="pct"/>
            <w:tcBorders>
              <w:top w:val="nil"/>
              <w:left w:val="nil"/>
              <w:bottom w:val="nil"/>
              <w:right w:val="nil"/>
            </w:tcBorders>
          </w:tcPr>
          <w:p w14:paraId="3DE29192" w14:textId="1E2711B5"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0.042</w:t>
            </w:r>
          </w:p>
        </w:tc>
        <w:tc>
          <w:tcPr>
            <w:tcW w:w="598" w:type="pct"/>
            <w:tcBorders>
              <w:top w:val="nil"/>
              <w:left w:val="nil"/>
              <w:bottom w:val="nil"/>
              <w:right w:val="nil"/>
            </w:tcBorders>
          </w:tcPr>
          <w:p w14:paraId="37F7701F" w14:textId="37B62294"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0.053</w:t>
            </w:r>
          </w:p>
        </w:tc>
        <w:tc>
          <w:tcPr>
            <w:tcW w:w="684" w:type="pct"/>
            <w:tcBorders>
              <w:top w:val="nil"/>
              <w:left w:val="nil"/>
              <w:bottom w:val="nil"/>
              <w:right w:val="nil"/>
            </w:tcBorders>
          </w:tcPr>
          <w:p w14:paraId="2A952630"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-0.172</w:t>
            </w:r>
          </w:p>
        </w:tc>
        <w:tc>
          <w:tcPr>
            <w:tcW w:w="512" w:type="pct"/>
            <w:tcBorders>
              <w:top w:val="nil"/>
              <w:left w:val="nil"/>
              <w:bottom w:val="nil"/>
              <w:right w:val="nil"/>
            </w:tcBorders>
          </w:tcPr>
          <w:p w14:paraId="36E6B982"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0.195</w:t>
            </w:r>
          </w:p>
        </w:tc>
      </w:tr>
      <w:tr w:rsidR="006A55D9" w:rsidRPr="00FD0D8E" w14:paraId="441AEAC5" w14:textId="77777777" w:rsidTr="006B1109">
        <w:trPr>
          <w:jc w:val="center"/>
        </w:trPr>
        <w:tc>
          <w:tcPr>
            <w:tcW w:w="1156" w:type="pct"/>
            <w:tcBorders>
              <w:top w:val="nil"/>
              <w:left w:val="nil"/>
              <w:bottom w:val="nil"/>
              <w:right w:val="nil"/>
            </w:tcBorders>
          </w:tcPr>
          <w:p w14:paraId="39D82EFB"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Penalty</w:t>
            </w:r>
          </w:p>
        </w:tc>
        <w:tc>
          <w:tcPr>
            <w:tcW w:w="513" w:type="pct"/>
            <w:tcBorders>
              <w:top w:val="nil"/>
              <w:left w:val="nil"/>
              <w:bottom w:val="nil"/>
              <w:right w:val="nil"/>
            </w:tcBorders>
          </w:tcPr>
          <w:p w14:paraId="358F1C0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4E328E35" w14:textId="19018FD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0.053</w:t>
            </w:r>
          </w:p>
        </w:tc>
        <w:tc>
          <w:tcPr>
            <w:tcW w:w="769" w:type="pct"/>
            <w:tcBorders>
              <w:top w:val="nil"/>
              <w:left w:val="nil"/>
              <w:bottom w:val="nil"/>
              <w:right w:val="nil"/>
            </w:tcBorders>
          </w:tcPr>
          <w:p w14:paraId="04866F68"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98" w:type="pct"/>
            <w:tcBorders>
              <w:top w:val="nil"/>
              <w:left w:val="nil"/>
              <w:bottom w:val="nil"/>
              <w:right w:val="nil"/>
            </w:tcBorders>
          </w:tcPr>
          <w:p w14:paraId="346CAEB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0.225</w:t>
            </w:r>
          </w:p>
        </w:tc>
        <w:tc>
          <w:tcPr>
            <w:tcW w:w="684" w:type="pct"/>
            <w:tcBorders>
              <w:top w:val="nil"/>
              <w:left w:val="nil"/>
              <w:bottom w:val="nil"/>
              <w:right w:val="nil"/>
            </w:tcBorders>
          </w:tcPr>
          <w:p w14:paraId="487681D6"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12" w:type="pct"/>
            <w:tcBorders>
              <w:top w:val="nil"/>
              <w:left w:val="nil"/>
              <w:bottom w:val="nil"/>
              <w:right w:val="nil"/>
            </w:tcBorders>
          </w:tcPr>
          <w:p w14:paraId="055FB7CD"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w:t>
            </w:r>
            <w:r w:rsidRPr="00FD0D8E">
              <w:rPr>
                <w:rFonts w:hint="eastAsia"/>
                <w:kern w:val="0"/>
                <w:szCs w:val="21"/>
              </w:rPr>
              <w:t>.000</w:t>
            </w:r>
          </w:p>
        </w:tc>
      </w:tr>
      <w:tr w:rsidR="006A55D9" w:rsidRPr="00FD0D8E" w14:paraId="76163CD3" w14:textId="77777777" w:rsidTr="006B1109">
        <w:trPr>
          <w:jc w:val="center"/>
        </w:trPr>
        <w:tc>
          <w:tcPr>
            <w:tcW w:w="1156" w:type="pct"/>
            <w:tcBorders>
              <w:top w:val="nil"/>
              <w:left w:val="nil"/>
              <w:bottom w:val="nil"/>
              <w:right w:val="nil"/>
            </w:tcBorders>
          </w:tcPr>
          <w:p w14:paraId="57AD635A" w14:textId="77777777" w:rsidR="002A4081" w:rsidRPr="00FD0D8E" w:rsidRDefault="002A4081" w:rsidP="00C74EB6">
            <w:pPr>
              <w:autoSpaceDE w:val="0"/>
              <w:autoSpaceDN w:val="0"/>
              <w:adjustRightInd w:val="0"/>
              <w:spacing w:line="276" w:lineRule="auto"/>
              <w:rPr>
                <w:kern w:val="0"/>
                <w:szCs w:val="21"/>
              </w:rPr>
            </w:pPr>
            <w:proofErr w:type="spellStart"/>
            <w:r w:rsidRPr="00FD0D8E">
              <w:rPr>
                <w:kern w:val="0"/>
                <w:szCs w:val="21"/>
              </w:rPr>
              <w:t>IndepR</w:t>
            </w:r>
            <w:proofErr w:type="spellEnd"/>
          </w:p>
        </w:tc>
        <w:tc>
          <w:tcPr>
            <w:tcW w:w="513" w:type="pct"/>
            <w:tcBorders>
              <w:top w:val="nil"/>
              <w:left w:val="nil"/>
              <w:bottom w:val="nil"/>
              <w:right w:val="nil"/>
            </w:tcBorders>
          </w:tcPr>
          <w:p w14:paraId="31C96118"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159E90B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0.380</w:t>
            </w:r>
          </w:p>
        </w:tc>
        <w:tc>
          <w:tcPr>
            <w:tcW w:w="769" w:type="pct"/>
            <w:tcBorders>
              <w:top w:val="nil"/>
              <w:left w:val="nil"/>
              <w:bottom w:val="nil"/>
              <w:right w:val="nil"/>
            </w:tcBorders>
          </w:tcPr>
          <w:p w14:paraId="7F2187E6"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0.364</w:t>
            </w:r>
          </w:p>
        </w:tc>
        <w:tc>
          <w:tcPr>
            <w:tcW w:w="598" w:type="pct"/>
            <w:tcBorders>
              <w:top w:val="nil"/>
              <w:left w:val="nil"/>
              <w:bottom w:val="nil"/>
              <w:right w:val="nil"/>
            </w:tcBorders>
          </w:tcPr>
          <w:p w14:paraId="44678C33" w14:textId="61595D42"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0.064</w:t>
            </w:r>
          </w:p>
        </w:tc>
        <w:tc>
          <w:tcPr>
            <w:tcW w:w="684" w:type="pct"/>
            <w:tcBorders>
              <w:top w:val="nil"/>
              <w:left w:val="nil"/>
              <w:bottom w:val="nil"/>
              <w:right w:val="nil"/>
            </w:tcBorders>
          </w:tcPr>
          <w:p w14:paraId="537A4DED"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0.250</w:t>
            </w:r>
          </w:p>
        </w:tc>
        <w:tc>
          <w:tcPr>
            <w:tcW w:w="512" w:type="pct"/>
            <w:tcBorders>
              <w:top w:val="nil"/>
              <w:left w:val="nil"/>
              <w:bottom w:val="nil"/>
              <w:right w:val="nil"/>
            </w:tcBorders>
          </w:tcPr>
          <w:p w14:paraId="160C6F4B"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0.571</w:t>
            </w:r>
          </w:p>
        </w:tc>
      </w:tr>
      <w:tr w:rsidR="006A55D9" w:rsidRPr="00FD0D8E" w14:paraId="7A886395" w14:textId="77777777" w:rsidTr="006B1109">
        <w:trPr>
          <w:jc w:val="center"/>
        </w:trPr>
        <w:tc>
          <w:tcPr>
            <w:tcW w:w="1156" w:type="pct"/>
            <w:tcBorders>
              <w:top w:val="nil"/>
              <w:left w:val="nil"/>
              <w:bottom w:val="nil"/>
              <w:right w:val="nil"/>
            </w:tcBorders>
          </w:tcPr>
          <w:p w14:paraId="4E286DC7" w14:textId="77777777" w:rsidR="002A4081" w:rsidRPr="00FD0D8E" w:rsidRDefault="002A4081" w:rsidP="00C74EB6">
            <w:pPr>
              <w:autoSpaceDE w:val="0"/>
              <w:autoSpaceDN w:val="0"/>
              <w:adjustRightInd w:val="0"/>
              <w:spacing w:line="276" w:lineRule="auto"/>
              <w:rPr>
                <w:kern w:val="0"/>
                <w:szCs w:val="21"/>
              </w:rPr>
            </w:pPr>
            <w:proofErr w:type="spellStart"/>
            <w:r w:rsidRPr="00FD0D8E">
              <w:rPr>
                <w:kern w:val="0"/>
                <w:szCs w:val="21"/>
              </w:rPr>
              <w:t>DSize</w:t>
            </w:r>
            <w:proofErr w:type="spellEnd"/>
          </w:p>
        </w:tc>
        <w:tc>
          <w:tcPr>
            <w:tcW w:w="513" w:type="pct"/>
            <w:tcBorders>
              <w:top w:val="nil"/>
              <w:left w:val="nil"/>
              <w:bottom w:val="nil"/>
              <w:right w:val="nil"/>
            </w:tcBorders>
          </w:tcPr>
          <w:p w14:paraId="00084057"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5799034D"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9.282</w:t>
            </w:r>
          </w:p>
        </w:tc>
        <w:tc>
          <w:tcPr>
            <w:tcW w:w="769" w:type="pct"/>
            <w:tcBorders>
              <w:top w:val="nil"/>
              <w:left w:val="nil"/>
              <w:bottom w:val="nil"/>
              <w:right w:val="nil"/>
            </w:tcBorders>
          </w:tcPr>
          <w:p w14:paraId="24207592"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9</w:t>
            </w:r>
            <w:r w:rsidRPr="00FD0D8E">
              <w:rPr>
                <w:rFonts w:hint="eastAsia"/>
                <w:kern w:val="0"/>
                <w:szCs w:val="21"/>
              </w:rPr>
              <w:t>.000</w:t>
            </w:r>
          </w:p>
        </w:tc>
        <w:tc>
          <w:tcPr>
            <w:tcW w:w="598" w:type="pct"/>
            <w:tcBorders>
              <w:top w:val="nil"/>
              <w:left w:val="nil"/>
              <w:bottom w:val="nil"/>
              <w:right w:val="nil"/>
            </w:tcBorders>
          </w:tcPr>
          <w:p w14:paraId="0C4B25ED"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2.312</w:t>
            </w:r>
          </w:p>
        </w:tc>
        <w:tc>
          <w:tcPr>
            <w:tcW w:w="684" w:type="pct"/>
            <w:tcBorders>
              <w:top w:val="nil"/>
              <w:left w:val="nil"/>
              <w:bottom w:val="nil"/>
              <w:right w:val="nil"/>
            </w:tcBorders>
          </w:tcPr>
          <w:p w14:paraId="39FABE4E"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4</w:t>
            </w:r>
            <w:r w:rsidRPr="00FD0D8E">
              <w:rPr>
                <w:rFonts w:hint="eastAsia"/>
                <w:kern w:val="0"/>
                <w:szCs w:val="21"/>
              </w:rPr>
              <w:t>.000</w:t>
            </w:r>
          </w:p>
        </w:tc>
        <w:tc>
          <w:tcPr>
            <w:tcW w:w="512" w:type="pct"/>
            <w:tcBorders>
              <w:top w:val="nil"/>
              <w:left w:val="nil"/>
              <w:bottom w:val="nil"/>
              <w:right w:val="nil"/>
            </w:tcBorders>
          </w:tcPr>
          <w:p w14:paraId="63637B9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26</w:t>
            </w:r>
            <w:r w:rsidRPr="00FD0D8E">
              <w:rPr>
                <w:rFonts w:hint="eastAsia"/>
                <w:kern w:val="0"/>
                <w:szCs w:val="21"/>
              </w:rPr>
              <w:t>.00</w:t>
            </w:r>
          </w:p>
        </w:tc>
      </w:tr>
      <w:tr w:rsidR="006A55D9" w:rsidRPr="00FD0D8E" w14:paraId="2C0BC72C" w14:textId="77777777" w:rsidTr="006B1109">
        <w:trPr>
          <w:jc w:val="center"/>
        </w:trPr>
        <w:tc>
          <w:tcPr>
            <w:tcW w:w="1156" w:type="pct"/>
            <w:tcBorders>
              <w:top w:val="nil"/>
              <w:left w:val="nil"/>
              <w:bottom w:val="nil"/>
              <w:right w:val="nil"/>
            </w:tcBorders>
          </w:tcPr>
          <w:p w14:paraId="5D613946"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Duality</w:t>
            </w:r>
          </w:p>
        </w:tc>
        <w:tc>
          <w:tcPr>
            <w:tcW w:w="513" w:type="pct"/>
            <w:tcBorders>
              <w:top w:val="nil"/>
              <w:left w:val="nil"/>
              <w:bottom w:val="nil"/>
              <w:right w:val="nil"/>
            </w:tcBorders>
          </w:tcPr>
          <w:p w14:paraId="75DF0CDD"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08FD83B5"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0.294</w:t>
            </w:r>
          </w:p>
        </w:tc>
        <w:tc>
          <w:tcPr>
            <w:tcW w:w="769" w:type="pct"/>
            <w:tcBorders>
              <w:top w:val="nil"/>
              <w:left w:val="nil"/>
              <w:bottom w:val="nil"/>
              <w:right w:val="nil"/>
            </w:tcBorders>
          </w:tcPr>
          <w:p w14:paraId="00B26F5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98" w:type="pct"/>
            <w:tcBorders>
              <w:top w:val="nil"/>
              <w:left w:val="nil"/>
              <w:bottom w:val="nil"/>
              <w:right w:val="nil"/>
            </w:tcBorders>
          </w:tcPr>
          <w:p w14:paraId="5865A24F"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0.455</w:t>
            </w:r>
          </w:p>
        </w:tc>
        <w:tc>
          <w:tcPr>
            <w:tcW w:w="684" w:type="pct"/>
            <w:tcBorders>
              <w:top w:val="nil"/>
              <w:left w:val="nil"/>
              <w:bottom w:val="nil"/>
              <w:right w:val="nil"/>
            </w:tcBorders>
          </w:tcPr>
          <w:p w14:paraId="4E10A4C4"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12" w:type="pct"/>
            <w:tcBorders>
              <w:top w:val="nil"/>
              <w:left w:val="nil"/>
              <w:bottom w:val="nil"/>
              <w:right w:val="nil"/>
            </w:tcBorders>
          </w:tcPr>
          <w:p w14:paraId="6F8DC00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w:t>
            </w:r>
            <w:r w:rsidRPr="00FD0D8E">
              <w:rPr>
                <w:rFonts w:hint="eastAsia"/>
                <w:kern w:val="0"/>
                <w:szCs w:val="21"/>
              </w:rPr>
              <w:t>.000</w:t>
            </w:r>
          </w:p>
        </w:tc>
      </w:tr>
      <w:tr w:rsidR="006A55D9" w:rsidRPr="00FD0D8E" w14:paraId="036E0054" w14:textId="77777777" w:rsidTr="006B1109">
        <w:trPr>
          <w:jc w:val="center"/>
        </w:trPr>
        <w:tc>
          <w:tcPr>
            <w:tcW w:w="1156" w:type="pct"/>
            <w:tcBorders>
              <w:top w:val="nil"/>
              <w:left w:val="nil"/>
              <w:bottom w:val="nil"/>
              <w:right w:val="nil"/>
            </w:tcBorders>
          </w:tcPr>
          <w:p w14:paraId="5AE4B089"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DOSR</w:t>
            </w:r>
          </w:p>
        </w:tc>
        <w:tc>
          <w:tcPr>
            <w:tcW w:w="513" w:type="pct"/>
            <w:tcBorders>
              <w:top w:val="nil"/>
              <w:left w:val="nil"/>
              <w:bottom w:val="nil"/>
              <w:right w:val="nil"/>
            </w:tcBorders>
          </w:tcPr>
          <w:p w14:paraId="12555189"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nil"/>
              <w:right w:val="nil"/>
            </w:tcBorders>
          </w:tcPr>
          <w:p w14:paraId="6E25BF78"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0.153</w:t>
            </w:r>
          </w:p>
        </w:tc>
        <w:tc>
          <w:tcPr>
            <w:tcW w:w="769" w:type="pct"/>
            <w:tcBorders>
              <w:top w:val="nil"/>
              <w:left w:val="nil"/>
              <w:bottom w:val="nil"/>
              <w:right w:val="nil"/>
            </w:tcBorders>
          </w:tcPr>
          <w:p w14:paraId="392F6278" w14:textId="5725C12C"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0.019</w:t>
            </w:r>
          </w:p>
        </w:tc>
        <w:tc>
          <w:tcPr>
            <w:tcW w:w="598" w:type="pct"/>
            <w:tcBorders>
              <w:top w:val="nil"/>
              <w:left w:val="nil"/>
              <w:bottom w:val="nil"/>
              <w:right w:val="nil"/>
            </w:tcBorders>
          </w:tcPr>
          <w:p w14:paraId="69E1637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0.204</w:t>
            </w:r>
          </w:p>
        </w:tc>
        <w:tc>
          <w:tcPr>
            <w:tcW w:w="684" w:type="pct"/>
            <w:tcBorders>
              <w:top w:val="nil"/>
              <w:left w:val="nil"/>
              <w:bottom w:val="nil"/>
              <w:right w:val="nil"/>
            </w:tcBorders>
          </w:tcPr>
          <w:p w14:paraId="06B0DBB1"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12" w:type="pct"/>
            <w:tcBorders>
              <w:top w:val="nil"/>
              <w:left w:val="nil"/>
              <w:bottom w:val="nil"/>
              <w:right w:val="nil"/>
            </w:tcBorders>
          </w:tcPr>
          <w:p w14:paraId="49E8CF85"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0.677</w:t>
            </w:r>
          </w:p>
        </w:tc>
      </w:tr>
      <w:tr w:rsidR="006A55D9" w:rsidRPr="00FD0D8E" w14:paraId="1C1168A2" w14:textId="77777777" w:rsidTr="006B1109">
        <w:trPr>
          <w:jc w:val="center"/>
        </w:trPr>
        <w:tc>
          <w:tcPr>
            <w:tcW w:w="1156" w:type="pct"/>
            <w:tcBorders>
              <w:top w:val="nil"/>
              <w:left w:val="nil"/>
              <w:right w:val="nil"/>
            </w:tcBorders>
          </w:tcPr>
          <w:p w14:paraId="2E0F5648"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Size</w:t>
            </w:r>
          </w:p>
        </w:tc>
        <w:tc>
          <w:tcPr>
            <w:tcW w:w="513" w:type="pct"/>
            <w:tcBorders>
              <w:top w:val="nil"/>
              <w:left w:val="nil"/>
              <w:right w:val="nil"/>
            </w:tcBorders>
          </w:tcPr>
          <w:p w14:paraId="1D6DD1BD"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right w:val="nil"/>
            </w:tcBorders>
          </w:tcPr>
          <w:p w14:paraId="19140160" w14:textId="6425ABB7" w:rsidR="002A4081" w:rsidRPr="00FD0D8E" w:rsidRDefault="006A55D9" w:rsidP="00C74EB6">
            <w:pPr>
              <w:autoSpaceDE w:val="0"/>
              <w:autoSpaceDN w:val="0"/>
              <w:adjustRightInd w:val="0"/>
              <w:spacing w:line="276" w:lineRule="auto"/>
              <w:jc w:val="center"/>
              <w:rPr>
                <w:kern w:val="0"/>
                <w:szCs w:val="21"/>
              </w:rPr>
            </w:pPr>
            <w:r w:rsidRPr="00FD0D8E">
              <w:rPr>
                <w:rFonts w:hint="eastAsia"/>
                <w:kern w:val="0"/>
                <w:szCs w:val="21"/>
              </w:rPr>
              <w:t>8.354</w:t>
            </w:r>
          </w:p>
        </w:tc>
        <w:tc>
          <w:tcPr>
            <w:tcW w:w="769" w:type="pct"/>
            <w:tcBorders>
              <w:top w:val="nil"/>
              <w:left w:val="nil"/>
              <w:right w:val="nil"/>
            </w:tcBorders>
          </w:tcPr>
          <w:p w14:paraId="2F857ED1" w14:textId="109E6B9F" w:rsidR="002A4081" w:rsidRPr="00FD0D8E" w:rsidRDefault="00576B9C" w:rsidP="00C74EB6">
            <w:pPr>
              <w:autoSpaceDE w:val="0"/>
              <w:autoSpaceDN w:val="0"/>
              <w:adjustRightInd w:val="0"/>
              <w:spacing w:line="276" w:lineRule="auto"/>
              <w:jc w:val="center"/>
              <w:rPr>
                <w:kern w:val="0"/>
                <w:szCs w:val="21"/>
              </w:rPr>
            </w:pPr>
            <w:r w:rsidRPr="00FD0D8E">
              <w:rPr>
                <w:rFonts w:hint="eastAsia"/>
                <w:kern w:val="0"/>
                <w:szCs w:val="21"/>
              </w:rPr>
              <w:t>8.153</w:t>
            </w:r>
          </w:p>
        </w:tc>
        <w:tc>
          <w:tcPr>
            <w:tcW w:w="598" w:type="pct"/>
            <w:tcBorders>
              <w:top w:val="nil"/>
              <w:left w:val="nil"/>
              <w:right w:val="nil"/>
            </w:tcBorders>
          </w:tcPr>
          <w:p w14:paraId="2F5EE195" w14:textId="28936BDC" w:rsidR="002A4081" w:rsidRPr="00FD0D8E" w:rsidRDefault="00576B9C" w:rsidP="00C74EB6">
            <w:pPr>
              <w:autoSpaceDE w:val="0"/>
              <w:autoSpaceDN w:val="0"/>
              <w:adjustRightInd w:val="0"/>
              <w:spacing w:line="276" w:lineRule="auto"/>
              <w:jc w:val="center"/>
              <w:rPr>
                <w:kern w:val="0"/>
                <w:szCs w:val="21"/>
              </w:rPr>
            </w:pPr>
            <w:r w:rsidRPr="00FD0D8E">
              <w:rPr>
                <w:rFonts w:hint="eastAsia"/>
                <w:kern w:val="0"/>
                <w:szCs w:val="21"/>
              </w:rPr>
              <w:t>1.259</w:t>
            </w:r>
          </w:p>
        </w:tc>
        <w:tc>
          <w:tcPr>
            <w:tcW w:w="684" w:type="pct"/>
            <w:tcBorders>
              <w:top w:val="nil"/>
              <w:left w:val="nil"/>
              <w:right w:val="nil"/>
            </w:tcBorders>
          </w:tcPr>
          <w:p w14:paraId="6600D9CF" w14:textId="6F931617" w:rsidR="002A4081" w:rsidRPr="00FD0D8E" w:rsidRDefault="006A55D9" w:rsidP="00C74EB6">
            <w:pPr>
              <w:autoSpaceDE w:val="0"/>
              <w:autoSpaceDN w:val="0"/>
              <w:adjustRightInd w:val="0"/>
              <w:spacing w:line="276" w:lineRule="auto"/>
              <w:jc w:val="center"/>
              <w:rPr>
                <w:kern w:val="0"/>
                <w:szCs w:val="21"/>
              </w:rPr>
            </w:pPr>
            <w:r w:rsidRPr="00FD0D8E">
              <w:rPr>
                <w:rFonts w:hint="eastAsia"/>
                <w:kern w:val="0"/>
                <w:szCs w:val="21"/>
              </w:rPr>
              <w:t>6.248</w:t>
            </w:r>
          </w:p>
        </w:tc>
        <w:tc>
          <w:tcPr>
            <w:tcW w:w="512" w:type="pct"/>
            <w:tcBorders>
              <w:top w:val="nil"/>
              <w:left w:val="nil"/>
              <w:right w:val="nil"/>
            </w:tcBorders>
          </w:tcPr>
          <w:p w14:paraId="49B0BB62" w14:textId="2F64A690" w:rsidR="002A4081" w:rsidRPr="00FD0D8E" w:rsidRDefault="006A55D9" w:rsidP="00C74EB6">
            <w:pPr>
              <w:autoSpaceDE w:val="0"/>
              <w:autoSpaceDN w:val="0"/>
              <w:adjustRightInd w:val="0"/>
              <w:spacing w:line="276" w:lineRule="auto"/>
              <w:jc w:val="center"/>
              <w:rPr>
                <w:kern w:val="0"/>
                <w:szCs w:val="21"/>
              </w:rPr>
            </w:pPr>
            <w:r w:rsidRPr="00FD0D8E">
              <w:rPr>
                <w:rFonts w:hint="eastAsia"/>
                <w:kern w:val="0"/>
                <w:szCs w:val="21"/>
              </w:rPr>
              <w:t>12.29</w:t>
            </w:r>
          </w:p>
        </w:tc>
      </w:tr>
      <w:tr w:rsidR="006A55D9" w:rsidRPr="00FD0D8E" w14:paraId="52FF4B84" w14:textId="77777777" w:rsidTr="006B1109">
        <w:trPr>
          <w:jc w:val="center"/>
        </w:trPr>
        <w:tc>
          <w:tcPr>
            <w:tcW w:w="1156" w:type="pct"/>
            <w:tcBorders>
              <w:top w:val="nil"/>
              <w:left w:val="nil"/>
              <w:bottom w:val="single" w:sz="4" w:space="0" w:color="auto"/>
              <w:right w:val="nil"/>
            </w:tcBorders>
          </w:tcPr>
          <w:p w14:paraId="62E7D402" w14:textId="77777777" w:rsidR="002A4081" w:rsidRPr="00FD0D8E" w:rsidRDefault="002A4081" w:rsidP="00C74EB6">
            <w:pPr>
              <w:autoSpaceDE w:val="0"/>
              <w:autoSpaceDN w:val="0"/>
              <w:adjustRightInd w:val="0"/>
              <w:spacing w:line="276" w:lineRule="auto"/>
              <w:rPr>
                <w:kern w:val="0"/>
                <w:szCs w:val="21"/>
              </w:rPr>
            </w:pPr>
            <w:r w:rsidRPr="00FD0D8E">
              <w:rPr>
                <w:kern w:val="0"/>
                <w:szCs w:val="21"/>
              </w:rPr>
              <w:t>SOE</w:t>
            </w:r>
          </w:p>
        </w:tc>
        <w:tc>
          <w:tcPr>
            <w:tcW w:w="513" w:type="pct"/>
            <w:tcBorders>
              <w:top w:val="nil"/>
              <w:left w:val="nil"/>
              <w:bottom w:val="single" w:sz="4" w:space="0" w:color="auto"/>
              <w:right w:val="nil"/>
            </w:tcBorders>
          </w:tcPr>
          <w:p w14:paraId="72BD43AA"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24133</w:t>
            </w:r>
          </w:p>
        </w:tc>
        <w:tc>
          <w:tcPr>
            <w:tcW w:w="769" w:type="pct"/>
            <w:tcBorders>
              <w:top w:val="nil"/>
              <w:left w:val="nil"/>
              <w:bottom w:val="single" w:sz="4" w:space="0" w:color="auto"/>
              <w:right w:val="nil"/>
            </w:tcBorders>
          </w:tcPr>
          <w:p w14:paraId="61D9C306"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0.329</w:t>
            </w:r>
          </w:p>
        </w:tc>
        <w:tc>
          <w:tcPr>
            <w:tcW w:w="769" w:type="pct"/>
            <w:tcBorders>
              <w:top w:val="nil"/>
              <w:left w:val="nil"/>
              <w:bottom w:val="single" w:sz="4" w:space="0" w:color="auto"/>
              <w:right w:val="nil"/>
            </w:tcBorders>
          </w:tcPr>
          <w:p w14:paraId="7A1B972A"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98" w:type="pct"/>
            <w:tcBorders>
              <w:top w:val="nil"/>
              <w:left w:val="nil"/>
              <w:bottom w:val="single" w:sz="4" w:space="0" w:color="auto"/>
              <w:right w:val="nil"/>
            </w:tcBorders>
          </w:tcPr>
          <w:p w14:paraId="0F832C3C"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0.470</w:t>
            </w:r>
          </w:p>
        </w:tc>
        <w:tc>
          <w:tcPr>
            <w:tcW w:w="684" w:type="pct"/>
            <w:tcBorders>
              <w:top w:val="nil"/>
              <w:left w:val="nil"/>
              <w:bottom w:val="single" w:sz="4" w:space="0" w:color="auto"/>
              <w:right w:val="nil"/>
            </w:tcBorders>
          </w:tcPr>
          <w:p w14:paraId="3644A495"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0</w:t>
            </w:r>
            <w:r w:rsidRPr="00FD0D8E">
              <w:rPr>
                <w:rFonts w:hint="eastAsia"/>
                <w:kern w:val="0"/>
                <w:szCs w:val="21"/>
              </w:rPr>
              <w:t>.000</w:t>
            </w:r>
          </w:p>
        </w:tc>
        <w:tc>
          <w:tcPr>
            <w:tcW w:w="512" w:type="pct"/>
            <w:tcBorders>
              <w:top w:val="nil"/>
              <w:left w:val="nil"/>
              <w:bottom w:val="single" w:sz="4" w:space="0" w:color="auto"/>
              <w:right w:val="nil"/>
            </w:tcBorders>
          </w:tcPr>
          <w:p w14:paraId="026AB71B" w14:textId="77777777" w:rsidR="002A4081" w:rsidRPr="00FD0D8E" w:rsidRDefault="002A4081" w:rsidP="00C74EB6">
            <w:pPr>
              <w:autoSpaceDE w:val="0"/>
              <w:autoSpaceDN w:val="0"/>
              <w:adjustRightInd w:val="0"/>
              <w:spacing w:line="276" w:lineRule="auto"/>
              <w:jc w:val="center"/>
              <w:rPr>
                <w:kern w:val="0"/>
                <w:szCs w:val="21"/>
              </w:rPr>
            </w:pPr>
            <w:r w:rsidRPr="00FD0D8E">
              <w:rPr>
                <w:kern w:val="0"/>
                <w:szCs w:val="21"/>
              </w:rPr>
              <w:t>1</w:t>
            </w:r>
            <w:r w:rsidRPr="00FD0D8E">
              <w:rPr>
                <w:rFonts w:hint="eastAsia"/>
                <w:kern w:val="0"/>
                <w:szCs w:val="21"/>
              </w:rPr>
              <w:t>.000</w:t>
            </w:r>
          </w:p>
        </w:tc>
      </w:tr>
    </w:tbl>
    <w:p w14:paraId="6EC9DB6E" w14:textId="14D340B8" w:rsidR="009864AF" w:rsidRPr="00086241" w:rsidRDefault="009864AF" w:rsidP="00D2412F">
      <w:pPr>
        <w:ind w:firstLine="480"/>
      </w:pPr>
    </w:p>
    <w:p w14:paraId="02275C8A" w14:textId="77777777" w:rsidR="00A56183" w:rsidRPr="00086241" w:rsidRDefault="00A56183" w:rsidP="00D2412F">
      <w:pPr>
        <w:ind w:firstLine="480"/>
      </w:pPr>
    </w:p>
    <w:p w14:paraId="5001B9E3" w14:textId="77777777" w:rsidR="00A56183" w:rsidRPr="00086241" w:rsidRDefault="00A56183" w:rsidP="00D2412F">
      <w:pPr>
        <w:ind w:firstLine="480"/>
      </w:pPr>
    </w:p>
    <w:p w14:paraId="71AEE7E3" w14:textId="50F40192" w:rsidR="00D2412F" w:rsidRPr="00086241" w:rsidRDefault="00D2412F" w:rsidP="00D2412F">
      <w:pPr>
        <w:tabs>
          <w:tab w:val="left" w:pos="1041"/>
        </w:tabs>
        <w:ind w:firstLine="480"/>
        <w:sectPr w:rsidR="00D2412F" w:rsidRPr="00086241" w:rsidSect="004C36D5">
          <w:headerReference w:type="even" r:id="rId21"/>
          <w:headerReference w:type="default" r:id="rId22"/>
          <w:headerReference w:type="first" r:id="rId23"/>
          <w:pgSz w:w="11906" w:h="16838"/>
          <w:pgMar w:top="1440" w:right="1800" w:bottom="1440" w:left="1800" w:header="851" w:footer="992" w:gutter="0"/>
          <w:cols w:space="425"/>
          <w:docGrid w:type="lines" w:linePitch="312"/>
        </w:sectPr>
      </w:pPr>
      <w:r w:rsidRPr="00086241">
        <w:tab/>
      </w:r>
    </w:p>
    <w:p w14:paraId="0E4D52C5" w14:textId="1EAC5021" w:rsidR="006B42D8" w:rsidRPr="00C74EB6" w:rsidRDefault="00AB02B1" w:rsidP="00C0628E">
      <w:pPr>
        <w:pStyle w:val="1"/>
        <w:rPr>
          <w:rFonts w:hint="eastAsia"/>
        </w:rPr>
      </w:pPr>
      <w:bookmarkStart w:id="95" w:name="_Toc191420750"/>
      <w:bookmarkStart w:id="96" w:name="_Toc191574120"/>
      <w:bookmarkStart w:id="97" w:name="_Toc198286991"/>
      <w:r w:rsidRPr="00C74EB6">
        <w:rPr>
          <w:rFonts w:hint="eastAsia"/>
        </w:rPr>
        <w:lastRenderedPageBreak/>
        <w:t>实证分析</w:t>
      </w:r>
      <w:bookmarkEnd w:id="95"/>
      <w:bookmarkEnd w:id="96"/>
      <w:bookmarkEnd w:id="97"/>
    </w:p>
    <w:p w14:paraId="288B8B96" w14:textId="33D7C59C" w:rsidR="00170DA4" w:rsidRPr="00C74EB6" w:rsidRDefault="00E014BD" w:rsidP="00C74EB6">
      <w:pPr>
        <w:pStyle w:val="2"/>
      </w:pPr>
      <w:bookmarkStart w:id="98" w:name="_Toc191420751"/>
      <w:bookmarkStart w:id="99" w:name="_Toc191574121"/>
      <w:bookmarkStart w:id="100" w:name="_Toc198286992"/>
      <w:r w:rsidRPr="00C74EB6">
        <w:rPr>
          <w:rFonts w:hint="eastAsia"/>
        </w:rPr>
        <w:t>基准结果</w:t>
      </w:r>
      <w:bookmarkEnd w:id="98"/>
      <w:bookmarkEnd w:id="99"/>
      <w:bookmarkEnd w:id="100"/>
    </w:p>
    <w:p w14:paraId="0C76D3A2" w14:textId="67F57BA4" w:rsidR="00170DA4" w:rsidRPr="00C74EB6" w:rsidRDefault="00B50D68" w:rsidP="00D94887">
      <w:pPr>
        <w:spacing w:line="360" w:lineRule="auto"/>
        <w:ind w:firstLineChars="200" w:firstLine="480"/>
        <w:rPr>
          <w:sz w:val="24"/>
        </w:rPr>
      </w:pPr>
      <w:r w:rsidRPr="00C74EB6">
        <w:rPr>
          <w:sz w:val="24"/>
        </w:rPr>
        <w:fldChar w:fldCharType="begin"/>
      </w:r>
      <w:r w:rsidRPr="00C74EB6">
        <w:rPr>
          <w:sz w:val="24"/>
        </w:rPr>
        <w:instrText xml:space="preserve"> </w:instrText>
      </w:r>
      <w:r w:rsidRPr="00C74EB6">
        <w:rPr>
          <w:rFonts w:hint="eastAsia"/>
          <w:sz w:val="24"/>
        </w:rPr>
        <w:instrText>REF _Ref190768377 \h</w:instrText>
      </w:r>
      <w:r w:rsidRPr="00C74EB6">
        <w:rPr>
          <w:sz w:val="24"/>
        </w:rPr>
        <w:instrText xml:space="preserve">  \* MERGEFORMAT </w:instrText>
      </w:r>
      <w:r w:rsidRPr="00C74EB6">
        <w:rPr>
          <w:sz w:val="24"/>
        </w:rPr>
      </w:r>
      <w:r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noProof/>
          <w:sz w:val="24"/>
        </w:rPr>
        <w:t>3</w:t>
      </w:r>
      <w:r w:rsidRPr="00C74EB6">
        <w:rPr>
          <w:sz w:val="24"/>
        </w:rPr>
        <w:fldChar w:fldCharType="end"/>
      </w:r>
      <w:r w:rsidR="00170DA4" w:rsidRPr="00C74EB6">
        <w:rPr>
          <w:rFonts w:hint="eastAsia"/>
          <w:sz w:val="24"/>
        </w:rPr>
        <w:t>呈现组织资本对董</w:t>
      </w:r>
      <w:proofErr w:type="gramStart"/>
      <w:r w:rsidR="00170DA4" w:rsidRPr="00C74EB6">
        <w:rPr>
          <w:rFonts w:hint="eastAsia"/>
          <w:sz w:val="24"/>
        </w:rPr>
        <w:t>监高责任</w:t>
      </w:r>
      <w:proofErr w:type="gramEnd"/>
      <w:r w:rsidR="00170DA4" w:rsidRPr="00C74EB6">
        <w:rPr>
          <w:rFonts w:hint="eastAsia"/>
          <w:sz w:val="24"/>
        </w:rPr>
        <w:t>险</w:t>
      </w:r>
      <w:r w:rsidR="00D473F8" w:rsidRPr="00C74EB6">
        <w:rPr>
          <w:rFonts w:hint="eastAsia"/>
          <w:sz w:val="24"/>
        </w:rPr>
        <w:t>投保意向</w:t>
      </w:r>
      <w:r w:rsidR="00170DA4" w:rsidRPr="00C74EB6">
        <w:rPr>
          <w:rFonts w:hint="eastAsia"/>
          <w:sz w:val="24"/>
        </w:rPr>
        <w:t>的影响的回归结果。</w:t>
      </w:r>
      <w:r w:rsidR="00EE31A1" w:rsidRPr="00C74EB6">
        <w:rPr>
          <w:rFonts w:hint="eastAsia"/>
          <w:sz w:val="24"/>
        </w:rPr>
        <w:t>在未控制年份和行业固定效应的基准回归中（</w:t>
      </w:r>
      <w:r w:rsidR="00170DA4" w:rsidRPr="00C74EB6">
        <w:rPr>
          <w:rFonts w:hint="eastAsia"/>
          <w:sz w:val="24"/>
        </w:rPr>
        <w:t>列（</w:t>
      </w:r>
      <w:r w:rsidR="00A4399C" w:rsidRPr="00C74EB6">
        <w:rPr>
          <w:rFonts w:hint="eastAsia"/>
          <w:sz w:val="24"/>
        </w:rPr>
        <w:t>2</w:t>
      </w:r>
      <w:r w:rsidR="00170DA4" w:rsidRPr="00C74EB6">
        <w:rPr>
          <w:rFonts w:hint="eastAsia"/>
          <w:sz w:val="24"/>
        </w:rPr>
        <w:t>）</w:t>
      </w:r>
      <w:r w:rsidR="00EE31A1" w:rsidRPr="00C74EB6">
        <w:rPr>
          <w:rFonts w:hint="eastAsia"/>
          <w:sz w:val="24"/>
        </w:rPr>
        <w:t>），</w:t>
      </w:r>
      <w:r w:rsidR="00170DA4" w:rsidRPr="00C74EB6">
        <w:rPr>
          <w:rFonts w:hint="eastAsia"/>
          <w:sz w:val="24"/>
        </w:rPr>
        <w:t>组织资本对董</w:t>
      </w:r>
      <w:proofErr w:type="gramStart"/>
      <w:r w:rsidR="00170DA4" w:rsidRPr="00C74EB6">
        <w:rPr>
          <w:rFonts w:hint="eastAsia"/>
          <w:sz w:val="24"/>
        </w:rPr>
        <w:t>监高责任</w:t>
      </w:r>
      <w:proofErr w:type="gramEnd"/>
      <w:r w:rsidR="00170DA4" w:rsidRPr="00C74EB6">
        <w:rPr>
          <w:rFonts w:hint="eastAsia"/>
          <w:sz w:val="24"/>
        </w:rPr>
        <w:t>险</w:t>
      </w:r>
      <w:r w:rsidR="00D473F8" w:rsidRPr="00C74EB6">
        <w:rPr>
          <w:rFonts w:hint="eastAsia"/>
          <w:sz w:val="24"/>
        </w:rPr>
        <w:t>投保意向</w:t>
      </w:r>
      <w:r w:rsidR="00170DA4" w:rsidRPr="00C74EB6">
        <w:rPr>
          <w:rFonts w:hint="eastAsia"/>
          <w:sz w:val="24"/>
        </w:rPr>
        <w:t>的</w:t>
      </w:r>
      <w:r w:rsidR="002255B0" w:rsidRPr="00C74EB6">
        <w:rPr>
          <w:rFonts w:hint="eastAsia"/>
          <w:sz w:val="24"/>
        </w:rPr>
        <w:t>提升</w:t>
      </w:r>
      <w:r w:rsidR="00EE31A1" w:rsidRPr="00C74EB6">
        <w:rPr>
          <w:rFonts w:hint="eastAsia"/>
          <w:sz w:val="24"/>
        </w:rPr>
        <w:t>作用</w:t>
      </w:r>
      <w:r w:rsidR="00A4399C" w:rsidRPr="00C74EB6">
        <w:rPr>
          <w:rFonts w:hint="eastAsia"/>
          <w:sz w:val="24"/>
        </w:rPr>
        <w:t>在</w:t>
      </w:r>
      <w:r w:rsidR="00A4399C" w:rsidRPr="00C74EB6">
        <w:rPr>
          <w:rFonts w:hint="eastAsia"/>
          <w:sz w:val="24"/>
        </w:rPr>
        <w:t>5%</w:t>
      </w:r>
      <w:r w:rsidR="00EE31A1" w:rsidRPr="00C74EB6">
        <w:rPr>
          <w:rFonts w:hint="eastAsia"/>
          <w:sz w:val="24"/>
        </w:rPr>
        <w:t>水平下</w:t>
      </w:r>
      <w:r w:rsidR="00A4399C" w:rsidRPr="00C74EB6">
        <w:rPr>
          <w:rFonts w:hint="eastAsia"/>
          <w:sz w:val="24"/>
        </w:rPr>
        <w:t>显著</w:t>
      </w:r>
      <w:r w:rsidR="00170DA4" w:rsidRPr="00C74EB6">
        <w:rPr>
          <w:rFonts w:hint="eastAsia"/>
          <w:sz w:val="24"/>
        </w:rPr>
        <w:t>。</w:t>
      </w:r>
      <w:r w:rsidR="00EE31A1" w:rsidRPr="00C74EB6">
        <w:rPr>
          <w:rFonts w:hint="eastAsia"/>
          <w:sz w:val="24"/>
        </w:rPr>
        <w:t>纳入所有控制变量且控制年份和行业固定效应后（</w:t>
      </w:r>
      <w:r w:rsidR="00170DA4" w:rsidRPr="00C74EB6">
        <w:rPr>
          <w:rFonts w:hint="eastAsia"/>
          <w:sz w:val="24"/>
        </w:rPr>
        <w:t>列（</w:t>
      </w:r>
      <w:r w:rsidR="00A4399C" w:rsidRPr="00C74EB6">
        <w:rPr>
          <w:rFonts w:hint="eastAsia"/>
          <w:sz w:val="24"/>
        </w:rPr>
        <w:t>3</w:t>
      </w:r>
      <w:r w:rsidR="00170DA4" w:rsidRPr="00C74EB6">
        <w:rPr>
          <w:rFonts w:hint="eastAsia"/>
          <w:sz w:val="24"/>
        </w:rPr>
        <w:t>）</w:t>
      </w:r>
      <w:r w:rsidR="00EE31A1" w:rsidRPr="00C74EB6">
        <w:rPr>
          <w:rFonts w:hint="eastAsia"/>
          <w:sz w:val="24"/>
        </w:rPr>
        <w:t>）</w:t>
      </w:r>
      <w:r w:rsidR="00C206B7" w:rsidRPr="00C74EB6">
        <w:rPr>
          <w:rFonts w:hint="eastAsia"/>
          <w:sz w:val="24"/>
        </w:rPr>
        <w:t>，回归系数在</w:t>
      </w:r>
      <w:r w:rsidR="00C206B7" w:rsidRPr="00C74EB6">
        <w:rPr>
          <w:rFonts w:hint="eastAsia"/>
          <w:sz w:val="24"/>
        </w:rPr>
        <w:t>1%</w:t>
      </w:r>
      <w:r w:rsidR="00C206B7" w:rsidRPr="00C74EB6">
        <w:rPr>
          <w:rFonts w:hint="eastAsia"/>
          <w:sz w:val="24"/>
        </w:rPr>
        <w:t>显著性水平下为正，</w:t>
      </w:r>
      <w:r w:rsidR="00170DA4" w:rsidRPr="00C74EB6">
        <w:rPr>
          <w:rFonts w:hint="eastAsia"/>
          <w:sz w:val="24"/>
        </w:rPr>
        <w:t>组织资本越高，公司</w:t>
      </w:r>
      <w:r w:rsidR="00D976EE">
        <w:rPr>
          <w:rFonts w:hint="eastAsia"/>
          <w:sz w:val="24"/>
        </w:rPr>
        <w:t>投保</w:t>
      </w:r>
      <w:r w:rsidR="00A37415" w:rsidRPr="00C74EB6">
        <w:rPr>
          <w:rFonts w:hint="eastAsia"/>
          <w:sz w:val="24"/>
        </w:rPr>
        <w:t>董</w:t>
      </w:r>
      <w:proofErr w:type="gramStart"/>
      <w:r w:rsidR="00A37415" w:rsidRPr="00C74EB6">
        <w:rPr>
          <w:rFonts w:hint="eastAsia"/>
          <w:sz w:val="24"/>
        </w:rPr>
        <w:t>监高责任</w:t>
      </w:r>
      <w:proofErr w:type="gramEnd"/>
      <w:r w:rsidR="00A37415" w:rsidRPr="00C74EB6">
        <w:rPr>
          <w:rFonts w:hint="eastAsia"/>
          <w:sz w:val="24"/>
        </w:rPr>
        <w:t>险</w:t>
      </w:r>
      <w:r w:rsidR="00D976EE">
        <w:rPr>
          <w:rFonts w:hint="eastAsia"/>
          <w:sz w:val="24"/>
        </w:rPr>
        <w:t>的意愿更强烈</w:t>
      </w:r>
      <w:r w:rsidR="00170DA4" w:rsidRPr="00C74EB6">
        <w:rPr>
          <w:rFonts w:hint="eastAsia"/>
          <w:sz w:val="24"/>
        </w:rPr>
        <w:t>。</w:t>
      </w:r>
      <w:r w:rsidR="00A46E55" w:rsidRPr="00C74EB6">
        <w:rPr>
          <w:rFonts w:hint="eastAsia"/>
          <w:sz w:val="24"/>
        </w:rPr>
        <w:t>边际效应为</w:t>
      </w:r>
      <w:r w:rsidR="00A4399C" w:rsidRPr="00C74EB6">
        <w:rPr>
          <w:rFonts w:hint="eastAsia"/>
          <w:sz w:val="24"/>
        </w:rPr>
        <w:t>0.102</w:t>
      </w:r>
      <w:r w:rsidR="00A46E55" w:rsidRPr="00C74EB6">
        <w:rPr>
          <w:rFonts w:hint="eastAsia"/>
          <w:sz w:val="24"/>
        </w:rPr>
        <w:t>，即组织资本每提升一个单位，公司</w:t>
      </w:r>
      <w:r w:rsidR="002255B0" w:rsidRPr="00C74EB6">
        <w:rPr>
          <w:rFonts w:hint="eastAsia"/>
          <w:sz w:val="24"/>
        </w:rPr>
        <w:t>拟</w:t>
      </w:r>
      <w:r w:rsidR="00E30576" w:rsidRPr="00C74EB6">
        <w:rPr>
          <w:rFonts w:hint="eastAsia"/>
          <w:sz w:val="24"/>
        </w:rPr>
        <w:t>购买董</w:t>
      </w:r>
      <w:proofErr w:type="gramStart"/>
      <w:r w:rsidR="00E30576" w:rsidRPr="00C74EB6">
        <w:rPr>
          <w:rFonts w:hint="eastAsia"/>
          <w:sz w:val="24"/>
        </w:rPr>
        <w:t>监高责任</w:t>
      </w:r>
      <w:proofErr w:type="gramEnd"/>
      <w:r w:rsidR="00E30576" w:rsidRPr="00C74EB6">
        <w:rPr>
          <w:rFonts w:hint="eastAsia"/>
          <w:sz w:val="24"/>
        </w:rPr>
        <w:t>险</w:t>
      </w:r>
      <w:r w:rsidR="00A46E55" w:rsidRPr="00C74EB6">
        <w:rPr>
          <w:rFonts w:hint="eastAsia"/>
          <w:sz w:val="24"/>
        </w:rPr>
        <w:t>的概率显著</w:t>
      </w:r>
      <w:r w:rsidR="00A4399C" w:rsidRPr="00C74EB6">
        <w:rPr>
          <w:rFonts w:hint="eastAsia"/>
          <w:sz w:val="24"/>
        </w:rPr>
        <w:t>提升</w:t>
      </w:r>
      <w:r w:rsidR="00A4399C" w:rsidRPr="00C74EB6">
        <w:rPr>
          <w:rFonts w:hint="eastAsia"/>
          <w:sz w:val="24"/>
        </w:rPr>
        <w:t>10</w:t>
      </w:r>
      <w:r w:rsidR="00A46E55" w:rsidRPr="00C74EB6">
        <w:rPr>
          <w:rFonts w:hint="eastAsia"/>
          <w:sz w:val="24"/>
        </w:rPr>
        <w:t>%</w:t>
      </w:r>
      <w:r w:rsidR="00A46E55" w:rsidRPr="00C74EB6">
        <w:rPr>
          <w:rFonts w:hint="eastAsia"/>
          <w:sz w:val="24"/>
        </w:rPr>
        <w:t>。</w:t>
      </w:r>
    </w:p>
    <w:p w14:paraId="69AFB421" w14:textId="662D275E" w:rsidR="002255B0" w:rsidRPr="00C74EB6" w:rsidRDefault="002255B0" w:rsidP="002255B0">
      <w:pPr>
        <w:spacing w:line="360" w:lineRule="auto"/>
        <w:ind w:firstLineChars="200" w:firstLine="480"/>
        <w:rPr>
          <w:sz w:val="24"/>
        </w:rPr>
      </w:pPr>
      <w:r w:rsidRPr="00C74EB6">
        <w:rPr>
          <w:rFonts w:hint="eastAsia"/>
          <w:sz w:val="24"/>
        </w:rPr>
        <w:t>诉讼风险相关控制变量分析表明：交叉上市（</w:t>
      </w:r>
      <w:r w:rsidRPr="00C74EB6">
        <w:rPr>
          <w:rFonts w:hint="eastAsia"/>
          <w:sz w:val="24"/>
        </w:rPr>
        <w:t>BH</w:t>
      </w:r>
      <w:r w:rsidRPr="00C74EB6">
        <w:rPr>
          <w:rFonts w:hint="eastAsia"/>
          <w:sz w:val="24"/>
        </w:rPr>
        <w:t>）或由四大（</w:t>
      </w:r>
      <w:r w:rsidRPr="00C74EB6">
        <w:rPr>
          <w:rFonts w:hint="eastAsia"/>
          <w:sz w:val="24"/>
        </w:rPr>
        <w:t>Big4</w:t>
      </w:r>
      <w:r w:rsidRPr="00C74EB6">
        <w:rPr>
          <w:rFonts w:hint="eastAsia"/>
          <w:sz w:val="24"/>
        </w:rPr>
        <w:t>）审计的公司因业务广泛、投资者关注度高，诉讼风险更大，投保意愿更强。边际效应显示，交叉上市企业拟投保概率显著提升</w:t>
      </w:r>
      <w:r w:rsidRPr="00C74EB6">
        <w:rPr>
          <w:rFonts w:hint="eastAsia"/>
          <w:sz w:val="24"/>
        </w:rPr>
        <w:t>12%</w:t>
      </w:r>
      <w:r w:rsidRPr="00C74EB6">
        <w:rPr>
          <w:rFonts w:hint="eastAsia"/>
          <w:sz w:val="24"/>
        </w:rPr>
        <w:t>，与香港联交所的强制披露要求一致。资产负债率正向、固定资产占比负向作用符合资产抵押能力理论：有形资产占比下降，偿债风险上升，债权人诉讼压力加大，促使企业投保。尽管股票波动率、</w:t>
      </w:r>
      <w:r w:rsidRPr="00C74EB6">
        <w:rPr>
          <w:rFonts w:hint="eastAsia"/>
          <w:sz w:val="24"/>
        </w:rPr>
        <w:t>PB</w:t>
      </w:r>
      <w:r w:rsidRPr="00C74EB6">
        <w:rPr>
          <w:rFonts w:hint="eastAsia"/>
          <w:sz w:val="24"/>
        </w:rPr>
        <w:t>、成长性、</w:t>
      </w:r>
      <w:r w:rsidRPr="00C74EB6">
        <w:rPr>
          <w:rFonts w:hint="eastAsia"/>
          <w:sz w:val="24"/>
        </w:rPr>
        <w:t>ROA</w:t>
      </w:r>
      <w:r w:rsidRPr="00C74EB6">
        <w:rPr>
          <w:rFonts w:hint="eastAsia"/>
          <w:sz w:val="24"/>
        </w:rPr>
        <w:t>及违约次数系数不显著，但符号符合预期。</w:t>
      </w:r>
    </w:p>
    <w:p w14:paraId="15FC2E67" w14:textId="0CC8073D" w:rsidR="002255B0" w:rsidRPr="00C74EB6" w:rsidRDefault="002255B0" w:rsidP="002255B0">
      <w:pPr>
        <w:spacing w:line="360" w:lineRule="auto"/>
        <w:ind w:firstLineChars="200" w:firstLine="480"/>
        <w:rPr>
          <w:sz w:val="24"/>
        </w:rPr>
      </w:pPr>
      <w:r w:rsidRPr="00C74EB6">
        <w:rPr>
          <w:rFonts w:hint="eastAsia"/>
          <w:sz w:val="24"/>
        </w:rPr>
        <w:t>公司治理相关控制变量分析显示：董事会规模越大，决策分散，风险敏感度提高，保险需求增强。</w:t>
      </w:r>
      <w:proofErr w:type="gramStart"/>
      <w:r w:rsidRPr="00C74EB6">
        <w:rPr>
          <w:rFonts w:hint="eastAsia"/>
          <w:sz w:val="24"/>
        </w:rPr>
        <w:t>独董占</w:t>
      </w:r>
      <w:proofErr w:type="gramEnd"/>
      <w:r w:rsidRPr="00C74EB6">
        <w:rPr>
          <w:rFonts w:hint="eastAsia"/>
          <w:sz w:val="24"/>
        </w:rPr>
        <w:t>比虽不显著，但正向关系符合预期，表明保险有助于留住独董。两职合一</w:t>
      </w:r>
      <w:r w:rsidR="00FB770C">
        <w:rPr>
          <w:rFonts w:hint="eastAsia"/>
          <w:sz w:val="24"/>
        </w:rPr>
        <w:t>的公司</w:t>
      </w:r>
      <w:r w:rsidR="00C95A25">
        <w:rPr>
          <w:rFonts w:hint="eastAsia"/>
          <w:sz w:val="24"/>
        </w:rPr>
        <w:t>反而</w:t>
      </w:r>
      <w:proofErr w:type="gramStart"/>
      <w:r w:rsidR="00C95A25">
        <w:rPr>
          <w:rFonts w:hint="eastAsia"/>
          <w:sz w:val="24"/>
        </w:rPr>
        <w:t>不</w:t>
      </w:r>
      <w:proofErr w:type="gramEnd"/>
      <w:r w:rsidR="00C95A25">
        <w:rPr>
          <w:rFonts w:hint="eastAsia"/>
          <w:sz w:val="24"/>
        </w:rPr>
        <w:t>偏好</w:t>
      </w:r>
      <w:r w:rsidRPr="00C74EB6">
        <w:rPr>
          <w:rFonts w:hint="eastAsia"/>
          <w:sz w:val="24"/>
        </w:rPr>
        <w:t>投保，说明其治理效应已超越传统“削弱监督”认知，在现代体系下可能增强管理层责任感，降低风险（</w:t>
      </w:r>
      <w:r w:rsidRPr="00C74EB6">
        <w:rPr>
          <w:rFonts w:hint="eastAsia"/>
          <w:sz w:val="24"/>
        </w:rPr>
        <w:t xml:space="preserve">Peng </w:t>
      </w:r>
      <w:r w:rsidR="003F5AB0" w:rsidRPr="00C74EB6">
        <w:rPr>
          <w:rFonts w:hint="eastAsia"/>
          <w:sz w:val="24"/>
        </w:rPr>
        <w:t>等</w:t>
      </w:r>
      <w:r w:rsidRPr="00C74EB6">
        <w:rPr>
          <w:rFonts w:hint="eastAsia"/>
          <w:sz w:val="24"/>
        </w:rPr>
        <w:t>, 2007</w:t>
      </w:r>
      <w:r w:rsidRPr="00C74EB6">
        <w:rPr>
          <w:rFonts w:hint="eastAsia"/>
          <w:sz w:val="24"/>
        </w:rPr>
        <w:t>；陈守明等</w:t>
      </w:r>
      <w:r w:rsidRPr="00C74EB6">
        <w:rPr>
          <w:rFonts w:hint="eastAsia"/>
          <w:sz w:val="24"/>
        </w:rPr>
        <w:t>, 2012</w:t>
      </w:r>
      <w:r w:rsidRPr="00C74EB6">
        <w:rPr>
          <w:rFonts w:hint="eastAsia"/>
          <w:sz w:val="24"/>
        </w:rPr>
        <w:t>）</w:t>
      </w:r>
      <w:r w:rsidR="00C95A25">
        <w:rPr>
          <w:rFonts w:hint="eastAsia"/>
          <w:sz w:val="24"/>
        </w:rPr>
        <w:t>，进而减少对保险的需求</w:t>
      </w:r>
      <w:r w:rsidRPr="00C74EB6">
        <w:rPr>
          <w:rFonts w:hint="eastAsia"/>
          <w:sz w:val="24"/>
        </w:rPr>
        <w:t>。此外，</w:t>
      </w:r>
      <w:proofErr w:type="gramStart"/>
      <w:r w:rsidRPr="00C74EB6">
        <w:rPr>
          <w:rFonts w:hint="eastAsia"/>
          <w:sz w:val="24"/>
        </w:rPr>
        <w:t>董监高持股</w:t>
      </w:r>
      <w:proofErr w:type="gramEnd"/>
      <w:r w:rsidRPr="00C74EB6">
        <w:rPr>
          <w:rFonts w:hint="eastAsia"/>
          <w:sz w:val="24"/>
        </w:rPr>
        <w:t>比例每提高</w:t>
      </w:r>
      <w:r w:rsidRPr="00C74EB6">
        <w:rPr>
          <w:rFonts w:hint="eastAsia"/>
          <w:sz w:val="24"/>
        </w:rPr>
        <w:t>1</w:t>
      </w:r>
      <w:r w:rsidRPr="00C74EB6">
        <w:rPr>
          <w:rFonts w:hint="eastAsia"/>
          <w:sz w:val="24"/>
        </w:rPr>
        <w:t>个百分点，拟投保概率下降</w:t>
      </w:r>
      <w:r w:rsidRPr="00C74EB6">
        <w:rPr>
          <w:rFonts w:hint="eastAsia"/>
          <w:sz w:val="24"/>
        </w:rPr>
        <w:t>8.5%</w:t>
      </w:r>
      <w:r w:rsidRPr="00C74EB6">
        <w:rPr>
          <w:rFonts w:hint="eastAsia"/>
          <w:sz w:val="24"/>
        </w:rPr>
        <w:t>，表明股权激励对</w:t>
      </w:r>
      <w:proofErr w:type="gramStart"/>
      <w:r w:rsidRPr="00C74EB6">
        <w:rPr>
          <w:rFonts w:hint="eastAsia"/>
          <w:sz w:val="24"/>
        </w:rPr>
        <w:t>董责险</w:t>
      </w:r>
      <w:proofErr w:type="gramEnd"/>
      <w:r w:rsidRPr="00C74EB6">
        <w:rPr>
          <w:rFonts w:hint="eastAsia"/>
          <w:sz w:val="24"/>
        </w:rPr>
        <w:t>有替代效应，管理层与企业利益绑定越深，外部监督需求越低。</w:t>
      </w:r>
    </w:p>
    <w:p w14:paraId="6902DC80" w14:textId="32A1CF0E" w:rsidR="00530291" w:rsidRPr="00C74EB6" w:rsidRDefault="002255B0" w:rsidP="002255B0">
      <w:pPr>
        <w:spacing w:line="360" w:lineRule="auto"/>
        <w:ind w:firstLineChars="200" w:firstLine="480"/>
        <w:rPr>
          <w:sz w:val="24"/>
        </w:rPr>
      </w:pPr>
      <w:r w:rsidRPr="00C74EB6">
        <w:rPr>
          <w:rFonts w:hint="eastAsia"/>
          <w:sz w:val="24"/>
        </w:rPr>
        <w:t>公司特征相关控制变量分析显示：企业规模越大，诉讼风险越高，投保需求越强。国有企业投保意愿更高，符合国资</w:t>
      </w:r>
      <w:proofErr w:type="gramStart"/>
      <w:r w:rsidRPr="00C74EB6">
        <w:rPr>
          <w:rFonts w:hint="eastAsia"/>
          <w:sz w:val="24"/>
        </w:rPr>
        <w:t>委完善</w:t>
      </w:r>
      <w:proofErr w:type="gramEnd"/>
      <w:r w:rsidRPr="00C74EB6">
        <w:rPr>
          <w:rFonts w:hint="eastAsia"/>
          <w:sz w:val="24"/>
        </w:rPr>
        <w:t>治理体系的导向，其作为行业“领头羊”，更注重合</w:t>
      </w:r>
      <w:proofErr w:type="gramStart"/>
      <w:r w:rsidRPr="00C74EB6">
        <w:rPr>
          <w:rFonts w:hint="eastAsia"/>
          <w:sz w:val="24"/>
        </w:rPr>
        <w:t>规</w:t>
      </w:r>
      <w:proofErr w:type="gramEnd"/>
      <w:r w:rsidRPr="00C74EB6">
        <w:rPr>
          <w:rFonts w:hint="eastAsia"/>
          <w:sz w:val="24"/>
        </w:rPr>
        <w:t>与管理层权益保护。</w:t>
      </w:r>
    </w:p>
    <w:p w14:paraId="7AB0FD34" w14:textId="77777777" w:rsidR="00B50D68" w:rsidRDefault="00B50D68" w:rsidP="00C94BF1">
      <w:pPr>
        <w:spacing w:line="360" w:lineRule="auto"/>
        <w:ind w:firstLineChars="200" w:firstLine="480"/>
        <w:rPr>
          <w:sz w:val="24"/>
        </w:rPr>
      </w:pPr>
    </w:p>
    <w:p w14:paraId="4E1B55C5" w14:textId="77777777" w:rsidR="002255B0" w:rsidRDefault="002255B0" w:rsidP="00C94BF1">
      <w:pPr>
        <w:spacing w:line="360" w:lineRule="auto"/>
        <w:ind w:firstLineChars="200" w:firstLine="480"/>
        <w:rPr>
          <w:sz w:val="24"/>
        </w:rPr>
      </w:pPr>
    </w:p>
    <w:p w14:paraId="3266C9B6" w14:textId="77777777" w:rsidR="002255B0" w:rsidRDefault="002255B0" w:rsidP="00C94BF1">
      <w:pPr>
        <w:spacing w:line="360" w:lineRule="auto"/>
        <w:ind w:firstLineChars="200" w:firstLine="480"/>
        <w:rPr>
          <w:sz w:val="24"/>
        </w:rPr>
      </w:pPr>
    </w:p>
    <w:p w14:paraId="2FD8EA54" w14:textId="77777777" w:rsidR="002255B0" w:rsidRDefault="002255B0" w:rsidP="00C94BF1">
      <w:pPr>
        <w:spacing w:line="360" w:lineRule="auto"/>
        <w:ind w:firstLineChars="200" w:firstLine="480"/>
        <w:rPr>
          <w:sz w:val="24"/>
        </w:rPr>
      </w:pPr>
    </w:p>
    <w:p w14:paraId="37985D75" w14:textId="77777777" w:rsidR="002255B0" w:rsidRDefault="002255B0" w:rsidP="00C94BF1">
      <w:pPr>
        <w:spacing w:line="360" w:lineRule="auto"/>
        <w:ind w:firstLineChars="200" w:firstLine="480"/>
        <w:rPr>
          <w:sz w:val="24"/>
        </w:rPr>
      </w:pPr>
    </w:p>
    <w:p w14:paraId="6FCD6E27" w14:textId="77777777" w:rsidR="002255B0" w:rsidRPr="00086241" w:rsidRDefault="002255B0" w:rsidP="00B92969">
      <w:pPr>
        <w:spacing w:line="360" w:lineRule="auto"/>
        <w:rPr>
          <w:sz w:val="24"/>
        </w:rPr>
      </w:pPr>
    </w:p>
    <w:p w14:paraId="1EAB7C9F" w14:textId="5BE10302" w:rsidR="00A46E55" w:rsidRPr="00734874" w:rsidRDefault="00B50D68" w:rsidP="00B50D68">
      <w:pPr>
        <w:pStyle w:val="af5"/>
        <w:ind w:firstLine="482"/>
        <w:rPr>
          <w:rFonts w:ascii="Times New Roman" w:hAnsi="Times New Roman"/>
        </w:rPr>
      </w:pPr>
      <w:bookmarkStart w:id="101" w:name="_Ref190768377"/>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3</w:t>
      </w:r>
      <w:r w:rsidRPr="00734874">
        <w:rPr>
          <w:rFonts w:ascii="Times New Roman" w:hAnsi="Times New Roman" w:hint="eastAsia"/>
        </w:rPr>
        <w:fldChar w:fldCharType="end"/>
      </w:r>
      <w:bookmarkEnd w:id="101"/>
      <w:r w:rsidR="001973B4" w:rsidRPr="00734874">
        <w:rPr>
          <w:rFonts w:ascii="Times New Roman" w:hAnsi="Times New Roman" w:hint="eastAsia"/>
        </w:rPr>
        <w:t>：</w:t>
      </w:r>
      <w:r w:rsidR="00A46E55" w:rsidRPr="00734874">
        <w:rPr>
          <w:rFonts w:ascii="Times New Roman" w:hAnsi="Times New Roman" w:hint="eastAsia"/>
        </w:rPr>
        <w:t>组织资本对董</w:t>
      </w:r>
      <w:proofErr w:type="gramStart"/>
      <w:r w:rsidR="00A46E55" w:rsidRPr="00734874">
        <w:rPr>
          <w:rFonts w:ascii="Times New Roman" w:hAnsi="Times New Roman" w:hint="eastAsia"/>
        </w:rPr>
        <w:t>监高责任</w:t>
      </w:r>
      <w:proofErr w:type="gramEnd"/>
      <w:r w:rsidR="00A46E55" w:rsidRPr="00734874">
        <w:rPr>
          <w:rFonts w:ascii="Times New Roman" w:hAnsi="Times New Roman" w:hint="eastAsia"/>
        </w:rPr>
        <w:t>险</w:t>
      </w:r>
      <w:r w:rsidR="00D473F8">
        <w:rPr>
          <w:rFonts w:ascii="Times New Roman" w:hAnsi="Times New Roman" w:hint="eastAsia"/>
        </w:rPr>
        <w:t>投保意向</w:t>
      </w:r>
      <w:r w:rsidR="00A46E55" w:rsidRPr="00734874">
        <w:rPr>
          <w:rFonts w:ascii="Times New Roman" w:hAnsi="Times New Roman" w:hint="eastAsia"/>
        </w:rPr>
        <w:t>的回归结果</w:t>
      </w:r>
    </w:p>
    <w:tbl>
      <w:tblPr>
        <w:tblW w:w="5000" w:type="pct"/>
        <w:tblLook w:val="0000" w:firstRow="0" w:lastRow="0" w:firstColumn="0" w:lastColumn="0" w:noHBand="0" w:noVBand="0"/>
      </w:tblPr>
      <w:tblGrid>
        <w:gridCol w:w="1841"/>
        <w:gridCol w:w="2155"/>
        <w:gridCol w:w="2155"/>
        <w:gridCol w:w="2155"/>
      </w:tblGrid>
      <w:tr w:rsidR="00BE7A0E" w:rsidRPr="00FD0D8E" w14:paraId="066DD8D5" w14:textId="77777777" w:rsidTr="006B1109">
        <w:tc>
          <w:tcPr>
            <w:tcW w:w="1108" w:type="pct"/>
            <w:tcBorders>
              <w:top w:val="single" w:sz="4" w:space="0" w:color="auto"/>
              <w:left w:val="nil"/>
              <w:bottom w:val="nil"/>
              <w:right w:val="nil"/>
            </w:tcBorders>
          </w:tcPr>
          <w:p w14:paraId="78D600F7" w14:textId="77777777" w:rsidR="00BE7A0E" w:rsidRPr="00FD0D8E" w:rsidRDefault="00BE7A0E" w:rsidP="00C74EB6">
            <w:pPr>
              <w:autoSpaceDE w:val="0"/>
              <w:autoSpaceDN w:val="0"/>
              <w:adjustRightInd w:val="0"/>
              <w:rPr>
                <w:kern w:val="0"/>
                <w:szCs w:val="21"/>
              </w:rPr>
            </w:pPr>
            <w:r w:rsidRPr="00FD0D8E">
              <w:rPr>
                <w:kern w:val="0"/>
                <w:szCs w:val="21"/>
              </w:rPr>
              <w:t>DO</w:t>
            </w:r>
            <w:r w:rsidRPr="00FD0D8E">
              <w:rPr>
                <w:kern w:val="0"/>
                <w:szCs w:val="21"/>
                <w:vertAlign w:val="subscript"/>
              </w:rPr>
              <w:t>t+1</w:t>
            </w:r>
          </w:p>
        </w:tc>
        <w:tc>
          <w:tcPr>
            <w:tcW w:w="1297" w:type="pct"/>
            <w:tcBorders>
              <w:top w:val="single" w:sz="4" w:space="0" w:color="auto"/>
              <w:left w:val="nil"/>
              <w:bottom w:val="nil"/>
              <w:right w:val="nil"/>
            </w:tcBorders>
          </w:tcPr>
          <w:p w14:paraId="44EFFAF1" w14:textId="77777777" w:rsidR="00BE7A0E" w:rsidRPr="00FD0D8E" w:rsidRDefault="00BE7A0E" w:rsidP="00C74EB6">
            <w:pPr>
              <w:autoSpaceDE w:val="0"/>
              <w:autoSpaceDN w:val="0"/>
              <w:adjustRightInd w:val="0"/>
              <w:jc w:val="center"/>
              <w:rPr>
                <w:kern w:val="0"/>
                <w:szCs w:val="21"/>
              </w:rPr>
            </w:pPr>
            <w:r w:rsidRPr="00FD0D8E">
              <w:rPr>
                <w:kern w:val="0"/>
                <w:szCs w:val="21"/>
              </w:rPr>
              <w:t>(1)</w:t>
            </w:r>
          </w:p>
        </w:tc>
        <w:tc>
          <w:tcPr>
            <w:tcW w:w="1297" w:type="pct"/>
            <w:tcBorders>
              <w:top w:val="single" w:sz="4" w:space="0" w:color="auto"/>
              <w:left w:val="nil"/>
              <w:bottom w:val="nil"/>
              <w:right w:val="nil"/>
            </w:tcBorders>
          </w:tcPr>
          <w:p w14:paraId="457AC917" w14:textId="77777777" w:rsidR="00BE7A0E" w:rsidRPr="00FD0D8E" w:rsidRDefault="00BE7A0E" w:rsidP="00C74EB6">
            <w:pPr>
              <w:autoSpaceDE w:val="0"/>
              <w:autoSpaceDN w:val="0"/>
              <w:adjustRightInd w:val="0"/>
              <w:jc w:val="center"/>
              <w:rPr>
                <w:kern w:val="0"/>
                <w:szCs w:val="21"/>
              </w:rPr>
            </w:pPr>
            <w:r w:rsidRPr="00FD0D8E">
              <w:rPr>
                <w:kern w:val="0"/>
                <w:szCs w:val="21"/>
              </w:rPr>
              <w:t>(2)</w:t>
            </w:r>
          </w:p>
        </w:tc>
        <w:tc>
          <w:tcPr>
            <w:tcW w:w="1297" w:type="pct"/>
            <w:tcBorders>
              <w:top w:val="single" w:sz="4" w:space="0" w:color="auto"/>
              <w:left w:val="nil"/>
              <w:bottom w:val="nil"/>
              <w:right w:val="nil"/>
            </w:tcBorders>
          </w:tcPr>
          <w:p w14:paraId="12815385" w14:textId="77777777" w:rsidR="00BE7A0E" w:rsidRPr="00FD0D8E" w:rsidRDefault="00BE7A0E" w:rsidP="00C74EB6">
            <w:pPr>
              <w:autoSpaceDE w:val="0"/>
              <w:autoSpaceDN w:val="0"/>
              <w:adjustRightInd w:val="0"/>
              <w:jc w:val="center"/>
              <w:rPr>
                <w:kern w:val="0"/>
                <w:szCs w:val="21"/>
              </w:rPr>
            </w:pPr>
            <w:r w:rsidRPr="00FD0D8E">
              <w:rPr>
                <w:kern w:val="0"/>
                <w:szCs w:val="21"/>
              </w:rPr>
              <w:t>(3)</w:t>
            </w:r>
          </w:p>
        </w:tc>
      </w:tr>
      <w:tr w:rsidR="00BE7A0E" w:rsidRPr="00FD0D8E" w14:paraId="7AE9DAEA" w14:textId="77777777" w:rsidTr="006B1109">
        <w:tc>
          <w:tcPr>
            <w:tcW w:w="1108" w:type="pct"/>
            <w:tcBorders>
              <w:top w:val="single" w:sz="4" w:space="0" w:color="auto"/>
              <w:left w:val="nil"/>
              <w:bottom w:val="nil"/>
              <w:right w:val="nil"/>
            </w:tcBorders>
          </w:tcPr>
          <w:p w14:paraId="3F2409BE" w14:textId="5BC92D9A" w:rsidR="00BE7A0E" w:rsidRPr="00FD0D8E" w:rsidRDefault="00D9560C" w:rsidP="00C74EB6">
            <w:pPr>
              <w:autoSpaceDE w:val="0"/>
              <w:autoSpaceDN w:val="0"/>
              <w:adjustRightInd w:val="0"/>
              <w:rPr>
                <w:kern w:val="0"/>
                <w:szCs w:val="21"/>
              </w:rPr>
            </w:pPr>
            <w:r w:rsidRPr="00FD0D8E">
              <w:rPr>
                <w:kern w:val="0"/>
                <w:szCs w:val="21"/>
              </w:rPr>
              <w:t>OC</w:t>
            </w:r>
          </w:p>
        </w:tc>
        <w:tc>
          <w:tcPr>
            <w:tcW w:w="1297" w:type="pct"/>
            <w:tcBorders>
              <w:top w:val="single" w:sz="4" w:space="0" w:color="auto"/>
              <w:left w:val="nil"/>
              <w:bottom w:val="nil"/>
              <w:right w:val="nil"/>
            </w:tcBorders>
          </w:tcPr>
          <w:p w14:paraId="649697DC" w14:textId="77777777" w:rsidR="00BE7A0E" w:rsidRPr="00FD0D8E" w:rsidRDefault="00BE7A0E" w:rsidP="00C74EB6">
            <w:pPr>
              <w:autoSpaceDE w:val="0"/>
              <w:autoSpaceDN w:val="0"/>
              <w:adjustRightInd w:val="0"/>
              <w:jc w:val="center"/>
              <w:rPr>
                <w:kern w:val="0"/>
                <w:szCs w:val="21"/>
              </w:rPr>
            </w:pPr>
            <w:r w:rsidRPr="00FD0D8E">
              <w:rPr>
                <w:kern w:val="0"/>
                <w:szCs w:val="21"/>
              </w:rPr>
              <w:t>0.423</w:t>
            </w:r>
            <w:r w:rsidRPr="00FD0D8E">
              <w:rPr>
                <w:kern w:val="0"/>
                <w:szCs w:val="21"/>
                <w:vertAlign w:val="superscript"/>
              </w:rPr>
              <w:t>***</w:t>
            </w:r>
          </w:p>
        </w:tc>
        <w:tc>
          <w:tcPr>
            <w:tcW w:w="1297" w:type="pct"/>
            <w:tcBorders>
              <w:top w:val="single" w:sz="4" w:space="0" w:color="auto"/>
              <w:left w:val="nil"/>
              <w:bottom w:val="nil"/>
              <w:right w:val="nil"/>
            </w:tcBorders>
          </w:tcPr>
          <w:p w14:paraId="004CCAF6" w14:textId="77777777" w:rsidR="00BE7A0E" w:rsidRPr="00FD0D8E" w:rsidRDefault="00BE7A0E" w:rsidP="00C74EB6">
            <w:pPr>
              <w:autoSpaceDE w:val="0"/>
              <w:autoSpaceDN w:val="0"/>
              <w:adjustRightInd w:val="0"/>
              <w:jc w:val="center"/>
              <w:rPr>
                <w:kern w:val="0"/>
                <w:szCs w:val="21"/>
              </w:rPr>
            </w:pPr>
            <w:r w:rsidRPr="00FD0D8E">
              <w:rPr>
                <w:kern w:val="0"/>
                <w:szCs w:val="21"/>
              </w:rPr>
              <w:t>0.149</w:t>
            </w:r>
            <w:r w:rsidRPr="00FD0D8E">
              <w:rPr>
                <w:kern w:val="0"/>
                <w:szCs w:val="21"/>
                <w:vertAlign w:val="superscript"/>
              </w:rPr>
              <w:t>**</w:t>
            </w:r>
          </w:p>
        </w:tc>
        <w:tc>
          <w:tcPr>
            <w:tcW w:w="1297" w:type="pct"/>
            <w:tcBorders>
              <w:top w:val="single" w:sz="4" w:space="0" w:color="auto"/>
              <w:left w:val="nil"/>
              <w:bottom w:val="nil"/>
              <w:right w:val="nil"/>
            </w:tcBorders>
          </w:tcPr>
          <w:p w14:paraId="1D12F265" w14:textId="77777777" w:rsidR="00BE7A0E" w:rsidRPr="00FD0D8E" w:rsidRDefault="00BE7A0E" w:rsidP="00C74EB6">
            <w:pPr>
              <w:autoSpaceDE w:val="0"/>
              <w:autoSpaceDN w:val="0"/>
              <w:adjustRightInd w:val="0"/>
              <w:jc w:val="center"/>
              <w:rPr>
                <w:kern w:val="0"/>
                <w:szCs w:val="21"/>
              </w:rPr>
            </w:pPr>
            <w:r w:rsidRPr="00FD0D8E">
              <w:rPr>
                <w:kern w:val="0"/>
                <w:szCs w:val="21"/>
              </w:rPr>
              <w:t>0.102</w:t>
            </w:r>
            <w:r w:rsidRPr="00FD0D8E">
              <w:rPr>
                <w:kern w:val="0"/>
                <w:szCs w:val="21"/>
                <w:vertAlign w:val="superscript"/>
              </w:rPr>
              <w:t>***</w:t>
            </w:r>
          </w:p>
        </w:tc>
      </w:tr>
      <w:tr w:rsidR="00BE7A0E" w:rsidRPr="00FD0D8E" w14:paraId="39EEDF39" w14:textId="77777777" w:rsidTr="006B1109">
        <w:tc>
          <w:tcPr>
            <w:tcW w:w="1108" w:type="pct"/>
            <w:tcBorders>
              <w:top w:val="nil"/>
              <w:left w:val="nil"/>
              <w:bottom w:val="nil"/>
              <w:right w:val="nil"/>
            </w:tcBorders>
          </w:tcPr>
          <w:p w14:paraId="78804382"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6BAABFD8" w14:textId="77777777" w:rsidR="00BE7A0E" w:rsidRPr="00FD0D8E" w:rsidRDefault="00BE7A0E" w:rsidP="00C74EB6">
            <w:pPr>
              <w:autoSpaceDE w:val="0"/>
              <w:autoSpaceDN w:val="0"/>
              <w:adjustRightInd w:val="0"/>
              <w:jc w:val="center"/>
              <w:rPr>
                <w:kern w:val="0"/>
                <w:szCs w:val="21"/>
              </w:rPr>
            </w:pPr>
            <w:r w:rsidRPr="00FD0D8E">
              <w:rPr>
                <w:kern w:val="0"/>
                <w:szCs w:val="21"/>
              </w:rPr>
              <w:t>(0.011)</w:t>
            </w:r>
          </w:p>
        </w:tc>
        <w:tc>
          <w:tcPr>
            <w:tcW w:w="1297" w:type="pct"/>
            <w:tcBorders>
              <w:top w:val="nil"/>
              <w:left w:val="nil"/>
              <w:bottom w:val="nil"/>
              <w:right w:val="nil"/>
            </w:tcBorders>
          </w:tcPr>
          <w:p w14:paraId="108EB7C9" w14:textId="77777777" w:rsidR="00BE7A0E" w:rsidRPr="00FD0D8E" w:rsidRDefault="00BE7A0E" w:rsidP="00C74EB6">
            <w:pPr>
              <w:autoSpaceDE w:val="0"/>
              <w:autoSpaceDN w:val="0"/>
              <w:adjustRightInd w:val="0"/>
              <w:jc w:val="center"/>
              <w:rPr>
                <w:kern w:val="0"/>
                <w:szCs w:val="21"/>
              </w:rPr>
            </w:pPr>
            <w:r w:rsidRPr="00FD0D8E">
              <w:rPr>
                <w:kern w:val="0"/>
                <w:szCs w:val="21"/>
              </w:rPr>
              <w:t>(0.062)</w:t>
            </w:r>
          </w:p>
        </w:tc>
        <w:tc>
          <w:tcPr>
            <w:tcW w:w="1297" w:type="pct"/>
            <w:tcBorders>
              <w:top w:val="nil"/>
              <w:left w:val="nil"/>
              <w:bottom w:val="nil"/>
              <w:right w:val="nil"/>
            </w:tcBorders>
          </w:tcPr>
          <w:p w14:paraId="4E2D464D" w14:textId="77777777" w:rsidR="00BE7A0E" w:rsidRPr="00FD0D8E" w:rsidRDefault="00BE7A0E" w:rsidP="00C74EB6">
            <w:pPr>
              <w:autoSpaceDE w:val="0"/>
              <w:autoSpaceDN w:val="0"/>
              <w:adjustRightInd w:val="0"/>
              <w:jc w:val="center"/>
              <w:rPr>
                <w:kern w:val="0"/>
                <w:szCs w:val="21"/>
              </w:rPr>
            </w:pPr>
            <w:r w:rsidRPr="00FD0D8E">
              <w:rPr>
                <w:kern w:val="0"/>
                <w:szCs w:val="21"/>
              </w:rPr>
              <w:t>(0.027)</w:t>
            </w:r>
          </w:p>
        </w:tc>
      </w:tr>
      <w:tr w:rsidR="00BE7A0E" w:rsidRPr="00FD0D8E" w14:paraId="6C69BAD1" w14:textId="77777777" w:rsidTr="006B1109">
        <w:tc>
          <w:tcPr>
            <w:tcW w:w="1108" w:type="pct"/>
            <w:tcBorders>
              <w:top w:val="nil"/>
              <w:left w:val="nil"/>
              <w:bottom w:val="nil"/>
              <w:right w:val="nil"/>
            </w:tcBorders>
          </w:tcPr>
          <w:p w14:paraId="1BF67316" w14:textId="77777777" w:rsidR="00BE7A0E" w:rsidRPr="00FD0D8E" w:rsidRDefault="00BE7A0E" w:rsidP="00C74EB6">
            <w:pPr>
              <w:autoSpaceDE w:val="0"/>
              <w:autoSpaceDN w:val="0"/>
              <w:adjustRightInd w:val="0"/>
              <w:rPr>
                <w:kern w:val="0"/>
                <w:szCs w:val="21"/>
              </w:rPr>
            </w:pPr>
            <w:r w:rsidRPr="00FD0D8E">
              <w:rPr>
                <w:kern w:val="0"/>
                <w:szCs w:val="21"/>
              </w:rPr>
              <w:t>BH</w:t>
            </w:r>
          </w:p>
        </w:tc>
        <w:tc>
          <w:tcPr>
            <w:tcW w:w="1297" w:type="pct"/>
            <w:tcBorders>
              <w:top w:val="nil"/>
              <w:left w:val="nil"/>
              <w:bottom w:val="nil"/>
              <w:right w:val="nil"/>
            </w:tcBorders>
          </w:tcPr>
          <w:p w14:paraId="58A9E39D"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088DE8F6" w14:textId="77777777" w:rsidR="00BE7A0E" w:rsidRPr="00FD0D8E" w:rsidRDefault="00BE7A0E" w:rsidP="00C74EB6">
            <w:pPr>
              <w:autoSpaceDE w:val="0"/>
              <w:autoSpaceDN w:val="0"/>
              <w:adjustRightInd w:val="0"/>
              <w:jc w:val="center"/>
              <w:rPr>
                <w:kern w:val="0"/>
                <w:szCs w:val="21"/>
              </w:rPr>
            </w:pPr>
            <w:r w:rsidRPr="00FD0D8E">
              <w:rPr>
                <w:kern w:val="0"/>
                <w:szCs w:val="21"/>
              </w:rPr>
              <w:t>0.111</w:t>
            </w:r>
            <w:r w:rsidRPr="00FD0D8E">
              <w:rPr>
                <w:kern w:val="0"/>
                <w:szCs w:val="21"/>
                <w:vertAlign w:val="superscript"/>
              </w:rPr>
              <w:t>***</w:t>
            </w:r>
          </w:p>
        </w:tc>
        <w:tc>
          <w:tcPr>
            <w:tcW w:w="1297" w:type="pct"/>
            <w:tcBorders>
              <w:top w:val="nil"/>
              <w:left w:val="nil"/>
              <w:bottom w:val="nil"/>
              <w:right w:val="nil"/>
            </w:tcBorders>
          </w:tcPr>
          <w:p w14:paraId="472EE08F" w14:textId="77777777" w:rsidR="00BE7A0E" w:rsidRPr="00FD0D8E" w:rsidRDefault="00BE7A0E"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r>
      <w:tr w:rsidR="00BE7A0E" w:rsidRPr="00FD0D8E" w14:paraId="7D2710BF" w14:textId="77777777" w:rsidTr="006B1109">
        <w:tc>
          <w:tcPr>
            <w:tcW w:w="1108" w:type="pct"/>
            <w:tcBorders>
              <w:top w:val="nil"/>
              <w:left w:val="nil"/>
              <w:bottom w:val="nil"/>
              <w:right w:val="nil"/>
            </w:tcBorders>
          </w:tcPr>
          <w:p w14:paraId="2F30E135"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013C7CB5"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0888E60D" w14:textId="77777777" w:rsidR="00BE7A0E" w:rsidRPr="00FD0D8E" w:rsidRDefault="00BE7A0E" w:rsidP="00C74EB6">
            <w:pPr>
              <w:autoSpaceDE w:val="0"/>
              <w:autoSpaceDN w:val="0"/>
              <w:adjustRightInd w:val="0"/>
              <w:jc w:val="center"/>
              <w:rPr>
                <w:kern w:val="0"/>
                <w:szCs w:val="21"/>
              </w:rPr>
            </w:pPr>
            <w:r w:rsidRPr="00FD0D8E">
              <w:rPr>
                <w:kern w:val="0"/>
                <w:szCs w:val="21"/>
              </w:rPr>
              <w:t>(0.011)</w:t>
            </w:r>
          </w:p>
        </w:tc>
        <w:tc>
          <w:tcPr>
            <w:tcW w:w="1297" w:type="pct"/>
            <w:tcBorders>
              <w:top w:val="nil"/>
              <w:left w:val="nil"/>
              <w:bottom w:val="nil"/>
              <w:right w:val="nil"/>
            </w:tcBorders>
          </w:tcPr>
          <w:p w14:paraId="06EE4057" w14:textId="77777777" w:rsidR="00BE7A0E" w:rsidRPr="00FD0D8E" w:rsidRDefault="00BE7A0E" w:rsidP="00C74EB6">
            <w:pPr>
              <w:autoSpaceDE w:val="0"/>
              <w:autoSpaceDN w:val="0"/>
              <w:adjustRightInd w:val="0"/>
              <w:jc w:val="center"/>
              <w:rPr>
                <w:kern w:val="0"/>
                <w:szCs w:val="21"/>
              </w:rPr>
            </w:pPr>
            <w:r w:rsidRPr="00FD0D8E">
              <w:rPr>
                <w:kern w:val="0"/>
                <w:szCs w:val="21"/>
              </w:rPr>
              <w:t>(0.006)</w:t>
            </w:r>
          </w:p>
        </w:tc>
      </w:tr>
      <w:tr w:rsidR="00BE7A0E" w:rsidRPr="00FD0D8E" w14:paraId="3763C0C4" w14:textId="77777777" w:rsidTr="006B1109">
        <w:tc>
          <w:tcPr>
            <w:tcW w:w="1108" w:type="pct"/>
            <w:tcBorders>
              <w:top w:val="nil"/>
              <w:left w:val="nil"/>
              <w:bottom w:val="nil"/>
              <w:right w:val="nil"/>
            </w:tcBorders>
          </w:tcPr>
          <w:p w14:paraId="5EBA6E5A" w14:textId="77777777" w:rsidR="00BE7A0E" w:rsidRPr="00FD0D8E" w:rsidRDefault="00BE7A0E" w:rsidP="00C74EB6">
            <w:pPr>
              <w:autoSpaceDE w:val="0"/>
              <w:autoSpaceDN w:val="0"/>
              <w:adjustRightInd w:val="0"/>
              <w:rPr>
                <w:kern w:val="0"/>
                <w:szCs w:val="21"/>
              </w:rPr>
            </w:pPr>
            <w:r w:rsidRPr="00FD0D8E">
              <w:rPr>
                <w:kern w:val="0"/>
                <w:szCs w:val="21"/>
              </w:rPr>
              <w:t>Big4</w:t>
            </w:r>
          </w:p>
        </w:tc>
        <w:tc>
          <w:tcPr>
            <w:tcW w:w="1297" w:type="pct"/>
            <w:tcBorders>
              <w:top w:val="nil"/>
              <w:left w:val="nil"/>
              <w:bottom w:val="nil"/>
              <w:right w:val="nil"/>
            </w:tcBorders>
          </w:tcPr>
          <w:p w14:paraId="312857C6"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73BC220A" w14:textId="77777777" w:rsidR="00BE7A0E" w:rsidRPr="00FD0D8E" w:rsidRDefault="00BE7A0E" w:rsidP="00C74EB6">
            <w:pPr>
              <w:autoSpaceDE w:val="0"/>
              <w:autoSpaceDN w:val="0"/>
              <w:adjustRightInd w:val="0"/>
              <w:jc w:val="center"/>
              <w:rPr>
                <w:kern w:val="0"/>
                <w:szCs w:val="21"/>
              </w:rPr>
            </w:pPr>
            <w:r w:rsidRPr="00FD0D8E">
              <w:rPr>
                <w:kern w:val="0"/>
                <w:szCs w:val="21"/>
              </w:rPr>
              <w:t>0.063</w:t>
            </w:r>
            <w:r w:rsidRPr="00FD0D8E">
              <w:rPr>
                <w:kern w:val="0"/>
                <w:szCs w:val="21"/>
                <w:vertAlign w:val="superscript"/>
              </w:rPr>
              <w:t>***</w:t>
            </w:r>
          </w:p>
        </w:tc>
        <w:tc>
          <w:tcPr>
            <w:tcW w:w="1297" w:type="pct"/>
            <w:tcBorders>
              <w:top w:val="nil"/>
              <w:left w:val="nil"/>
              <w:bottom w:val="nil"/>
              <w:right w:val="nil"/>
            </w:tcBorders>
          </w:tcPr>
          <w:p w14:paraId="1372D50B" w14:textId="77777777" w:rsidR="00BE7A0E" w:rsidRPr="00FD0D8E" w:rsidRDefault="00BE7A0E"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r>
      <w:tr w:rsidR="00BE7A0E" w:rsidRPr="00FD0D8E" w14:paraId="1A6C672B" w14:textId="77777777" w:rsidTr="006B1109">
        <w:tc>
          <w:tcPr>
            <w:tcW w:w="1108" w:type="pct"/>
            <w:tcBorders>
              <w:top w:val="nil"/>
              <w:left w:val="nil"/>
              <w:bottom w:val="nil"/>
              <w:right w:val="nil"/>
            </w:tcBorders>
          </w:tcPr>
          <w:p w14:paraId="08E6FAC5"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202F09B2"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4793B8FF" w14:textId="77777777" w:rsidR="00BE7A0E" w:rsidRPr="00FD0D8E" w:rsidRDefault="00BE7A0E" w:rsidP="00C74EB6">
            <w:pPr>
              <w:autoSpaceDE w:val="0"/>
              <w:autoSpaceDN w:val="0"/>
              <w:adjustRightInd w:val="0"/>
              <w:jc w:val="center"/>
              <w:rPr>
                <w:kern w:val="0"/>
                <w:szCs w:val="21"/>
              </w:rPr>
            </w:pPr>
            <w:r w:rsidRPr="00FD0D8E">
              <w:rPr>
                <w:kern w:val="0"/>
                <w:szCs w:val="21"/>
              </w:rPr>
              <w:t>(0.005)</w:t>
            </w:r>
          </w:p>
        </w:tc>
        <w:tc>
          <w:tcPr>
            <w:tcW w:w="1297" w:type="pct"/>
            <w:tcBorders>
              <w:top w:val="nil"/>
              <w:left w:val="nil"/>
              <w:bottom w:val="nil"/>
              <w:right w:val="nil"/>
            </w:tcBorders>
          </w:tcPr>
          <w:p w14:paraId="092CE57B" w14:textId="77777777" w:rsidR="00BE7A0E" w:rsidRPr="00FD0D8E" w:rsidRDefault="00BE7A0E" w:rsidP="00C74EB6">
            <w:pPr>
              <w:autoSpaceDE w:val="0"/>
              <w:autoSpaceDN w:val="0"/>
              <w:adjustRightInd w:val="0"/>
              <w:jc w:val="center"/>
              <w:rPr>
                <w:kern w:val="0"/>
                <w:szCs w:val="21"/>
              </w:rPr>
            </w:pPr>
            <w:r w:rsidRPr="00FD0D8E">
              <w:rPr>
                <w:kern w:val="0"/>
                <w:szCs w:val="21"/>
              </w:rPr>
              <w:t>(0.005)</w:t>
            </w:r>
          </w:p>
        </w:tc>
      </w:tr>
      <w:tr w:rsidR="00BE7A0E" w:rsidRPr="00FD0D8E" w14:paraId="523CD5FB" w14:textId="77777777" w:rsidTr="006B1109">
        <w:tc>
          <w:tcPr>
            <w:tcW w:w="1108" w:type="pct"/>
            <w:tcBorders>
              <w:top w:val="nil"/>
              <w:left w:val="nil"/>
              <w:bottom w:val="nil"/>
              <w:right w:val="nil"/>
            </w:tcBorders>
          </w:tcPr>
          <w:p w14:paraId="4BBE9B09" w14:textId="77777777" w:rsidR="00BE7A0E" w:rsidRPr="00FD0D8E" w:rsidRDefault="00BE7A0E" w:rsidP="00C74EB6">
            <w:pPr>
              <w:autoSpaceDE w:val="0"/>
              <w:autoSpaceDN w:val="0"/>
              <w:adjustRightInd w:val="0"/>
              <w:rPr>
                <w:kern w:val="0"/>
                <w:szCs w:val="21"/>
              </w:rPr>
            </w:pPr>
            <w:r w:rsidRPr="00FD0D8E">
              <w:rPr>
                <w:kern w:val="0"/>
                <w:szCs w:val="21"/>
              </w:rPr>
              <w:t>Lev</w:t>
            </w:r>
          </w:p>
        </w:tc>
        <w:tc>
          <w:tcPr>
            <w:tcW w:w="1297" w:type="pct"/>
            <w:tcBorders>
              <w:top w:val="nil"/>
              <w:left w:val="nil"/>
              <w:bottom w:val="nil"/>
              <w:right w:val="nil"/>
            </w:tcBorders>
          </w:tcPr>
          <w:p w14:paraId="6A4E8DDF"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62A5898A" w14:textId="77777777" w:rsidR="00BE7A0E" w:rsidRPr="00FD0D8E" w:rsidRDefault="00BE7A0E" w:rsidP="00C74EB6">
            <w:pPr>
              <w:autoSpaceDE w:val="0"/>
              <w:autoSpaceDN w:val="0"/>
              <w:adjustRightInd w:val="0"/>
              <w:jc w:val="center"/>
              <w:rPr>
                <w:kern w:val="0"/>
                <w:szCs w:val="21"/>
              </w:rPr>
            </w:pPr>
            <w:r w:rsidRPr="00FD0D8E">
              <w:rPr>
                <w:kern w:val="0"/>
                <w:szCs w:val="21"/>
              </w:rPr>
              <w:t>0.023</w:t>
            </w:r>
            <w:r w:rsidRPr="00FD0D8E">
              <w:rPr>
                <w:kern w:val="0"/>
                <w:szCs w:val="21"/>
                <w:vertAlign w:val="superscript"/>
              </w:rPr>
              <w:t>**</w:t>
            </w:r>
          </w:p>
        </w:tc>
        <w:tc>
          <w:tcPr>
            <w:tcW w:w="1297" w:type="pct"/>
            <w:tcBorders>
              <w:top w:val="nil"/>
              <w:left w:val="nil"/>
              <w:bottom w:val="nil"/>
              <w:right w:val="nil"/>
            </w:tcBorders>
          </w:tcPr>
          <w:p w14:paraId="039A51B2" w14:textId="77777777" w:rsidR="00BE7A0E" w:rsidRPr="00FD0D8E" w:rsidRDefault="00BE7A0E" w:rsidP="00C74EB6">
            <w:pPr>
              <w:autoSpaceDE w:val="0"/>
              <w:autoSpaceDN w:val="0"/>
              <w:adjustRightInd w:val="0"/>
              <w:jc w:val="center"/>
              <w:rPr>
                <w:kern w:val="0"/>
                <w:szCs w:val="21"/>
              </w:rPr>
            </w:pPr>
            <w:r w:rsidRPr="00FD0D8E">
              <w:rPr>
                <w:kern w:val="0"/>
                <w:szCs w:val="21"/>
              </w:rPr>
              <w:t>0.046</w:t>
            </w:r>
            <w:r w:rsidRPr="00FD0D8E">
              <w:rPr>
                <w:kern w:val="0"/>
                <w:szCs w:val="21"/>
                <w:vertAlign w:val="superscript"/>
              </w:rPr>
              <w:t>***</w:t>
            </w:r>
          </w:p>
        </w:tc>
      </w:tr>
      <w:tr w:rsidR="00BE7A0E" w:rsidRPr="00FD0D8E" w14:paraId="1B599E98" w14:textId="77777777" w:rsidTr="006B1109">
        <w:tc>
          <w:tcPr>
            <w:tcW w:w="1108" w:type="pct"/>
            <w:tcBorders>
              <w:top w:val="nil"/>
              <w:left w:val="nil"/>
              <w:bottom w:val="nil"/>
              <w:right w:val="nil"/>
            </w:tcBorders>
          </w:tcPr>
          <w:p w14:paraId="02E9E07E"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6156013C"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3B7A553C" w14:textId="77777777" w:rsidR="00BE7A0E" w:rsidRPr="00FD0D8E" w:rsidRDefault="00BE7A0E" w:rsidP="00C74EB6">
            <w:pPr>
              <w:autoSpaceDE w:val="0"/>
              <w:autoSpaceDN w:val="0"/>
              <w:adjustRightInd w:val="0"/>
              <w:jc w:val="center"/>
              <w:rPr>
                <w:kern w:val="0"/>
                <w:szCs w:val="21"/>
              </w:rPr>
            </w:pPr>
            <w:r w:rsidRPr="00FD0D8E">
              <w:rPr>
                <w:kern w:val="0"/>
                <w:szCs w:val="21"/>
              </w:rPr>
              <w:t>(0.010)</w:t>
            </w:r>
          </w:p>
        </w:tc>
        <w:tc>
          <w:tcPr>
            <w:tcW w:w="1297" w:type="pct"/>
            <w:tcBorders>
              <w:top w:val="nil"/>
              <w:left w:val="nil"/>
              <w:bottom w:val="nil"/>
              <w:right w:val="nil"/>
            </w:tcBorders>
          </w:tcPr>
          <w:p w14:paraId="5F24A1A2" w14:textId="77777777" w:rsidR="00BE7A0E" w:rsidRPr="00FD0D8E" w:rsidRDefault="00BE7A0E" w:rsidP="00C74EB6">
            <w:pPr>
              <w:autoSpaceDE w:val="0"/>
              <w:autoSpaceDN w:val="0"/>
              <w:adjustRightInd w:val="0"/>
              <w:jc w:val="center"/>
              <w:rPr>
                <w:kern w:val="0"/>
                <w:szCs w:val="21"/>
              </w:rPr>
            </w:pPr>
            <w:r w:rsidRPr="00FD0D8E">
              <w:rPr>
                <w:kern w:val="0"/>
                <w:szCs w:val="21"/>
              </w:rPr>
              <w:t>(0.016)</w:t>
            </w:r>
          </w:p>
        </w:tc>
      </w:tr>
      <w:tr w:rsidR="00BE7A0E" w:rsidRPr="00FD0D8E" w14:paraId="033A10C0" w14:textId="77777777" w:rsidTr="006B1109">
        <w:tc>
          <w:tcPr>
            <w:tcW w:w="1108" w:type="pct"/>
            <w:tcBorders>
              <w:top w:val="nil"/>
              <w:left w:val="nil"/>
              <w:bottom w:val="nil"/>
              <w:right w:val="nil"/>
            </w:tcBorders>
          </w:tcPr>
          <w:p w14:paraId="5825DF6B" w14:textId="77777777" w:rsidR="00BE7A0E" w:rsidRPr="00FD0D8E" w:rsidRDefault="00BE7A0E" w:rsidP="00C74EB6">
            <w:pPr>
              <w:autoSpaceDE w:val="0"/>
              <w:autoSpaceDN w:val="0"/>
              <w:adjustRightInd w:val="0"/>
              <w:rPr>
                <w:kern w:val="0"/>
                <w:szCs w:val="21"/>
              </w:rPr>
            </w:pPr>
            <w:r w:rsidRPr="00FD0D8E">
              <w:rPr>
                <w:kern w:val="0"/>
                <w:szCs w:val="21"/>
              </w:rPr>
              <w:t>FTA</w:t>
            </w:r>
          </w:p>
        </w:tc>
        <w:tc>
          <w:tcPr>
            <w:tcW w:w="1297" w:type="pct"/>
            <w:tcBorders>
              <w:top w:val="nil"/>
              <w:left w:val="nil"/>
              <w:bottom w:val="nil"/>
              <w:right w:val="nil"/>
            </w:tcBorders>
          </w:tcPr>
          <w:p w14:paraId="3FF90089"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4E965A7D" w14:textId="77777777" w:rsidR="00BE7A0E" w:rsidRPr="00FD0D8E" w:rsidRDefault="00BE7A0E" w:rsidP="00C74EB6">
            <w:pPr>
              <w:autoSpaceDE w:val="0"/>
              <w:autoSpaceDN w:val="0"/>
              <w:adjustRightInd w:val="0"/>
              <w:jc w:val="center"/>
              <w:rPr>
                <w:kern w:val="0"/>
                <w:szCs w:val="21"/>
              </w:rPr>
            </w:pPr>
            <w:r w:rsidRPr="00FD0D8E">
              <w:rPr>
                <w:kern w:val="0"/>
                <w:szCs w:val="21"/>
              </w:rPr>
              <w:t>-0.067</w:t>
            </w:r>
            <w:r w:rsidRPr="00FD0D8E">
              <w:rPr>
                <w:kern w:val="0"/>
                <w:szCs w:val="21"/>
                <w:vertAlign w:val="superscript"/>
              </w:rPr>
              <w:t>***</w:t>
            </w:r>
          </w:p>
        </w:tc>
        <w:tc>
          <w:tcPr>
            <w:tcW w:w="1297" w:type="pct"/>
            <w:tcBorders>
              <w:top w:val="nil"/>
              <w:left w:val="nil"/>
              <w:bottom w:val="nil"/>
              <w:right w:val="nil"/>
            </w:tcBorders>
          </w:tcPr>
          <w:p w14:paraId="791A5BA0" w14:textId="77777777" w:rsidR="00BE7A0E" w:rsidRPr="00FD0D8E" w:rsidRDefault="00BE7A0E"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r>
      <w:tr w:rsidR="00BE7A0E" w:rsidRPr="00FD0D8E" w14:paraId="6F46D2AE" w14:textId="77777777" w:rsidTr="006B1109">
        <w:tc>
          <w:tcPr>
            <w:tcW w:w="1108" w:type="pct"/>
            <w:tcBorders>
              <w:top w:val="nil"/>
              <w:left w:val="nil"/>
              <w:bottom w:val="nil"/>
              <w:right w:val="nil"/>
            </w:tcBorders>
          </w:tcPr>
          <w:p w14:paraId="65A14088"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763596BE"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00E4F91A" w14:textId="77777777" w:rsidR="00BE7A0E" w:rsidRPr="00FD0D8E" w:rsidRDefault="00BE7A0E" w:rsidP="00C74EB6">
            <w:pPr>
              <w:autoSpaceDE w:val="0"/>
              <w:autoSpaceDN w:val="0"/>
              <w:adjustRightInd w:val="0"/>
              <w:jc w:val="center"/>
              <w:rPr>
                <w:kern w:val="0"/>
                <w:szCs w:val="21"/>
              </w:rPr>
            </w:pPr>
            <w:r w:rsidRPr="00FD0D8E">
              <w:rPr>
                <w:kern w:val="0"/>
                <w:szCs w:val="21"/>
              </w:rPr>
              <w:t>(0.016)</w:t>
            </w:r>
          </w:p>
        </w:tc>
        <w:tc>
          <w:tcPr>
            <w:tcW w:w="1297" w:type="pct"/>
            <w:tcBorders>
              <w:top w:val="nil"/>
              <w:left w:val="nil"/>
              <w:bottom w:val="nil"/>
              <w:right w:val="nil"/>
            </w:tcBorders>
          </w:tcPr>
          <w:p w14:paraId="6B351A82" w14:textId="77777777" w:rsidR="00BE7A0E" w:rsidRPr="00FD0D8E" w:rsidRDefault="00BE7A0E" w:rsidP="00C74EB6">
            <w:pPr>
              <w:autoSpaceDE w:val="0"/>
              <w:autoSpaceDN w:val="0"/>
              <w:adjustRightInd w:val="0"/>
              <w:jc w:val="center"/>
              <w:rPr>
                <w:kern w:val="0"/>
                <w:szCs w:val="21"/>
              </w:rPr>
            </w:pPr>
            <w:r w:rsidRPr="00FD0D8E">
              <w:rPr>
                <w:kern w:val="0"/>
                <w:szCs w:val="21"/>
              </w:rPr>
              <w:t>(0.007)</w:t>
            </w:r>
          </w:p>
        </w:tc>
      </w:tr>
      <w:tr w:rsidR="00BE7A0E" w:rsidRPr="00FD0D8E" w14:paraId="50991D45" w14:textId="77777777" w:rsidTr="006B1109">
        <w:tc>
          <w:tcPr>
            <w:tcW w:w="1108" w:type="pct"/>
            <w:tcBorders>
              <w:top w:val="nil"/>
              <w:left w:val="nil"/>
              <w:bottom w:val="nil"/>
              <w:right w:val="nil"/>
            </w:tcBorders>
          </w:tcPr>
          <w:p w14:paraId="0B0D4058" w14:textId="77777777" w:rsidR="00BE7A0E" w:rsidRPr="00FD0D8E" w:rsidRDefault="00BE7A0E" w:rsidP="00C74EB6">
            <w:pPr>
              <w:autoSpaceDE w:val="0"/>
              <w:autoSpaceDN w:val="0"/>
              <w:adjustRightInd w:val="0"/>
              <w:rPr>
                <w:kern w:val="0"/>
                <w:szCs w:val="21"/>
              </w:rPr>
            </w:pPr>
            <w:r w:rsidRPr="00FD0D8E">
              <w:rPr>
                <w:kern w:val="0"/>
                <w:szCs w:val="21"/>
              </w:rPr>
              <w:t>Cash</w:t>
            </w:r>
          </w:p>
        </w:tc>
        <w:tc>
          <w:tcPr>
            <w:tcW w:w="1297" w:type="pct"/>
            <w:tcBorders>
              <w:top w:val="nil"/>
              <w:left w:val="nil"/>
              <w:bottom w:val="nil"/>
              <w:right w:val="nil"/>
            </w:tcBorders>
          </w:tcPr>
          <w:p w14:paraId="166A2F70"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02AA8966" w14:textId="77777777" w:rsidR="00BE7A0E" w:rsidRPr="00FD0D8E" w:rsidRDefault="00BE7A0E" w:rsidP="00C74EB6">
            <w:pPr>
              <w:autoSpaceDE w:val="0"/>
              <w:autoSpaceDN w:val="0"/>
              <w:adjustRightInd w:val="0"/>
              <w:jc w:val="center"/>
              <w:rPr>
                <w:kern w:val="0"/>
                <w:szCs w:val="21"/>
              </w:rPr>
            </w:pPr>
            <w:r w:rsidRPr="00FD0D8E">
              <w:rPr>
                <w:kern w:val="0"/>
                <w:szCs w:val="21"/>
              </w:rPr>
              <w:t>-0.020</w:t>
            </w:r>
          </w:p>
        </w:tc>
        <w:tc>
          <w:tcPr>
            <w:tcW w:w="1297" w:type="pct"/>
            <w:tcBorders>
              <w:top w:val="nil"/>
              <w:left w:val="nil"/>
              <w:bottom w:val="nil"/>
              <w:right w:val="nil"/>
            </w:tcBorders>
          </w:tcPr>
          <w:p w14:paraId="6365B9E3" w14:textId="77777777" w:rsidR="00BE7A0E" w:rsidRPr="00FD0D8E" w:rsidRDefault="00BE7A0E" w:rsidP="00C74EB6">
            <w:pPr>
              <w:autoSpaceDE w:val="0"/>
              <w:autoSpaceDN w:val="0"/>
              <w:adjustRightInd w:val="0"/>
              <w:jc w:val="center"/>
              <w:rPr>
                <w:kern w:val="0"/>
                <w:szCs w:val="21"/>
              </w:rPr>
            </w:pPr>
            <w:r w:rsidRPr="00FD0D8E">
              <w:rPr>
                <w:kern w:val="0"/>
                <w:szCs w:val="21"/>
              </w:rPr>
              <w:t>0.031</w:t>
            </w:r>
          </w:p>
        </w:tc>
      </w:tr>
      <w:tr w:rsidR="00BE7A0E" w:rsidRPr="00FD0D8E" w14:paraId="6247250D" w14:textId="77777777" w:rsidTr="006B1109">
        <w:tc>
          <w:tcPr>
            <w:tcW w:w="1108" w:type="pct"/>
            <w:tcBorders>
              <w:top w:val="nil"/>
              <w:left w:val="nil"/>
              <w:bottom w:val="nil"/>
              <w:right w:val="nil"/>
            </w:tcBorders>
          </w:tcPr>
          <w:p w14:paraId="1D04CED0"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5C7EC6DF"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06A03387" w14:textId="77777777" w:rsidR="00BE7A0E" w:rsidRPr="00FD0D8E" w:rsidRDefault="00BE7A0E" w:rsidP="00C74EB6">
            <w:pPr>
              <w:autoSpaceDE w:val="0"/>
              <w:autoSpaceDN w:val="0"/>
              <w:adjustRightInd w:val="0"/>
              <w:jc w:val="center"/>
              <w:rPr>
                <w:kern w:val="0"/>
                <w:szCs w:val="21"/>
              </w:rPr>
            </w:pPr>
            <w:r w:rsidRPr="00FD0D8E">
              <w:rPr>
                <w:kern w:val="0"/>
                <w:szCs w:val="21"/>
              </w:rPr>
              <w:t>(0.022)</w:t>
            </w:r>
          </w:p>
        </w:tc>
        <w:tc>
          <w:tcPr>
            <w:tcW w:w="1297" w:type="pct"/>
            <w:tcBorders>
              <w:top w:val="nil"/>
              <w:left w:val="nil"/>
              <w:bottom w:val="nil"/>
              <w:right w:val="nil"/>
            </w:tcBorders>
          </w:tcPr>
          <w:p w14:paraId="4AE585B4" w14:textId="77777777" w:rsidR="00BE7A0E" w:rsidRPr="00FD0D8E" w:rsidRDefault="00BE7A0E" w:rsidP="00C74EB6">
            <w:pPr>
              <w:autoSpaceDE w:val="0"/>
              <w:autoSpaceDN w:val="0"/>
              <w:adjustRightInd w:val="0"/>
              <w:jc w:val="center"/>
              <w:rPr>
                <w:kern w:val="0"/>
                <w:szCs w:val="21"/>
              </w:rPr>
            </w:pPr>
            <w:r w:rsidRPr="00FD0D8E">
              <w:rPr>
                <w:kern w:val="0"/>
                <w:szCs w:val="21"/>
              </w:rPr>
              <w:t>(0.025)</w:t>
            </w:r>
          </w:p>
        </w:tc>
      </w:tr>
      <w:tr w:rsidR="00BE7A0E" w:rsidRPr="00FD0D8E" w14:paraId="4F559377" w14:textId="77777777" w:rsidTr="006B1109">
        <w:tc>
          <w:tcPr>
            <w:tcW w:w="1108" w:type="pct"/>
            <w:tcBorders>
              <w:top w:val="nil"/>
              <w:left w:val="nil"/>
              <w:bottom w:val="nil"/>
              <w:right w:val="nil"/>
            </w:tcBorders>
          </w:tcPr>
          <w:p w14:paraId="5E655BAE" w14:textId="77777777" w:rsidR="00BE7A0E" w:rsidRPr="00FD0D8E" w:rsidRDefault="00BE7A0E" w:rsidP="00C74EB6">
            <w:pPr>
              <w:autoSpaceDE w:val="0"/>
              <w:autoSpaceDN w:val="0"/>
              <w:adjustRightInd w:val="0"/>
              <w:rPr>
                <w:kern w:val="0"/>
                <w:szCs w:val="21"/>
              </w:rPr>
            </w:pPr>
            <w:r w:rsidRPr="00FD0D8E">
              <w:rPr>
                <w:kern w:val="0"/>
                <w:szCs w:val="21"/>
              </w:rPr>
              <w:t>Volatility</w:t>
            </w:r>
          </w:p>
        </w:tc>
        <w:tc>
          <w:tcPr>
            <w:tcW w:w="1297" w:type="pct"/>
            <w:tcBorders>
              <w:top w:val="nil"/>
              <w:left w:val="nil"/>
              <w:bottom w:val="nil"/>
              <w:right w:val="nil"/>
            </w:tcBorders>
          </w:tcPr>
          <w:p w14:paraId="717B1AFE"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1AC77AFC" w14:textId="77777777" w:rsidR="00BE7A0E" w:rsidRPr="00FD0D8E" w:rsidRDefault="00BE7A0E" w:rsidP="00C74EB6">
            <w:pPr>
              <w:autoSpaceDE w:val="0"/>
              <w:autoSpaceDN w:val="0"/>
              <w:adjustRightInd w:val="0"/>
              <w:jc w:val="center"/>
              <w:rPr>
                <w:kern w:val="0"/>
                <w:szCs w:val="21"/>
              </w:rPr>
            </w:pPr>
            <w:r w:rsidRPr="00FD0D8E">
              <w:rPr>
                <w:kern w:val="0"/>
                <w:szCs w:val="21"/>
              </w:rPr>
              <w:t>0.042</w:t>
            </w:r>
          </w:p>
        </w:tc>
        <w:tc>
          <w:tcPr>
            <w:tcW w:w="1297" w:type="pct"/>
            <w:tcBorders>
              <w:top w:val="nil"/>
              <w:left w:val="nil"/>
              <w:bottom w:val="nil"/>
              <w:right w:val="nil"/>
            </w:tcBorders>
          </w:tcPr>
          <w:p w14:paraId="71C5E0FF" w14:textId="77777777" w:rsidR="00BE7A0E" w:rsidRPr="00FD0D8E" w:rsidRDefault="00BE7A0E" w:rsidP="00C74EB6">
            <w:pPr>
              <w:autoSpaceDE w:val="0"/>
              <w:autoSpaceDN w:val="0"/>
              <w:adjustRightInd w:val="0"/>
              <w:jc w:val="center"/>
              <w:rPr>
                <w:kern w:val="0"/>
                <w:szCs w:val="21"/>
              </w:rPr>
            </w:pPr>
            <w:r w:rsidRPr="00FD0D8E">
              <w:rPr>
                <w:kern w:val="0"/>
                <w:szCs w:val="21"/>
              </w:rPr>
              <w:t>0.080</w:t>
            </w:r>
          </w:p>
        </w:tc>
      </w:tr>
      <w:tr w:rsidR="00BE7A0E" w:rsidRPr="00FD0D8E" w14:paraId="1AC86A00" w14:textId="77777777" w:rsidTr="006B1109">
        <w:tc>
          <w:tcPr>
            <w:tcW w:w="1108" w:type="pct"/>
            <w:tcBorders>
              <w:top w:val="nil"/>
              <w:left w:val="nil"/>
              <w:bottom w:val="nil"/>
              <w:right w:val="nil"/>
            </w:tcBorders>
          </w:tcPr>
          <w:p w14:paraId="21072DC0"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2B72D958"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7008E074" w14:textId="77777777" w:rsidR="00BE7A0E" w:rsidRPr="00FD0D8E" w:rsidRDefault="00BE7A0E" w:rsidP="00C74EB6">
            <w:pPr>
              <w:autoSpaceDE w:val="0"/>
              <w:autoSpaceDN w:val="0"/>
              <w:adjustRightInd w:val="0"/>
              <w:jc w:val="center"/>
              <w:rPr>
                <w:kern w:val="0"/>
                <w:szCs w:val="21"/>
              </w:rPr>
            </w:pPr>
            <w:r w:rsidRPr="00FD0D8E">
              <w:rPr>
                <w:kern w:val="0"/>
                <w:szCs w:val="21"/>
              </w:rPr>
              <w:t>(0.089)</w:t>
            </w:r>
          </w:p>
        </w:tc>
        <w:tc>
          <w:tcPr>
            <w:tcW w:w="1297" w:type="pct"/>
            <w:tcBorders>
              <w:top w:val="nil"/>
              <w:left w:val="nil"/>
              <w:bottom w:val="nil"/>
              <w:right w:val="nil"/>
            </w:tcBorders>
          </w:tcPr>
          <w:p w14:paraId="1F97BA07" w14:textId="77777777" w:rsidR="00BE7A0E" w:rsidRPr="00FD0D8E" w:rsidRDefault="00BE7A0E" w:rsidP="00C74EB6">
            <w:pPr>
              <w:autoSpaceDE w:val="0"/>
              <w:autoSpaceDN w:val="0"/>
              <w:adjustRightInd w:val="0"/>
              <w:jc w:val="center"/>
              <w:rPr>
                <w:kern w:val="0"/>
                <w:szCs w:val="21"/>
              </w:rPr>
            </w:pPr>
            <w:r w:rsidRPr="00FD0D8E">
              <w:rPr>
                <w:kern w:val="0"/>
                <w:szCs w:val="21"/>
              </w:rPr>
              <w:t>(0.051)</w:t>
            </w:r>
          </w:p>
        </w:tc>
      </w:tr>
      <w:tr w:rsidR="00BE7A0E" w:rsidRPr="00FD0D8E" w14:paraId="494531B2" w14:textId="77777777" w:rsidTr="006B1109">
        <w:tc>
          <w:tcPr>
            <w:tcW w:w="1108" w:type="pct"/>
            <w:tcBorders>
              <w:top w:val="nil"/>
              <w:left w:val="nil"/>
              <w:bottom w:val="nil"/>
              <w:right w:val="nil"/>
            </w:tcBorders>
          </w:tcPr>
          <w:p w14:paraId="1597321B" w14:textId="77777777" w:rsidR="00BE7A0E" w:rsidRPr="00FD0D8E" w:rsidRDefault="00BE7A0E" w:rsidP="00C74EB6">
            <w:pPr>
              <w:autoSpaceDE w:val="0"/>
              <w:autoSpaceDN w:val="0"/>
              <w:adjustRightInd w:val="0"/>
              <w:rPr>
                <w:kern w:val="0"/>
                <w:szCs w:val="21"/>
              </w:rPr>
            </w:pPr>
            <w:r w:rsidRPr="00FD0D8E">
              <w:rPr>
                <w:kern w:val="0"/>
                <w:szCs w:val="21"/>
              </w:rPr>
              <w:t>PB</w:t>
            </w:r>
          </w:p>
        </w:tc>
        <w:tc>
          <w:tcPr>
            <w:tcW w:w="1297" w:type="pct"/>
            <w:tcBorders>
              <w:top w:val="nil"/>
              <w:left w:val="nil"/>
              <w:bottom w:val="nil"/>
              <w:right w:val="nil"/>
            </w:tcBorders>
          </w:tcPr>
          <w:p w14:paraId="646A00CF"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51ADFE95" w14:textId="77777777" w:rsidR="00BE7A0E" w:rsidRPr="00FD0D8E" w:rsidRDefault="00BE7A0E" w:rsidP="00C74EB6">
            <w:pPr>
              <w:autoSpaceDE w:val="0"/>
              <w:autoSpaceDN w:val="0"/>
              <w:adjustRightInd w:val="0"/>
              <w:jc w:val="center"/>
              <w:rPr>
                <w:kern w:val="0"/>
                <w:szCs w:val="21"/>
              </w:rPr>
            </w:pPr>
            <w:r w:rsidRPr="00FD0D8E">
              <w:rPr>
                <w:kern w:val="0"/>
                <w:szCs w:val="21"/>
              </w:rPr>
              <w:t>-0.001</w:t>
            </w:r>
          </w:p>
        </w:tc>
        <w:tc>
          <w:tcPr>
            <w:tcW w:w="1297" w:type="pct"/>
            <w:tcBorders>
              <w:top w:val="nil"/>
              <w:left w:val="nil"/>
              <w:bottom w:val="nil"/>
              <w:right w:val="nil"/>
            </w:tcBorders>
          </w:tcPr>
          <w:p w14:paraId="1B0C7DDC" w14:textId="77777777" w:rsidR="00BE7A0E" w:rsidRPr="00FD0D8E" w:rsidRDefault="00BE7A0E" w:rsidP="00C74EB6">
            <w:pPr>
              <w:autoSpaceDE w:val="0"/>
              <w:autoSpaceDN w:val="0"/>
              <w:adjustRightInd w:val="0"/>
              <w:jc w:val="center"/>
              <w:rPr>
                <w:kern w:val="0"/>
                <w:szCs w:val="21"/>
              </w:rPr>
            </w:pPr>
            <w:r w:rsidRPr="00FD0D8E">
              <w:rPr>
                <w:kern w:val="0"/>
                <w:szCs w:val="21"/>
              </w:rPr>
              <w:t>-0.000</w:t>
            </w:r>
          </w:p>
        </w:tc>
      </w:tr>
      <w:tr w:rsidR="00BE7A0E" w:rsidRPr="00FD0D8E" w14:paraId="44CEFB51" w14:textId="77777777" w:rsidTr="006B1109">
        <w:tc>
          <w:tcPr>
            <w:tcW w:w="1108" w:type="pct"/>
            <w:tcBorders>
              <w:top w:val="nil"/>
              <w:left w:val="nil"/>
              <w:bottom w:val="nil"/>
              <w:right w:val="nil"/>
            </w:tcBorders>
          </w:tcPr>
          <w:p w14:paraId="7E904C28"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00C69A37"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5E16D0DF" w14:textId="77777777" w:rsidR="00BE7A0E" w:rsidRPr="00FD0D8E" w:rsidRDefault="00BE7A0E" w:rsidP="00C74EB6">
            <w:pPr>
              <w:autoSpaceDE w:val="0"/>
              <w:autoSpaceDN w:val="0"/>
              <w:adjustRightInd w:val="0"/>
              <w:jc w:val="center"/>
              <w:rPr>
                <w:kern w:val="0"/>
                <w:szCs w:val="21"/>
              </w:rPr>
            </w:pPr>
            <w:r w:rsidRPr="00FD0D8E">
              <w:rPr>
                <w:kern w:val="0"/>
                <w:szCs w:val="21"/>
              </w:rPr>
              <w:t>(0.001)</w:t>
            </w:r>
          </w:p>
        </w:tc>
        <w:tc>
          <w:tcPr>
            <w:tcW w:w="1297" w:type="pct"/>
            <w:tcBorders>
              <w:top w:val="nil"/>
              <w:left w:val="nil"/>
              <w:bottom w:val="nil"/>
              <w:right w:val="nil"/>
            </w:tcBorders>
          </w:tcPr>
          <w:p w14:paraId="2C57F140" w14:textId="77777777" w:rsidR="00BE7A0E" w:rsidRPr="00FD0D8E" w:rsidRDefault="00BE7A0E" w:rsidP="00C74EB6">
            <w:pPr>
              <w:autoSpaceDE w:val="0"/>
              <w:autoSpaceDN w:val="0"/>
              <w:adjustRightInd w:val="0"/>
              <w:jc w:val="center"/>
              <w:rPr>
                <w:kern w:val="0"/>
                <w:szCs w:val="21"/>
              </w:rPr>
            </w:pPr>
            <w:r w:rsidRPr="00FD0D8E">
              <w:rPr>
                <w:kern w:val="0"/>
                <w:szCs w:val="21"/>
              </w:rPr>
              <w:t>(0.001)</w:t>
            </w:r>
          </w:p>
        </w:tc>
      </w:tr>
      <w:tr w:rsidR="00BE7A0E" w:rsidRPr="00FD0D8E" w14:paraId="277068E9" w14:textId="77777777" w:rsidTr="006B1109">
        <w:tc>
          <w:tcPr>
            <w:tcW w:w="1108" w:type="pct"/>
            <w:tcBorders>
              <w:top w:val="nil"/>
              <w:left w:val="nil"/>
              <w:bottom w:val="nil"/>
              <w:right w:val="nil"/>
            </w:tcBorders>
          </w:tcPr>
          <w:p w14:paraId="538C2ED0" w14:textId="77777777" w:rsidR="00BE7A0E" w:rsidRPr="00FD0D8E" w:rsidRDefault="00BE7A0E" w:rsidP="00C74EB6">
            <w:pPr>
              <w:autoSpaceDE w:val="0"/>
              <w:autoSpaceDN w:val="0"/>
              <w:adjustRightInd w:val="0"/>
              <w:rPr>
                <w:kern w:val="0"/>
                <w:szCs w:val="21"/>
              </w:rPr>
            </w:pPr>
            <w:proofErr w:type="spellStart"/>
            <w:r w:rsidRPr="00FD0D8E">
              <w:rPr>
                <w:kern w:val="0"/>
                <w:szCs w:val="21"/>
              </w:rPr>
              <w:t>GrowthRev</w:t>
            </w:r>
            <w:proofErr w:type="spellEnd"/>
          </w:p>
        </w:tc>
        <w:tc>
          <w:tcPr>
            <w:tcW w:w="1297" w:type="pct"/>
            <w:tcBorders>
              <w:top w:val="nil"/>
              <w:left w:val="nil"/>
              <w:bottom w:val="nil"/>
              <w:right w:val="nil"/>
            </w:tcBorders>
          </w:tcPr>
          <w:p w14:paraId="43ECB9FA"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6BA7928B" w14:textId="77777777" w:rsidR="00BE7A0E" w:rsidRPr="00FD0D8E" w:rsidRDefault="00BE7A0E" w:rsidP="00C74EB6">
            <w:pPr>
              <w:autoSpaceDE w:val="0"/>
              <w:autoSpaceDN w:val="0"/>
              <w:adjustRightInd w:val="0"/>
              <w:jc w:val="center"/>
              <w:rPr>
                <w:kern w:val="0"/>
                <w:szCs w:val="21"/>
              </w:rPr>
            </w:pPr>
            <w:r w:rsidRPr="00FD0D8E">
              <w:rPr>
                <w:kern w:val="0"/>
                <w:szCs w:val="21"/>
              </w:rPr>
              <w:t>0.003</w:t>
            </w:r>
          </w:p>
        </w:tc>
        <w:tc>
          <w:tcPr>
            <w:tcW w:w="1297" w:type="pct"/>
            <w:tcBorders>
              <w:top w:val="nil"/>
              <w:left w:val="nil"/>
              <w:bottom w:val="nil"/>
              <w:right w:val="nil"/>
            </w:tcBorders>
          </w:tcPr>
          <w:p w14:paraId="16ADDFD3" w14:textId="77777777" w:rsidR="00BE7A0E" w:rsidRPr="00FD0D8E" w:rsidRDefault="00BE7A0E" w:rsidP="00C74EB6">
            <w:pPr>
              <w:autoSpaceDE w:val="0"/>
              <w:autoSpaceDN w:val="0"/>
              <w:adjustRightInd w:val="0"/>
              <w:jc w:val="center"/>
              <w:rPr>
                <w:kern w:val="0"/>
                <w:szCs w:val="21"/>
              </w:rPr>
            </w:pPr>
            <w:r w:rsidRPr="00FD0D8E">
              <w:rPr>
                <w:kern w:val="0"/>
                <w:szCs w:val="21"/>
              </w:rPr>
              <w:t>0.007</w:t>
            </w:r>
          </w:p>
        </w:tc>
      </w:tr>
      <w:tr w:rsidR="00BE7A0E" w:rsidRPr="00FD0D8E" w14:paraId="45C1FFEE" w14:textId="77777777" w:rsidTr="006B1109">
        <w:tc>
          <w:tcPr>
            <w:tcW w:w="1108" w:type="pct"/>
            <w:tcBorders>
              <w:top w:val="nil"/>
              <w:left w:val="nil"/>
              <w:bottom w:val="nil"/>
              <w:right w:val="nil"/>
            </w:tcBorders>
          </w:tcPr>
          <w:p w14:paraId="1E758285"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1D1CF3EC"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7AC662C6" w14:textId="77777777" w:rsidR="00BE7A0E" w:rsidRPr="00FD0D8E" w:rsidRDefault="00BE7A0E" w:rsidP="00C74EB6">
            <w:pPr>
              <w:autoSpaceDE w:val="0"/>
              <w:autoSpaceDN w:val="0"/>
              <w:adjustRightInd w:val="0"/>
              <w:jc w:val="center"/>
              <w:rPr>
                <w:kern w:val="0"/>
                <w:szCs w:val="21"/>
              </w:rPr>
            </w:pPr>
            <w:r w:rsidRPr="00FD0D8E">
              <w:rPr>
                <w:kern w:val="0"/>
                <w:szCs w:val="21"/>
              </w:rPr>
              <w:t>(0.004)</w:t>
            </w:r>
          </w:p>
        </w:tc>
        <w:tc>
          <w:tcPr>
            <w:tcW w:w="1297" w:type="pct"/>
            <w:tcBorders>
              <w:top w:val="nil"/>
              <w:left w:val="nil"/>
              <w:bottom w:val="nil"/>
              <w:right w:val="nil"/>
            </w:tcBorders>
          </w:tcPr>
          <w:p w14:paraId="27C82F0E" w14:textId="77777777" w:rsidR="00BE7A0E" w:rsidRPr="00FD0D8E" w:rsidRDefault="00BE7A0E" w:rsidP="00C74EB6">
            <w:pPr>
              <w:autoSpaceDE w:val="0"/>
              <w:autoSpaceDN w:val="0"/>
              <w:adjustRightInd w:val="0"/>
              <w:jc w:val="center"/>
              <w:rPr>
                <w:kern w:val="0"/>
                <w:szCs w:val="21"/>
              </w:rPr>
            </w:pPr>
            <w:r w:rsidRPr="00FD0D8E">
              <w:rPr>
                <w:kern w:val="0"/>
                <w:szCs w:val="21"/>
              </w:rPr>
              <w:t>(0.006)</w:t>
            </w:r>
          </w:p>
        </w:tc>
      </w:tr>
      <w:tr w:rsidR="00BE7A0E" w:rsidRPr="00FD0D8E" w14:paraId="027694E7" w14:textId="77777777" w:rsidTr="006B1109">
        <w:tc>
          <w:tcPr>
            <w:tcW w:w="1108" w:type="pct"/>
            <w:tcBorders>
              <w:top w:val="nil"/>
              <w:left w:val="nil"/>
              <w:bottom w:val="nil"/>
              <w:right w:val="nil"/>
            </w:tcBorders>
          </w:tcPr>
          <w:p w14:paraId="3E84311E" w14:textId="77777777" w:rsidR="00BE7A0E" w:rsidRPr="00FD0D8E" w:rsidRDefault="00BE7A0E" w:rsidP="00C74EB6">
            <w:pPr>
              <w:autoSpaceDE w:val="0"/>
              <w:autoSpaceDN w:val="0"/>
              <w:adjustRightInd w:val="0"/>
              <w:rPr>
                <w:kern w:val="0"/>
                <w:szCs w:val="21"/>
              </w:rPr>
            </w:pPr>
            <w:r w:rsidRPr="00FD0D8E">
              <w:rPr>
                <w:kern w:val="0"/>
                <w:szCs w:val="21"/>
              </w:rPr>
              <w:t>ROA</w:t>
            </w:r>
          </w:p>
        </w:tc>
        <w:tc>
          <w:tcPr>
            <w:tcW w:w="1297" w:type="pct"/>
            <w:tcBorders>
              <w:top w:val="nil"/>
              <w:left w:val="nil"/>
              <w:bottom w:val="nil"/>
              <w:right w:val="nil"/>
            </w:tcBorders>
          </w:tcPr>
          <w:p w14:paraId="705D15B3"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3E167102" w14:textId="77777777" w:rsidR="00BE7A0E" w:rsidRPr="00FD0D8E" w:rsidRDefault="00BE7A0E" w:rsidP="00C74EB6">
            <w:pPr>
              <w:autoSpaceDE w:val="0"/>
              <w:autoSpaceDN w:val="0"/>
              <w:adjustRightInd w:val="0"/>
              <w:jc w:val="center"/>
              <w:rPr>
                <w:kern w:val="0"/>
                <w:szCs w:val="21"/>
              </w:rPr>
            </w:pPr>
            <w:r w:rsidRPr="00FD0D8E">
              <w:rPr>
                <w:kern w:val="0"/>
                <w:szCs w:val="21"/>
              </w:rPr>
              <w:t>-0.112</w:t>
            </w:r>
            <w:r w:rsidRPr="00FD0D8E">
              <w:rPr>
                <w:kern w:val="0"/>
                <w:szCs w:val="21"/>
                <w:vertAlign w:val="superscript"/>
              </w:rPr>
              <w:t>***</w:t>
            </w:r>
          </w:p>
        </w:tc>
        <w:tc>
          <w:tcPr>
            <w:tcW w:w="1297" w:type="pct"/>
            <w:tcBorders>
              <w:top w:val="nil"/>
              <w:left w:val="nil"/>
              <w:bottom w:val="nil"/>
              <w:right w:val="nil"/>
            </w:tcBorders>
          </w:tcPr>
          <w:p w14:paraId="7DFA32AA" w14:textId="77777777" w:rsidR="00BE7A0E" w:rsidRPr="00FD0D8E" w:rsidRDefault="00BE7A0E" w:rsidP="00C74EB6">
            <w:pPr>
              <w:autoSpaceDE w:val="0"/>
              <w:autoSpaceDN w:val="0"/>
              <w:adjustRightInd w:val="0"/>
              <w:jc w:val="center"/>
              <w:rPr>
                <w:kern w:val="0"/>
                <w:szCs w:val="21"/>
              </w:rPr>
            </w:pPr>
            <w:r w:rsidRPr="00FD0D8E">
              <w:rPr>
                <w:kern w:val="0"/>
                <w:szCs w:val="21"/>
              </w:rPr>
              <w:t>-0.051</w:t>
            </w:r>
          </w:p>
        </w:tc>
      </w:tr>
      <w:tr w:rsidR="00BE7A0E" w:rsidRPr="00FD0D8E" w14:paraId="20368ABA" w14:textId="77777777" w:rsidTr="006B1109">
        <w:tc>
          <w:tcPr>
            <w:tcW w:w="1108" w:type="pct"/>
            <w:tcBorders>
              <w:top w:val="nil"/>
              <w:left w:val="nil"/>
              <w:bottom w:val="nil"/>
              <w:right w:val="nil"/>
            </w:tcBorders>
          </w:tcPr>
          <w:p w14:paraId="1A3B2030"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694E82BE"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03FA9170" w14:textId="77777777" w:rsidR="00BE7A0E" w:rsidRPr="00FD0D8E" w:rsidRDefault="00BE7A0E" w:rsidP="00C74EB6">
            <w:pPr>
              <w:autoSpaceDE w:val="0"/>
              <w:autoSpaceDN w:val="0"/>
              <w:adjustRightInd w:val="0"/>
              <w:jc w:val="center"/>
              <w:rPr>
                <w:kern w:val="0"/>
                <w:szCs w:val="21"/>
              </w:rPr>
            </w:pPr>
            <w:r w:rsidRPr="00FD0D8E">
              <w:rPr>
                <w:kern w:val="0"/>
                <w:szCs w:val="21"/>
              </w:rPr>
              <w:t>(0.035)</w:t>
            </w:r>
          </w:p>
        </w:tc>
        <w:tc>
          <w:tcPr>
            <w:tcW w:w="1297" w:type="pct"/>
            <w:tcBorders>
              <w:top w:val="nil"/>
              <w:left w:val="nil"/>
              <w:bottom w:val="nil"/>
              <w:right w:val="nil"/>
            </w:tcBorders>
          </w:tcPr>
          <w:p w14:paraId="3EAA2412" w14:textId="77777777" w:rsidR="00BE7A0E" w:rsidRPr="00FD0D8E" w:rsidRDefault="00BE7A0E" w:rsidP="00C74EB6">
            <w:pPr>
              <w:autoSpaceDE w:val="0"/>
              <w:autoSpaceDN w:val="0"/>
              <w:adjustRightInd w:val="0"/>
              <w:jc w:val="center"/>
              <w:rPr>
                <w:kern w:val="0"/>
                <w:szCs w:val="21"/>
              </w:rPr>
            </w:pPr>
            <w:r w:rsidRPr="00FD0D8E">
              <w:rPr>
                <w:kern w:val="0"/>
                <w:szCs w:val="21"/>
              </w:rPr>
              <w:t>(0.039)</w:t>
            </w:r>
          </w:p>
        </w:tc>
      </w:tr>
      <w:tr w:rsidR="00BE7A0E" w:rsidRPr="00FD0D8E" w14:paraId="353222D8" w14:textId="77777777" w:rsidTr="006B1109">
        <w:tc>
          <w:tcPr>
            <w:tcW w:w="1108" w:type="pct"/>
            <w:tcBorders>
              <w:top w:val="nil"/>
              <w:left w:val="nil"/>
              <w:bottom w:val="nil"/>
              <w:right w:val="nil"/>
            </w:tcBorders>
          </w:tcPr>
          <w:p w14:paraId="6774C049" w14:textId="77777777" w:rsidR="00BE7A0E" w:rsidRPr="00FD0D8E" w:rsidRDefault="00BE7A0E" w:rsidP="00C74EB6">
            <w:pPr>
              <w:autoSpaceDE w:val="0"/>
              <w:autoSpaceDN w:val="0"/>
              <w:adjustRightInd w:val="0"/>
              <w:rPr>
                <w:kern w:val="0"/>
                <w:szCs w:val="21"/>
              </w:rPr>
            </w:pPr>
            <w:r w:rsidRPr="00FD0D8E">
              <w:rPr>
                <w:kern w:val="0"/>
                <w:szCs w:val="21"/>
              </w:rPr>
              <w:t>Penalty</w:t>
            </w:r>
          </w:p>
        </w:tc>
        <w:tc>
          <w:tcPr>
            <w:tcW w:w="1297" w:type="pct"/>
            <w:tcBorders>
              <w:top w:val="nil"/>
              <w:left w:val="nil"/>
              <w:bottom w:val="nil"/>
              <w:right w:val="nil"/>
            </w:tcBorders>
          </w:tcPr>
          <w:p w14:paraId="05018BA3"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27569AE6" w14:textId="77777777" w:rsidR="00BE7A0E" w:rsidRPr="00FD0D8E" w:rsidRDefault="00BE7A0E" w:rsidP="00C74EB6">
            <w:pPr>
              <w:autoSpaceDE w:val="0"/>
              <w:autoSpaceDN w:val="0"/>
              <w:adjustRightInd w:val="0"/>
              <w:jc w:val="center"/>
              <w:rPr>
                <w:kern w:val="0"/>
                <w:szCs w:val="21"/>
              </w:rPr>
            </w:pPr>
            <w:r w:rsidRPr="00FD0D8E">
              <w:rPr>
                <w:kern w:val="0"/>
                <w:szCs w:val="21"/>
              </w:rPr>
              <w:t>0.014</w:t>
            </w:r>
            <w:r w:rsidRPr="00FD0D8E">
              <w:rPr>
                <w:kern w:val="0"/>
                <w:szCs w:val="21"/>
                <w:vertAlign w:val="superscript"/>
              </w:rPr>
              <w:t>**</w:t>
            </w:r>
          </w:p>
        </w:tc>
        <w:tc>
          <w:tcPr>
            <w:tcW w:w="1297" w:type="pct"/>
            <w:tcBorders>
              <w:top w:val="nil"/>
              <w:left w:val="nil"/>
              <w:bottom w:val="nil"/>
              <w:right w:val="nil"/>
            </w:tcBorders>
          </w:tcPr>
          <w:p w14:paraId="40812340" w14:textId="77777777" w:rsidR="00BE7A0E" w:rsidRPr="00FD0D8E" w:rsidRDefault="00BE7A0E" w:rsidP="00C74EB6">
            <w:pPr>
              <w:autoSpaceDE w:val="0"/>
              <w:autoSpaceDN w:val="0"/>
              <w:adjustRightInd w:val="0"/>
              <w:jc w:val="center"/>
              <w:rPr>
                <w:kern w:val="0"/>
                <w:szCs w:val="21"/>
              </w:rPr>
            </w:pPr>
            <w:r w:rsidRPr="00FD0D8E">
              <w:rPr>
                <w:kern w:val="0"/>
                <w:szCs w:val="21"/>
              </w:rPr>
              <w:t>0.006</w:t>
            </w:r>
          </w:p>
        </w:tc>
      </w:tr>
      <w:tr w:rsidR="00BE7A0E" w:rsidRPr="00FD0D8E" w14:paraId="3CE7AAD9" w14:textId="77777777" w:rsidTr="006B1109">
        <w:tc>
          <w:tcPr>
            <w:tcW w:w="1108" w:type="pct"/>
            <w:tcBorders>
              <w:top w:val="nil"/>
              <w:left w:val="nil"/>
              <w:bottom w:val="nil"/>
              <w:right w:val="nil"/>
            </w:tcBorders>
          </w:tcPr>
          <w:p w14:paraId="5F6F9514"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56B70D96"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47910DDB" w14:textId="77777777" w:rsidR="00BE7A0E" w:rsidRPr="00FD0D8E" w:rsidRDefault="00BE7A0E" w:rsidP="00C74EB6">
            <w:pPr>
              <w:autoSpaceDE w:val="0"/>
              <w:autoSpaceDN w:val="0"/>
              <w:adjustRightInd w:val="0"/>
              <w:jc w:val="center"/>
              <w:rPr>
                <w:kern w:val="0"/>
                <w:szCs w:val="21"/>
              </w:rPr>
            </w:pPr>
            <w:r w:rsidRPr="00FD0D8E">
              <w:rPr>
                <w:kern w:val="0"/>
                <w:szCs w:val="21"/>
              </w:rPr>
              <w:t>(0.007)</w:t>
            </w:r>
          </w:p>
        </w:tc>
        <w:tc>
          <w:tcPr>
            <w:tcW w:w="1297" w:type="pct"/>
            <w:tcBorders>
              <w:top w:val="nil"/>
              <w:left w:val="nil"/>
              <w:bottom w:val="nil"/>
              <w:right w:val="nil"/>
            </w:tcBorders>
          </w:tcPr>
          <w:p w14:paraId="22CD66A6" w14:textId="77777777" w:rsidR="00BE7A0E" w:rsidRPr="00FD0D8E" w:rsidRDefault="00BE7A0E" w:rsidP="00C74EB6">
            <w:pPr>
              <w:autoSpaceDE w:val="0"/>
              <w:autoSpaceDN w:val="0"/>
              <w:adjustRightInd w:val="0"/>
              <w:jc w:val="center"/>
              <w:rPr>
                <w:kern w:val="0"/>
                <w:szCs w:val="21"/>
              </w:rPr>
            </w:pPr>
            <w:r w:rsidRPr="00FD0D8E">
              <w:rPr>
                <w:kern w:val="0"/>
                <w:szCs w:val="21"/>
              </w:rPr>
              <w:t>(0.008)</w:t>
            </w:r>
          </w:p>
        </w:tc>
      </w:tr>
      <w:tr w:rsidR="00BE7A0E" w:rsidRPr="00FD0D8E" w14:paraId="50E13AD7" w14:textId="77777777" w:rsidTr="006B1109">
        <w:tc>
          <w:tcPr>
            <w:tcW w:w="1108" w:type="pct"/>
            <w:tcBorders>
              <w:top w:val="nil"/>
              <w:left w:val="nil"/>
              <w:bottom w:val="nil"/>
              <w:right w:val="nil"/>
            </w:tcBorders>
          </w:tcPr>
          <w:p w14:paraId="1E9217AF" w14:textId="77777777" w:rsidR="00BE7A0E" w:rsidRPr="00FD0D8E" w:rsidRDefault="00BE7A0E" w:rsidP="00C74EB6">
            <w:pPr>
              <w:autoSpaceDE w:val="0"/>
              <w:autoSpaceDN w:val="0"/>
              <w:adjustRightInd w:val="0"/>
              <w:rPr>
                <w:kern w:val="0"/>
                <w:szCs w:val="21"/>
              </w:rPr>
            </w:pPr>
            <w:proofErr w:type="spellStart"/>
            <w:r w:rsidRPr="00FD0D8E">
              <w:rPr>
                <w:kern w:val="0"/>
                <w:szCs w:val="21"/>
              </w:rPr>
              <w:t>IndepR</w:t>
            </w:r>
            <w:proofErr w:type="spellEnd"/>
          </w:p>
        </w:tc>
        <w:tc>
          <w:tcPr>
            <w:tcW w:w="1297" w:type="pct"/>
            <w:tcBorders>
              <w:top w:val="nil"/>
              <w:left w:val="nil"/>
              <w:bottom w:val="nil"/>
              <w:right w:val="nil"/>
            </w:tcBorders>
          </w:tcPr>
          <w:p w14:paraId="65A347AC"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44018D0B" w14:textId="77777777" w:rsidR="00BE7A0E" w:rsidRPr="00FD0D8E" w:rsidRDefault="00BE7A0E" w:rsidP="00C74EB6">
            <w:pPr>
              <w:autoSpaceDE w:val="0"/>
              <w:autoSpaceDN w:val="0"/>
              <w:adjustRightInd w:val="0"/>
              <w:jc w:val="center"/>
              <w:rPr>
                <w:kern w:val="0"/>
                <w:szCs w:val="21"/>
              </w:rPr>
            </w:pPr>
            <w:r w:rsidRPr="00FD0D8E">
              <w:rPr>
                <w:kern w:val="0"/>
                <w:szCs w:val="21"/>
              </w:rPr>
              <w:t>0.008</w:t>
            </w:r>
          </w:p>
        </w:tc>
        <w:tc>
          <w:tcPr>
            <w:tcW w:w="1297" w:type="pct"/>
            <w:tcBorders>
              <w:top w:val="nil"/>
              <w:left w:val="nil"/>
              <w:bottom w:val="nil"/>
              <w:right w:val="nil"/>
            </w:tcBorders>
          </w:tcPr>
          <w:p w14:paraId="0A8CA6A2" w14:textId="77777777" w:rsidR="00BE7A0E" w:rsidRPr="00FD0D8E" w:rsidRDefault="00BE7A0E" w:rsidP="00C74EB6">
            <w:pPr>
              <w:autoSpaceDE w:val="0"/>
              <w:autoSpaceDN w:val="0"/>
              <w:adjustRightInd w:val="0"/>
              <w:jc w:val="center"/>
              <w:rPr>
                <w:kern w:val="0"/>
                <w:szCs w:val="21"/>
              </w:rPr>
            </w:pPr>
            <w:r w:rsidRPr="00FD0D8E">
              <w:rPr>
                <w:kern w:val="0"/>
                <w:szCs w:val="21"/>
              </w:rPr>
              <w:t>0.012</w:t>
            </w:r>
          </w:p>
        </w:tc>
      </w:tr>
      <w:tr w:rsidR="00BE7A0E" w:rsidRPr="00FD0D8E" w14:paraId="3280F981" w14:textId="77777777" w:rsidTr="006B1109">
        <w:tc>
          <w:tcPr>
            <w:tcW w:w="1108" w:type="pct"/>
            <w:tcBorders>
              <w:top w:val="nil"/>
              <w:left w:val="nil"/>
              <w:bottom w:val="nil"/>
              <w:right w:val="nil"/>
            </w:tcBorders>
          </w:tcPr>
          <w:p w14:paraId="6B9B2777"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3A45E682"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26A8E0D2" w14:textId="77777777" w:rsidR="00BE7A0E" w:rsidRPr="00FD0D8E" w:rsidRDefault="00BE7A0E" w:rsidP="00C74EB6">
            <w:pPr>
              <w:autoSpaceDE w:val="0"/>
              <w:autoSpaceDN w:val="0"/>
              <w:adjustRightInd w:val="0"/>
              <w:jc w:val="center"/>
              <w:rPr>
                <w:kern w:val="0"/>
                <w:szCs w:val="21"/>
              </w:rPr>
            </w:pPr>
            <w:r w:rsidRPr="00FD0D8E">
              <w:rPr>
                <w:kern w:val="0"/>
                <w:szCs w:val="21"/>
              </w:rPr>
              <w:t>(0.022)</w:t>
            </w:r>
          </w:p>
        </w:tc>
        <w:tc>
          <w:tcPr>
            <w:tcW w:w="1297" w:type="pct"/>
            <w:tcBorders>
              <w:top w:val="nil"/>
              <w:left w:val="nil"/>
              <w:bottom w:val="nil"/>
              <w:right w:val="nil"/>
            </w:tcBorders>
          </w:tcPr>
          <w:p w14:paraId="37C598BA" w14:textId="77777777" w:rsidR="00BE7A0E" w:rsidRPr="00FD0D8E" w:rsidRDefault="00BE7A0E" w:rsidP="00C74EB6">
            <w:pPr>
              <w:autoSpaceDE w:val="0"/>
              <w:autoSpaceDN w:val="0"/>
              <w:adjustRightInd w:val="0"/>
              <w:jc w:val="center"/>
              <w:rPr>
                <w:kern w:val="0"/>
                <w:szCs w:val="21"/>
              </w:rPr>
            </w:pPr>
            <w:r w:rsidRPr="00FD0D8E">
              <w:rPr>
                <w:kern w:val="0"/>
                <w:szCs w:val="21"/>
              </w:rPr>
              <w:t>(0.015)</w:t>
            </w:r>
          </w:p>
        </w:tc>
      </w:tr>
      <w:tr w:rsidR="00BE7A0E" w:rsidRPr="00FD0D8E" w14:paraId="1986C91C" w14:textId="77777777" w:rsidTr="006B1109">
        <w:tc>
          <w:tcPr>
            <w:tcW w:w="1108" w:type="pct"/>
            <w:tcBorders>
              <w:top w:val="nil"/>
              <w:left w:val="nil"/>
              <w:bottom w:val="nil"/>
              <w:right w:val="nil"/>
            </w:tcBorders>
          </w:tcPr>
          <w:p w14:paraId="18F08CDA" w14:textId="77777777" w:rsidR="00BE7A0E" w:rsidRPr="00FD0D8E" w:rsidRDefault="00BE7A0E" w:rsidP="00C74EB6">
            <w:pPr>
              <w:autoSpaceDE w:val="0"/>
              <w:autoSpaceDN w:val="0"/>
              <w:adjustRightInd w:val="0"/>
              <w:rPr>
                <w:kern w:val="0"/>
                <w:szCs w:val="21"/>
              </w:rPr>
            </w:pPr>
            <w:proofErr w:type="spellStart"/>
            <w:r w:rsidRPr="00FD0D8E">
              <w:rPr>
                <w:kern w:val="0"/>
                <w:szCs w:val="21"/>
              </w:rPr>
              <w:t>DSize</w:t>
            </w:r>
            <w:proofErr w:type="spellEnd"/>
          </w:p>
        </w:tc>
        <w:tc>
          <w:tcPr>
            <w:tcW w:w="1297" w:type="pct"/>
            <w:tcBorders>
              <w:top w:val="nil"/>
              <w:left w:val="nil"/>
              <w:bottom w:val="nil"/>
              <w:right w:val="nil"/>
            </w:tcBorders>
          </w:tcPr>
          <w:p w14:paraId="5F584981"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5908D08C" w14:textId="77777777" w:rsidR="00BE7A0E" w:rsidRPr="00FD0D8E" w:rsidRDefault="00BE7A0E"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297" w:type="pct"/>
            <w:tcBorders>
              <w:top w:val="nil"/>
              <w:left w:val="nil"/>
              <w:bottom w:val="nil"/>
              <w:right w:val="nil"/>
            </w:tcBorders>
          </w:tcPr>
          <w:p w14:paraId="42358046" w14:textId="77777777" w:rsidR="00BE7A0E" w:rsidRPr="00FD0D8E" w:rsidRDefault="00BE7A0E"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r>
      <w:tr w:rsidR="00BE7A0E" w:rsidRPr="00FD0D8E" w14:paraId="67B1666F" w14:textId="77777777" w:rsidTr="006B1109">
        <w:tc>
          <w:tcPr>
            <w:tcW w:w="1108" w:type="pct"/>
            <w:tcBorders>
              <w:top w:val="nil"/>
              <w:left w:val="nil"/>
              <w:bottom w:val="nil"/>
              <w:right w:val="nil"/>
            </w:tcBorders>
          </w:tcPr>
          <w:p w14:paraId="62DDFC2E"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792055B6"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6885219F" w14:textId="77777777" w:rsidR="00BE7A0E" w:rsidRPr="00FD0D8E" w:rsidRDefault="00BE7A0E" w:rsidP="00C74EB6">
            <w:pPr>
              <w:autoSpaceDE w:val="0"/>
              <w:autoSpaceDN w:val="0"/>
              <w:adjustRightInd w:val="0"/>
              <w:jc w:val="center"/>
              <w:rPr>
                <w:kern w:val="0"/>
                <w:szCs w:val="21"/>
              </w:rPr>
            </w:pPr>
            <w:r w:rsidRPr="00FD0D8E">
              <w:rPr>
                <w:kern w:val="0"/>
                <w:szCs w:val="21"/>
              </w:rPr>
              <w:t>(0.001)</w:t>
            </w:r>
          </w:p>
        </w:tc>
        <w:tc>
          <w:tcPr>
            <w:tcW w:w="1297" w:type="pct"/>
            <w:tcBorders>
              <w:top w:val="nil"/>
              <w:left w:val="nil"/>
              <w:bottom w:val="nil"/>
              <w:right w:val="nil"/>
            </w:tcBorders>
          </w:tcPr>
          <w:p w14:paraId="5667D05D" w14:textId="77777777" w:rsidR="00BE7A0E" w:rsidRPr="00FD0D8E" w:rsidRDefault="00BE7A0E" w:rsidP="00C74EB6">
            <w:pPr>
              <w:autoSpaceDE w:val="0"/>
              <w:autoSpaceDN w:val="0"/>
              <w:adjustRightInd w:val="0"/>
              <w:jc w:val="center"/>
              <w:rPr>
                <w:kern w:val="0"/>
                <w:szCs w:val="21"/>
              </w:rPr>
            </w:pPr>
            <w:r w:rsidRPr="00FD0D8E">
              <w:rPr>
                <w:kern w:val="0"/>
                <w:szCs w:val="21"/>
              </w:rPr>
              <w:t>(0.001)</w:t>
            </w:r>
          </w:p>
        </w:tc>
      </w:tr>
      <w:tr w:rsidR="00BE7A0E" w:rsidRPr="00FD0D8E" w14:paraId="016C1F49" w14:textId="77777777" w:rsidTr="006B1109">
        <w:tc>
          <w:tcPr>
            <w:tcW w:w="1108" w:type="pct"/>
            <w:tcBorders>
              <w:top w:val="nil"/>
              <w:left w:val="nil"/>
              <w:bottom w:val="nil"/>
              <w:right w:val="nil"/>
            </w:tcBorders>
          </w:tcPr>
          <w:p w14:paraId="1BB3AAAF" w14:textId="77777777" w:rsidR="00BE7A0E" w:rsidRPr="00FD0D8E" w:rsidRDefault="00BE7A0E" w:rsidP="00C74EB6">
            <w:pPr>
              <w:autoSpaceDE w:val="0"/>
              <w:autoSpaceDN w:val="0"/>
              <w:adjustRightInd w:val="0"/>
              <w:rPr>
                <w:kern w:val="0"/>
                <w:szCs w:val="21"/>
              </w:rPr>
            </w:pPr>
            <w:r w:rsidRPr="00FD0D8E">
              <w:rPr>
                <w:kern w:val="0"/>
                <w:szCs w:val="21"/>
              </w:rPr>
              <w:t>Duality</w:t>
            </w:r>
          </w:p>
        </w:tc>
        <w:tc>
          <w:tcPr>
            <w:tcW w:w="1297" w:type="pct"/>
            <w:tcBorders>
              <w:top w:val="nil"/>
              <w:left w:val="nil"/>
              <w:bottom w:val="nil"/>
              <w:right w:val="nil"/>
            </w:tcBorders>
          </w:tcPr>
          <w:p w14:paraId="56A7C6CD"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7D828E65" w14:textId="77777777" w:rsidR="00BE7A0E" w:rsidRPr="00FD0D8E" w:rsidRDefault="00BE7A0E" w:rsidP="00C74EB6">
            <w:pPr>
              <w:autoSpaceDE w:val="0"/>
              <w:autoSpaceDN w:val="0"/>
              <w:adjustRightInd w:val="0"/>
              <w:jc w:val="center"/>
              <w:rPr>
                <w:kern w:val="0"/>
                <w:szCs w:val="21"/>
              </w:rPr>
            </w:pPr>
            <w:r w:rsidRPr="00FD0D8E">
              <w:rPr>
                <w:kern w:val="0"/>
                <w:szCs w:val="21"/>
              </w:rPr>
              <w:t>-0.022</w:t>
            </w:r>
            <w:r w:rsidRPr="00FD0D8E">
              <w:rPr>
                <w:kern w:val="0"/>
                <w:szCs w:val="21"/>
                <w:vertAlign w:val="superscript"/>
              </w:rPr>
              <w:t>***</w:t>
            </w:r>
          </w:p>
        </w:tc>
        <w:tc>
          <w:tcPr>
            <w:tcW w:w="1297" w:type="pct"/>
            <w:tcBorders>
              <w:top w:val="nil"/>
              <w:left w:val="nil"/>
              <w:bottom w:val="nil"/>
              <w:right w:val="nil"/>
            </w:tcBorders>
          </w:tcPr>
          <w:p w14:paraId="149DB66D" w14:textId="77777777" w:rsidR="00BE7A0E" w:rsidRPr="00FD0D8E" w:rsidRDefault="00BE7A0E"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r>
      <w:tr w:rsidR="00BE7A0E" w:rsidRPr="00FD0D8E" w14:paraId="32C5658B" w14:textId="77777777" w:rsidTr="006B1109">
        <w:tc>
          <w:tcPr>
            <w:tcW w:w="1108" w:type="pct"/>
            <w:tcBorders>
              <w:top w:val="nil"/>
              <w:left w:val="nil"/>
              <w:bottom w:val="nil"/>
              <w:right w:val="nil"/>
            </w:tcBorders>
          </w:tcPr>
          <w:p w14:paraId="2BF8E307"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062A3D2B"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1D794D63" w14:textId="77777777" w:rsidR="00BE7A0E" w:rsidRPr="00FD0D8E" w:rsidRDefault="00BE7A0E" w:rsidP="00C74EB6">
            <w:pPr>
              <w:autoSpaceDE w:val="0"/>
              <w:autoSpaceDN w:val="0"/>
              <w:adjustRightInd w:val="0"/>
              <w:jc w:val="center"/>
              <w:rPr>
                <w:kern w:val="0"/>
                <w:szCs w:val="21"/>
              </w:rPr>
            </w:pPr>
            <w:r w:rsidRPr="00FD0D8E">
              <w:rPr>
                <w:kern w:val="0"/>
                <w:szCs w:val="21"/>
              </w:rPr>
              <w:t>(0.006)</w:t>
            </w:r>
          </w:p>
        </w:tc>
        <w:tc>
          <w:tcPr>
            <w:tcW w:w="1297" w:type="pct"/>
            <w:tcBorders>
              <w:top w:val="nil"/>
              <w:left w:val="nil"/>
              <w:bottom w:val="nil"/>
              <w:right w:val="nil"/>
            </w:tcBorders>
          </w:tcPr>
          <w:p w14:paraId="519A97FB" w14:textId="77777777" w:rsidR="00BE7A0E" w:rsidRPr="00FD0D8E" w:rsidRDefault="00BE7A0E" w:rsidP="00C74EB6">
            <w:pPr>
              <w:autoSpaceDE w:val="0"/>
              <w:autoSpaceDN w:val="0"/>
              <w:adjustRightInd w:val="0"/>
              <w:jc w:val="center"/>
              <w:rPr>
                <w:kern w:val="0"/>
                <w:szCs w:val="21"/>
              </w:rPr>
            </w:pPr>
            <w:r w:rsidRPr="00FD0D8E">
              <w:rPr>
                <w:kern w:val="0"/>
                <w:szCs w:val="21"/>
              </w:rPr>
              <w:t>(0.005)</w:t>
            </w:r>
          </w:p>
        </w:tc>
      </w:tr>
      <w:tr w:rsidR="00BE7A0E" w:rsidRPr="00FD0D8E" w14:paraId="3517F601" w14:textId="77777777" w:rsidTr="006B1109">
        <w:tc>
          <w:tcPr>
            <w:tcW w:w="1108" w:type="pct"/>
            <w:tcBorders>
              <w:top w:val="nil"/>
              <w:left w:val="nil"/>
              <w:bottom w:val="nil"/>
              <w:right w:val="nil"/>
            </w:tcBorders>
          </w:tcPr>
          <w:p w14:paraId="59D55020" w14:textId="77777777" w:rsidR="00BE7A0E" w:rsidRPr="00FD0D8E" w:rsidRDefault="00BE7A0E" w:rsidP="00C74EB6">
            <w:pPr>
              <w:autoSpaceDE w:val="0"/>
              <w:autoSpaceDN w:val="0"/>
              <w:adjustRightInd w:val="0"/>
              <w:rPr>
                <w:kern w:val="0"/>
                <w:szCs w:val="21"/>
              </w:rPr>
            </w:pPr>
            <w:r w:rsidRPr="00FD0D8E">
              <w:rPr>
                <w:kern w:val="0"/>
                <w:szCs w:val="21"/>
              </w:rPr>
              <w:t>DOSR</w:t>
            </w:r>
          </w:p>
        </w:tc>
        <w:tc>
          <w:tcPr>
            <w:tcW w:w="1297" w:type="pct"/>
            <w:tcBorders>
              <w:top w:val="nil"/>
              <w:left w:val="nil"/>
              <w:bottom w:val="nil"/>
              <w:right w:val="nil"/>
            </w:tcBorders>
          </w:tcPr>
          <w:p w14:paraId="676FB22A"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4312ED98" w14:textId="77777777" w:rsidR="00BE7A0E" w:rsidRPr="00FD0D8E" w:rsidRDefault="00BE7A0E" w:rsidP="00C74EB6">
            <w:pPr>
              <w:autoSpaceDE w:val="0"/>
              <w:autoSpaceDN w:val="0"/>
              <w:adjustRightInd w:val="0"/>
              <w:jc w:val="center"/>
              <w:rPr>
                <w:kern w:val="0"/>
                <w:szCs w:val="21"/>
              </w:rPr>
            </w:pPr>
            <w:r w:rsidRPr="00FD0D8E">
              <w:rPr>
                <w:kern w:val="0"/>
                <w:szCs w:val="21"/>
              </w:rPr>
              <w:t>-0.099</w:t>
            </w:r>
            <w:r w:rsidRPr="00FD0D8E">
              <w:rPr>
                <w:kern w:val="0"/>
                <w:szCs w:val="21"/>
                <w:vertAlign w:val="superscript"/>
              </w:rPr>
              <w:t>***</w:t>
            </w:r>
          </w:p>
        </w:tc>
        <w:tc>
          <w:tcPr>
            <w:tcW w:w="1297" w:type="pct"/>
            <w:tcBorders>
              <w:top w:val="nil"/>
              <w:left w:val="nil"/>
              <w:bottom w:val="nil"/>
              <w:right w:val="nil"/>
            </w:tcBorders>
          </w:tcPr>
          <w:p w14:paraId="4831AF1E" w14:textId="77777777" w:rsidR="00BE7A0E" w:rsidRPr="00FD0D8E" w:rsidRDefault="00BE7A0E" w:rsidP="00C74EB6">
            <w:pPr>
              <w:autoSpaceDE w:val="0"/>
              <w:autoSpaceDN w:val="0"/>
              <w:adjustRightInd w:val="0"/>
              <w:jc w:val="center"/>
              <w:rPr>
                <w:kern w:val="0"/>
                <w:szCs w:val="21"/>
              </w:rPr>
            </w:pPr>
            <w:r w:rsidRPr="00FD0D8E">
              <w:rPr>
                <w:kern w:val="0"/>
                <w:szCs w:val="21"/>
              </w:rPr>
              <w:t>-0.085</w:t>
            </w:r>
            <w:r w:rsidRPr="00FD0D8E">
              <w:rPr>
                <w:kern w:val="0"/>
                <w:szCs w:val="21"/>
                <w:vertAlign w:val="superscript"/>
              </w:rPr>
              <w:t>***</w:t>
            </w:r>
          </w:p>
        </w:tc>
      </w:tr>
      <w:tr w:rsidR="00BE7A0E" w:rsidRPr="00FD0D8E" w14:paraId="685CA117" w14:textId="77777777" w:rsidTr="006B1109">
        <w:tc>
          <w:tcPr>
            <w:tcW w:w="1108" w:type="pct"/>
            <w:tcBorders>
              <w:top w:val="nil"/>
              <w:left w:val="nil"/>
              <w:bottom w:val="nil"/>
              <w:right w:val="nil"/>
            </w:tcBorders>
          </w:tcPr>
          <w:p w14:paraId="7345519D"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4558D84A"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7C6E6A38" w14:textId="77777777" w:rsidR="00BE7A0E" w:rsidRPr="00FD0D8E" w:rsidRDefault="00BE7A0E" w:rsidP="00C74EB6">
            <w:pPr>
              <w:autoSpaceDE w:val="0"/>
              <w:autoSpaceDN w:val="0"/>
              <w:adjustRightInd w:val="0"/>
              <w:jc w:val="center"/>
              <w:rPr>
                <w:kern w:val="0"/>
                <w:szCs w:val="21"/>
              </w:rPr>
            </w:pPr>
            <w:r w:rsidRPr="00FD0D8E">
              <w:rPr>
                <w:kern w:val="0"/>
                <w:szCs w:val="21"/>
              </w:rPr>
              <w:t>(0.012)</w:t>
            </w:r>
          </w:p>
        </w:tc>
        <w:tc>
          <w:tcPr>
            <w:tcW w:w="1297" w:type="pct"/>
            <w:tcBorders>
              <w:top w:val="nil"/>
              <w:left w:val="nil"/>
              <w:bottom w:val="nil"/>
              <w:right w:val="nil"/>
            </w:tcBorders>
          </w:tcPr>
          <w:p w14:paraId="32EDD04B" w14:textId="77777777" w:rsidR="00BE7A0E" w:rsidRPr="00FD0D8E" w:rsidRDefault="00BE7A0E" w:rsidP="00C74EB6">
            <w:pPr>
              <w:autoSpaceDE w:val="0"/>
              <w:autoSpaceDN w:val="0"/>
              <w:adjustRightInd w:val="0"/>
              <w:jc w:val="center"/>
              <w:rPr>
                <w:kern w:val="0"/>
                <w:szCs w:val="21"/>
              </w:rPr>
            </w:pPr>
            <w:r w:rsidRPr="00FD0D8E">
              <w:rPr>
                <w:kern w:val="0"/>
                <w:szCs w:val="21"/>
              </w:rPr>
              <w:t>(0.011)</w:t>
            </w:r>
          </w:p>
        </w:tc>
      </w:tr>
      <w:tr w:rsidR="00BE7A0E" w:rsidRPr="00FD0D8E" w14:paraId="0CD5E3EF" w14:textId="77777777" w:rsidTr="006B1109">
        <w:tc>
          <w:tcPr>
            <w:tcW w:w="1108" w:type="pct"/>
            <w:tcBorders>
              <w:top w:val="nil"/>
              <w:left w:val="nil"/>
              <w:bottom w:val="nil"/>
              <w:right w:val="nil"/>
            </w:tcBorders>
          </w:tcPr>
          <w:p w14:paraId="449CD303" w14:textId="77777777" w:rsidR="00BE7A0E" w:rsidRPr="00FD0D8E" w:rsidRDefault="00BE7A0E" w:rsidP="00C74EB6">
            <w:pPr>
              <w:autoSpaceDE w:val="0"/>
              <w:autoSpaceDN w:val="0"/>
              <w:adjustRightInd w:val="0"/>
              <w:rPr>
                <w:kern w:val="0"/>
                <w:szCs w:val="21"/>
              </w:rPr>
            </w:pPr>
            <w:r w:rsidRPr="00FD0D8E">
              <w:rPr>
                <w:kern w:val="0"/>
                <w:szCs w:val="21"/>
              </w:rPr>
              <w:t>Size</w:t>
            </w:r>
          </w:p>
        </w:tc>
        <w:tc>
          <w:tcPr>
            <w:tcW w:w="1297" w:type="pct"/>
            <w:tcBorders>
              <w:top w:val="nil"/>
              <w:left w:val="nil"/>
              <w:bottom w:val="nil"/>
              <w:right w:val="nil"/>
            </w:tcBorders>
          </w:tcPr>
          <w:p w14:paraId="4F57E3E5"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79CE9ECE" w14:textId="77777777" w:rsidR="00BE7A0E" w:rsidRPr="00FD0D8E" w:rsidRDefault="00BE7A0E" w:rsidP="00C74EB6">
            <w:pPr>
              <w:autoSpaceDE w:val="0"/>
              <w:autoSpaceDN w:val="0"/>
              <w:adjustRightInd w:val="0"/>
              <w:jc w:val="center"/>
              <w:rPr>
                <w:kern w:val="0"/>
                <w:szCs w:val="21"/>
              </w:rPr>
            </w:pPr>
            <w:r w:rsidRPr="00FD0D8E">
              <w:rPr>
                <w:kern w:val="0"/>
                <w:szCs w:val="21"/>
              </w:rPr>
              <w:t>0.013</w:t>
            </w:r>
            <w:r w:rsidRPr="00FD0D8E">
              <w:rPr>
                <w:kern w:val="0"/>
                <w:szCs w:val="21"/>
                <w:vertAlign w:val="superscript"/>
              </w:rPr>
              <w:t>***</w:t>
            </w:r>
          </w:p>
        </w:tc>
        <w:tc>
          <w:tcPr>
            <w:tcW w:w="1297" w:type="pct"/>
            <w:tcBorders>
              <w:top w:val="nil"/>
              <w:left w:val="nil"/>
              <w:bottom w:val="nil"/>
              <w:right w:val="nil"/>
            </w:tcBorders>
          </w:tcPr>
          <w:p w14:paraId="06AF4425" w14:textId="77777777" w:rsidR="00BE7A0E" w:rsidRPr="00FD0D8E" w:rsidRDefault="00BE7A0E"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r>
      <w:tr w:rsidR="00BE7A0E" w:rsidRPr="00FD0D8E" w14:paraId="14A82747" w14:textId="77777777" w:rsidTr="006B1109">
        <w:tc>
          <w:tcPr>
            <w:tcW w:w="1108" w:type="pct"/>
            <w:tcBorders>
              <w:top w:val="nil"/>
              <w:left w:val="nil"/>
              <w:bottom w:val="nil"/>
              <w:right w:val="nil"/>
            </w:tcBorders>
          </w:tcPr>
          <w:p w14:paraId="04960CE9"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0B7A0C42"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6434E9A3" w14:textId="77777777" w:rsidR="00BE7A0E" w:rsidRPr="00FD0D8E" w:rsidRDefault="00BE7A0E" w:rsidP="00C74EB6">
            <w:pPr>
              <w:autoSpaceDE w:val="0"/>
              <w:autoSpaceDN w:val="0"/>
              <w:adjustRightInd w:val="0"/>
              <w:jc w:val="center"/>
              <w:rPr>
                <w:kern w:val="0"/>
                <w:szCs w:val="21"/>
              </w:rPr>
            </w:pPr>
            <w:r w:rsidRPr="00FD0D8E">
              <w:rPr>
                <w:kern w:val="0"/>
                <w:szCs w:val="21"/>
              </w:rPr>
              <w:t>(0.002)</w:t>
            </w:r>
          </w:p>
        </w:tc>
        <w:tc>
          <w:tcPr>
            <w:tcW w:w="1297" w:type="pct"/>
            <w:tcBorders>
              <w:top w:val="nil"/>
              <w:left w:val="nil"/>
              <w:bottom w:val="nil"/>
              <w:right w:val="nil"/>
            </w:tcBorders>
          </w:tcPr>
          <w:p w14:paraId="5CF3EBC1" w14:textId="77777777" w:rsidR="00BE7A0E" w:rsidRPr="00FD0D8E" w:rsidRDefault="00BE7A0E" w:rsidP="00C74EB6">
            <w:pPr>
              <w:autoSpaceDE w:val="0"/>
              <w:autoSpaceDN w:val="0"/>
              <w:adjustRightInd w:val="0"/>
              <w:jc w:val="center"/>
              <w:rPr>
                <w:kern w:val="0"/>
                <w:szCs w:val="21"/>
              </w:rPr>
            </w:pPr>
            <w:r w:rsidRPr="00FD0D8E">
              <w:rPr>
                <w:kern w:val="0"/>
                <w:szCs w:val="21"/>
              </w:rPr>
              <w:t>(0.001)</w:t>
            </w:r>
          </w:p>
        </w:tc>
      </w:tr>
      <w:tr w:rsidR="00BE7A0E" w:rsidRPr="00FD0D8E" w14:paraId="4E6374FF" w14:textId="77777777" w:rsidTr="006B1109">
        <w:tc>
          <w:tcPr>
            <w:tcW w:w="1108" w:type="pct"/>
            <w:tcBorders>
              <w:top w:val="nil"/>
              <w:left w:val="nil"/>
              <w:bottom w:val="nil"/>
              <w:right w:val="nil"/>
            </w:tcBorders>
          </w:tcPr>
          <w:p w14:paraId="11F7924E" w14:textId="77777777" w:rsidR="00BE7A0E" w:rsidRPr="00FD0D8E" w:rsidRDefault="00BE7A0E" w:rsidP="00C74EB6">
            <w:pPr>
              <w:autoSpaceDE w:val="0"/>
              <w:autoSpaceDN w:val="0"/>
              <w:adjustRightInd w:val="0"/>
              <w:rPr>
                <w:kern w:val="0"/>
                <w:szCs w:val="21"/>
              </w:rPr>
            </w:pPr>
            <w:r w:rsidRPr="00FD0D8E">
              <w:rPr>
                <w:kern w:val="0"/>
                <w:szCs w:val="21"/>
              </w:rPr>
              <w:t>SOE</w:t>
            </w:r>
          </w:p>
        </w:tc>
        <w:tc>
          <w:tcPr>
            <w:tcW w:w="1297" w:type="pct"/>
            <w:tcBorders>
              <w:top w:val="nil"/>
              <w:left w:val="nil"/>
              <w:bottom w:val="nil"/>
              <w:right w:val="nil"/>
            </w:tcBorders>
          </w:tcPr>
          <w:p w14:paraId="61B48710"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bottom w:val="nil"/>
              <w:right w:val="nil"/>
            </w:tcBorders>
          </w:tcPr>
          <w:p w14:paraId="65AE4AA6" w14:textId="77777777" w:rsidR="00BE7A0E" w:rsidRPr="00FD0D8E" w:rsidRDefault="00BE7A0E" w:rsidP="00C74EB6">
            <w:pPr>
              <w:autoSpaceDE w:val="0"/>
              <w:autoSpaceDN w:val="0"/>
              <w:adjustRightInd w:val="0"/>
              <w:jc w:val="center"/>
              <w:rPr>
                <w:kern w:val="0"/>
                <w:szCs w:val="21"/>
              </w:rPr>
            </w:pPr>
            <w:r w:rsidRPr="00FD0D8E">
              <w:rPr>
                <w:kern w:val="0"/>
                <w:szCs w:val="21"/>
              </w:rPr>
              <w:t>0.011</w:t>
            </w:r>
            <w:r w:rsidRPr="00FD0D8E">
              <w:rPr>
                <w:kern w:val="0"/>
                <w:szCs w:val="21"/>
                <w:vertAlign w:val="superscript"/>
              </w:rPr>
              <w:t>***</w:t>
            </w:r>
          </w:p>
        </w:tc>
        <w:tc>
          <w:tcPr>
            <w:tcW w:w="1297" w:type="pct"/>
            <w:tcBorders>
              <w:top w:val="nil"/>
              <w:left w:val="nil"/>
              <w:bottom w:val="nil"/>
              <w:right w:val="nil"/>
            </w:tcBorders>
          </w:tcPr>
          <w:p w14:paraId="6A72BA56" w14:textId="77777777" w:rsidR="00BE7A0E" w:rsidRPr="00FD0D8E" w:rsidRDefault="00BE7A0E"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r>
      <w:tr w:rsidR="00BE7A0E" w:rsidRPr="00FD0D8E" w14:paraId="0CC5D61C" w14:textId="77777777" w:rsidTr="00576B9C">
        <w:tc>
          <w:tcPr>
            <w:tcW w:w="1108" w:type="pct"/>
            <w:tcBorders>
              <w:top w:val="nil"/>
              <w:left w:val="nil"/>
              <w:right w:val="nil"/>
            </w:tcBorders>
          </w:tcPr>
          <w:p w14:paraId="588C28DC" w14:textId="77777777" w:rsidR="00BE7A0E" w:rsidRPr="00FD0D8E" w:rsidRDefault="00BE7A0E" w:rsidP="00C74EB6">
            <w:pPr>
              <w:autoSpaceDE w:val="0"/>
              <w:autoSpaceDN w:val="0"/>
              <w:adjustRightInd w:val="0"/>
              <w:rPr>
                <w:kern w:val="0"/>
                <w:szCs w:val="21"/>
              </w:rPr>
            </w:pPr>
          </w:p>
        </w:tc>
        <w:tc>
          <w:tcPr>
            <w:tcW w:w="1297" w:type="pct"/>
            <w:tcBorders>
              <w:top w:val="nil"/>
              <w:left w:val="nil"/>
              <w:right w:val="nil"/>
            </w:tcBorders>
          </w:tcPr>
          <w:p w14:paraId="1408720A" w14:textId="77777777" w:rsidR="00BE7A0E" w:rsidRPr="00FD0D8E" w:rsidRDefault="00BE7A0E" w:rsidP="00C74EB6">
            <w:pPr>
              <w:autoSpaceDE w:val="0"/>
              <w:autoSpaceDN w:val="0"/>
              <w:adjustRightInd w:val="0"/>
              <w:jc w:val="center"/>
              <w:rPr>
                <w:kern w:val="0"/>
                <w:szCs w:val="21"/>
              </w:rPr>
            </w:pPr>
          </w:p>
        </w:tc>
        <w:tc>
          <w:tcPr>
            <w:tcW w:w="1297" w:type="pct"/>
            <w:tcBorders>
              <w:top w:val="nil"/>
              <w:left w:val="nil"/>
              <w:right w:val="nil"/>
            </w:tcBorders>
          </w:tcPr>
          <w:p w14:paraId="230BB59D" w14:textId="77777777" w:rsidR="00BE7A0E" w:rsidRPr="00FD0D8E" w:rsidRDefault="00BE7A0E" w:rsidP="00C74EB6">
            <w:pPr>
              <w:autoSpaceDE w:val="0"/>
              <w:autoSpaceDN w:val="0"/>
              <w:adjustRightInd w:val="0"/>
              <w:jc w:val="center"/>
              <w:rPr>
                <w:kern w:val="0"/>
                <w:szCs w:val="21"/>
              </w:rPr>
            </w:pPr>
            <w:r w:rsidRPr="00FD0D8E">
              <w:rPr>
                <w:kern w:val="0"/>
                <w:szCs w:val="21"/>
              </w:rPr>
              <w:t>(0.004)</w:t>
            </w:r>
          </w:p>
        </w:tc>
        <w:tc>
          <w:tcPr>
            <w:tcW w:w="1297" w:type="pct"/>
            <w:tcBorders>
              <w:top w:val="nil"/>
              <w:left w:val="nil"/>
              <w:right w:val="nil"/>
            </w:tcBorders>
          </w:tcPr>
          <w:p w14:paraId="1343028F" w14:textId="77777777" w:rsidR="00BE7A0E" w:rsidRPr="00FD0D8E" w:rsidRDefault="00BE7A0E" w:rsidP="00C74EB6">
            <w:pPr>
              <w:autoSpaceDE w:val="0"/>
              <w:autoSpaceDN w:val="0"/>
              <w:adjustRightInd w:val="0"/>
              <w:jc w:val="center"/>
              <w:rPr>
                <w:kern w:val="0"/>
                <w:szCs w:val="21"/>
              </w:rPr>
            </w:pPr>
            <w:r w:rsidRPr="00FD0D8E">
              <w:rPr>
                <w:kern w:val="0"/>
                <w:szCs w:val="21"/>
              </w:rPr>
              <w:t>(0.003)</w:t>
            </w:r>
          </w:p>
        </w:tc>
      </w:tr>
      <w:tr w:rsidR="00576B9C" w:rsidRPr="00FD0D8E" w14:paraId="1269D998" w14:textId="77777777" w:rsidTr="00576B9C">
        <w:tc>
          <w:tcPr>
            <w:tcW w:w="1108" w:type="pct"/>
            <w:tcBorders>
              <w:left w:val="nil"/>
              <w:bottom w:val="nil"/>
              <w:right w:val="nil"/>
            </w:tcBorders>
          </w:tcPr>
          <w:p w14:paraId="5D8C3AB8" w14:textId="3742860A" w:rsidR="00576B9C" w:rsidRPr="00FD0D8E" w:rsidRDefault="00576B9C" w:rsidP="00C74EB6">
            <w:pPr>
              <w:autoSpaceDE w:val="0"/>
              <w:autoSpaceDN w:val="0"/>
              <w:adjustRightInd w:val="0"/>
              <w:rPr>
                <w:kern w:val="0"/>
                <w:szCs w:val="21"/>
              </w:rPr>
            </w:pPr>
            <w:r w:rsidRPr="00FD0D8E">
              <w:rPr>
                <w:rFonts w:hint="eastAsia"/>
                <w:kern w:val="0"/>
                <w:szCs w:val="21"/>
              </w:rPr>
              <w:t>行业</w:t>
            </w:r>
            <w:r w:rsidRPr="00FD0D8E">
              <w:rPr>
                <w:rFonts w:hint="eastAsia"/>
                <w:kern w:val="0"/>
                <w:szCs w:val="21"/>
              </w:rPr>
              <w:t>FE</w:t>
            </w:r>
          </w:p>
        </w:tc>
        <w:tc>
          <w:tcPr>
            <w:tcW w:w="1297" w:type="pct"/>
            <w:tcBorders>
              <w:left w:val="nil"/>
              <w:bottom w:val="nil"/>
              <w:right w:val="nil"/>
            </w:tcBorders>
          </w:tcPr>
          <w:p w14:paraId="67B58354" w14:textId="0E1CEE4D" w:rsidR="00576B9C" w:rsidRPr="00FD0D8E" w:rsidRDefault="00576B9C" w:rsidP="00C74EB6">
            <w:pPr>
              <w:autoSpaceDE w:val="0"/>
              <w:autoSpaceDN w:val="0"/>
              <w:adjustRightInd w:val="0"/>
              <w:jc w:val="center"/>
              <w:rPr>
                <w:kern w:val="0"/>
                <w:szCs w:val="21"/>
              </w:rPr>
            </w:pPr>
            <w:r w:rsidRPr="00FD0D8E">
              <w:rPr>
                <w:rFonts w:hint="eastAsia"/>
                <w:kern w:val="0"/>
                <w:szCs w:val="21"/>
              </w:rPr>
              <w:t>控制</w:t>
            </w:r>
          </w:p>
        </w:tc>
        <w:tc>
          <w:tcPr>
            <w:tcW w:w="1297" w:type="pct"/>
            <w:tcBorders>
              <w:left w:val="nil"/>
              <w:bottom w:val="nil"/>
              <w:right w:val="nil"/>
            </w:tcBorders>
          </w:tcPr>
          <w:p w14:paraId="397C093B" w14:textId="06EEAA16" w:rsidR="00576B9C" w:rsidRPr="00FD0D8E" w:rsidRDefault="00576B9C" w:rsidP="00C74EB6">
            <w:pPr>
              <w:autoSpaceDE w:val="0"/>
              <w:autoSpaceDN w:val="0"/>
              <w:adjustRightInd w:val="0"/>
              <w:jc w:val="center"/>
              <w:rPr>
                <w:kern w:val="0"/>
                <w:szCs w:val="21"/>
              </w:rPr>
            </w:pPr>
            <w:r w:rsidRPr="00FD0D8E">
              <w:rPr>
                <w:rFonts w:hint="eastAsia"/>
                <w:kern w:val="0"/>
                <w:szCs w:val="21"/>
              </w:rPr>
              <w:t>不控制</w:t>
            </w:r>
          </w:p>
        </w:tc>
        <w:tc>
          <w:tcPr>
            <w:tcW w:w="1297" w:type="pct"/>
            <w:tcBorders>
              <w:left w:val="nil"/>
              <w:bottom w:val="nil"/>
              <w:right w:val="nil"/>
            </w:tcBorders>
          </w:tcPr>
          <w:p w14:paraId="667ADC7F" w14:textId="0CFFC49E" w:rsidR="00576B9C" w:rsidRPr="00FD0D8E" w:rsidRDefault="00576B9C" w:rsidP="00C74EB6">
            <w:pPr>
              <w:autoSpaceDE w:val="0"/>
              <w:autoSpaceDN w:val="0"/>
              <w:adjustRightInd w:val="0"/>
              <w:jc w:val="center"/>
              <w:rPr>
                <w:kern w:val="0"/>
                <w:szCs w:val="21"/>
              </w:rPr>
            </w:pPr>
            <w:r w:rsidRPr="00FD0D8E">
              <w:rPr>
                <w:rFonts w:hint="eastAsia"/>
                <w:kern w:val="0"/>
                <w:szCs w:val="21"/>
              </w:rPr>
              <w:t>控制</w:t>
            </w:r>
          </w:p>
        </w:tc>
      </w:tr>
      <w:tr w:rsidR="00576B9C" w:rsidRPr="00FD0D8E" w14:paraId="6FDC383E" w14:textId="77777777" w:rsidTr="00576B9C">
        <w:tc>
          <w:tcPr>
            <w:tcW w:w="1108" w:type="pct"/>
            <w:tcBorders>
              <w:left w:val="nil"/>
              <w:right w:val="nil"/>
            </w:tcBorders>
          </w:tcPr>
          <w:p w14:paraId="01CD4D73" w14:textId="4B26A4D5" w:rsidR="00576B9C" w:rsidRPr="00FD0D8E" w:rsidRDefault="00576B9C" w:rsidP="00C74EB6">
            <w:pPr>
              <w:autoSpaceDE w:val="0"/>
              <w:autoSpaceDN w:val="0"/>
              <w:adjustRightInd w:val="0"/>
              <w:rPr>
                <w:kern w:val="0"/>
                <w:szCs w:val="21"/>
              </w:rPr>
            </w:pPr>
            <w:r w:rsidRPr="00FD0D8E">
              <w:rPr>
                <w:rFonts w:hint="eastAsia"/>
                <w:kern w:val="0"/>
                <w:szCs w:val="21"/>
              </w:rPr>
              <w:t>年份</w:t>
            </w:r>
            <w:r w:rsidRPr="00FD0D8E">
              <w:rPr>
                <w:rFonts w:hint="eastAsia"/>
                <w:kern w:val="0"/>
                <w:szCs w:val="21"/>
              </w:rPr>
              <w:t>FE</w:t>
            </w:r>
          </w:p>
        </w:tc>
        <w:tc>
          <w:tcPr>
            <w:tcW w:w="1297" w:type="pct"/>
            <w:tcBorders>
              <w:left w:val="nil"/>
              <w:right w:val="nil"/>
            </w:tcBorders>
          </w:tcPr>
          <w:p w14:paraId="3C20F537" w14:textId="248E6B81" w:rsidR="00576B9C" w:rsidRPr="00FD0D8E" w:rsidRDefault="00576B9C" w:rsidP="00C74EB6">
            <w:pPr>
              <w:autoSpaceDE w:val="0"/>
              <w:autoSpaceDN w:val="0"/>
              <w:adjustRightInd w:val="0"/>
              <w:jc w:val="center"/>
              <w:rPr>
                <w:kern w:val="0"/>
                <w:szCs w:val="21"/>
              </w:rPr>
            </w:pPr>
            <w:r w:rsidRPr="00FD0D8E">
              <w:rPr>
                <w:rFonts w:hint="eastAsia"/>
                <w:kern w:val="0"/>
                <w:szCs w:val="21"/>
              </w:rPr>
              <w:t>控制</w:t>
            </w:r>
          </w:p>
        </w:tc>
        <w:tc>
          <w:tcPr>
            <w:tcW w:w="1297" w:type="pct"/>
            <w:tcBorders>
              <w:left w:val="nil"/>
              <w:right w:val="nil"/>
            </w:tcBorders>
          </w:tcPr>
          <w:p w14:paraId="576C20EA" w14:textId="06BEEB77" w:rsidR="00576B9C" w:rsidRPr="00FD0D8E" w:rsidRDefault="00576B9C" w:rsidP="00C74EB6">
            <w:pPr>
              <w:autoSpaceDE w:val="0"/>
              <w:autoSpaceDN w:val="0"/>
              <w:adjustRightInd w:val="0"/>
              <w:jc w:val="center"/>
              <w:rPr>
                <w:kern w:val="0"/>
                <w:szCs w:val="21"/>
              </w:rPr>
            </w:pPr>
            <w:r w:rsidRPr="00FD0D8E">
              <w:rPr>
                <w:rFonts w:hint="eastAsia"/>
                <w:kern w:val="0"/>
                <w:szCs w:val="21"/>
              </w:rPr>
              <w:t>不控制</w:t>
            </w:r>
          </w:p>
        </w:tc>
        <w:tc>
          <w:tcPr>
            <w:tcW w:w="1297" w:type="pct"/>
            <w:tcBorders>
              <w:left w:val="nil"/>
              <w:right w:val="nil"/>
            </w:tcBorders>
          </w:tcPr>
          <w:p w14:paraId="6A378AFF" w14:textId="655BDF2A" w:rsidR="00576B9C" w:rsidRPr="00FD0D8E" w:rsidRDefault="00576B9C" w:rsidP="00C74EB6">
            <w:pPr>
              <w:autoSpaceDE w:val="0"/>
              <w:autoSpaceDN w:val="0"/>
              <w:adjustRightInd w:val="0"/>
              <w:jc w:val="center"/>
              <w:rPr>
                <w:kern w:val="0"/>
                <w:szCs w:val="21"/>
              </w:rPr>
            </w:pPr>
            <w:r w:rsidRPr="00FD0D8E">
              <w:rPr>
                <w:rFonts w:hint="eastAsia"/>
                <w:kern w:val="0"/>
                <w:szCs w:val="21"/>
              </w:rPr>
              <w:t>控制</w:t>
            </w:r>
          </w:p>
        </w:tc>
      </w:tr>
      <w:tr w:rsidR="00576B9C" w:rsidRPr="00FD0D8E" w14:paraId="3A65968F" w14:textId="77777777" w:rsidTr="00576B9C">
        <w:tc>
          <w:tcPr>
            <w:tcW w:w="1108" w:type="pct"/>
            <w:tcBorders>
              <w:left w:val="nil"/>
              <w:right w:val="nil"/>
            </w:tcBorders>
          </w:tcPr>
          <w:p w14:paraId="1CB39F74" w14:textId="77777777" w:rsidR="00576B9C" w:rsidRPr="00FD0D8E" w:rsidRDefault="00576B9C" w:rsidP="00C74EB6">
            <w:pPr>
              <w:autoSpaceDE w:val="0"/>
              <w:autoSpaceDN w:val="0"/>
              <w:adjustRightInd w:val="0"/>
              <w:rPr>
                <w:kern w:val="0"/>
                <w:szCs w:val="21"/>
              </w:rPr>
            </w:pPr>
            <w:r w:rsidRPr="00FD0D8E">
              <w:rPr>
                <w:kern w:val="0"/>
                <w:szCs w:val="21"/>
              </w:rPr>
              <w:t>N</w:t>
            </w:r>
          </w:p>
        </w:tc>
        <w:tc>
          <w:tcPr>
            <w:tcW w:w="1297" w:type="pct"/>
            <w:tcBorders>
              <w:left w:val="nil"/>
              <w:right w:val="nil"/>
            </w:tcBorders>
          </w:tcPr>
          <w:p w14:paraId="31F8F038" w14:textId="77777777" w:rsidR="00576B9C" w:rsidRPr="00FD0D8E" w:rsidRDefault="00576B9C" w:rsidP="00C74EB6">
            <w:pPr>
              <w:autoSpaceDE w:val="0"/>
              <w:autoSpaceDN w:val="0"/>
              <w:adjustRightInd w:val="0"/>
              <w:jc w:val="center"/>
              <w:rPr>
                <w:kern w:val="0"/>
                <w:szCs w:val="21"/>
              </w:rPr>
            </w:pPr>
            <w:r w:rsidRPr="00FD0D8E">
              <w:rPr>
                <w:kern w:val="0"/>
                <w:szCs w:val="21"/>
              </w:rPr>
              <w:t>20815</w:t>
            </w:r>
          </w:p>
        </w:tc>
        <w:tc>
          <w:tcPr>
            <w:tcW w:w="1297" w:type="pct"/>
            <w:tcBorders>
              <w:left w:val="nil"/>
              <w:right w:val="nil"/>
            </w:tcBorders>
          </w:tcPr>
          <w:p w14:paraId="36246E55" w14:textId="77777777" w:rsidR="00576B9C" w:rsidRPr="00FD0D8E" w:rsidRDefault="00576B9C" w:rsidP="00C74EB6">
            <w:pPr>
              <w:autoSpaceDE w:val="0"/>
              <w:autoSpaceDN w:val="0"/>
              <w:adjustRightInd w:val="0"/>
              <w:jc w:val="center"/>
              <w:rPr>
                <w:kern w:val="0"/>
                <w:szCs w:val="21"/>
              </w:rPr>
            </w:pPr>
            <w:r w:rsidRPr="00FD0D8E">
              <w:rPr>
                <w:kern w:val="0"/>
                <w:szCs w:val="21"/>
              </w:rPr>
              <w:t>20815</w:t>
            </w:r>
          </w:p>
        </w:tc>
        <w:tc>
          <w:tcPr>
            <w:tcW w:w="1297" w:type="pct"/>
            <w:tcBorders>
              <w:left w:val="nil"/>
              <w:right w:val="nil"/>
            </w:tcBorders>
          </w:tcPr>
          <w:p w14:paraId="2EA9927D" w14:textId="77777777" w:rsidR="00576B9C" w:rsidRPr="00FD0D8E" w:rsidRDefault="00576B9C" w:rsidP="00C74EB6">
            <w:pPr>
              <w:autoSpaceDE w:val="0"/>
              <w:autoSpaceDN w:val="0"/>
              <w:adjustRightInd w:val="0"/>
              <w:jc w:val="center"/>
              <w:rPr>
                <w:kern w:val="0"/>
                <w:szCs w:val="21"/>
              </w:rPr>
            </w:pPr>
            <w:r w:rsidRPr="00FD0D8E">
              <w:rPr>
                <w:kern w:val="0"/>
                <w:szCs w:val="21"/>
              </w:rPr>
              <w:t>20815</w:t>
            </w:r>
          </w:p>
        </w:tc>
      </w:tr>
      <w:tr w:rsidR="00576B9C" w:rsidRPr="00FD0D8E" w14:paraId="3D8D121C" w14:textId="77777777" w:rsidTr="00576B9C">
        <w:tc>
          <w:tcPr>
            <w:tcW w:w="1108" w:type="pct"/>
            <w:tcBorders>
              <w:top w:val="nil"/>
              <w:left w:val="nil"/>
              <w:bottom w:val="single" w:sz="4" w:space="0" w:color="auto"/>
              <w:right w:val="nil"/>
            </w:tcBorders>
          </w:tcPr>
          <w:p w14:paraId="664DBAEC" w14:textId="70B4AE0A" w:rsidR="00576B9C" w:rsidRPr="00FD0D8E" w:rsidRDefault="00134D67" w:rsidP="00C74EB6">
            <w:pPr>
              <w:autoSpaceDE w:val="0"/>
              <w:autoSpaceDN w:val="0"/>
              <w:adjustRightInd w:val="0"/>
              <w:rPr>
                <w:kern w:val="0"/>
                <w:szCs w:val="21"/>
              </w:rPr>
            </w:pPr>
            <w:r w:rsidRPr="00FD0D8E">
              <w:rPr>
                <w:kern w:val="0"/>
                <w:szCs w:val="21"/>
              </w:rPr>
              <w:t>Pseudo R²</w:t>
            </w:r>
          </w:p>
        </w:tc>
        <w:tc>
          <w:tcPr>
            <w:tcW w:w="1297" w:type="pct"/>
            <w:tcBorders>
              <w:top w:val="nil"/>
              <w:left w:val="nil"/>
              <w:bottom w:val="single" w:sz="4" w:space="0" w:color="auto"/>
              <w:right w:val="nil"/>
            </w:tcBorders>
          </w:tcPr>
          <w:p w14:paraId="4F08DACE" w14:textId="3770B199" w:rsidR="00576B9C" w:rsidRPr="00FD0D8E" w:rsidRDefault="008F736B" w:rsidP="00C74EB6">
            <w:pPr>
              <w:autoSpaceDE w:val="0"/>
              <w:autoSpaceDN w:val="0"/>
              <w:adjustRightInd w:val="0"/>
              <w:jc w:val="center"/>
              <w:rPr>
                <w:kern w:val="0"/>
                <w:szCs w:val="21"/>
              </w:rPr>
            </w:pPr>
            <w:r w:rsidRPr="00FD0D8E">
              <w:rPr>
                <w:rFonts w:hint="eastAsia"/>
                <w:kern w:val="0"/>
                <w:szCs w:val="21"/>
              </w:rPr>
              <w:t>0.15</w:t>
            </w:r>
          </w:p>
        </w:tc>
        <w:tc>
          <w:tcPr>
            <w:tcW w:w="1297" w:type="pct"/>
            <w:tcBorders>
              <w:top w:val="nil"/>
              <w:left w:val="nil"/>
              <w:bottom w:val="single" w:sz="4" w:space="0" w:color="auto"/>
              <w:right w:val="nil"/>
            </w:tcBorders>
          </w:tcPr>
          <w:p w14:paraId="21BF0055" w14:textId="689BAE0A" w:rsidR="00576B9C" w:rsidRPr="00FD0D8E" w:rsidRDefault="008F736B" w:rsidP="00C74EB6">
            <w:pPr>
              <w:autoSpaceDE w:val="0"/>
              <w:autoSpaceDN w:val="0"/>
              <w:adjustRightInd w:val="0"/>
              <w:jc w:val="center"/>
              <w:rPr>
                <w:kern w:val="0"/>
                <w:szCs w:val="21"/>
              </w:rPr>
            </w:pPr>
            <w:r w:rsidRPr="00FD0D8E">
              <w:rPr>
                <w:rFonts w:hint="eastAsia"/>
                <w:kern w:val="0"/>
                <w:szCs w:val="21"/>
              </w:rPr>
              <w:t>0.16</w:t>
            </w:r>
          </w:p>
        </w:tc>
        <w:tc>
          <w:tcPr>
            <w:tcW w:w="1297" w:type="pct"/>
            <w:tcBorders>
              <w:top w:val="nil"/>
              <w:left w:val="nil"/>
              <w:bottom w:val="single" w:sz="4" w:space="0" w:color="auto"/>
              <w:right w:val="nil"/>
            </w:tcBorders>
          </w:tcPr>
          <w:p w14:paraId="377C7B25" w14:textId="5462FF88" w:rsidR="00576B9C" w:rsidRPr="00FD0D8E" w:rsidRDefault="008F736B" w:rsidP="00C74EB6">
            <w:pPr>
              <w:autoSpaceDE w:val="0"/>
              <w:autoSpaceDN w:val="0"/>
              <w:adjustRightInd w:val="0"/>
              <w:jc w:val="center"/>
              <w:rPr>
                <w:kern w:val="0"/>
                <w:szCs w:val="21"/>
              </w:rPr>
            </w:pPr>
            <w:r w:rsidRPr="00FD0D8E">
              <w:rPr>
                <w:rFonts w:hint="eastAsia"/>
                <w:kern w:val="0"/>
                <w:szCs w:val="21"/>
              </w:rPr>
              <w:t>0.23</w:t>
            </w:r>
          </w:p>
        </w:tc>
      </w:tr>
    </w:tbl>
    <w:p w14:paraId="4448735B" w14:textId="55EB43CA" w:rsidR="00086241" w:rsidRDefault="00A46E55" w:rsidP="00086241">
      <w:pPr>
        <w:autoSpaceDE w:val="0"/>
        <w:autoSpaceDN w:val="0"/>
        <w:adjustRightInd w:val="0"/>
        <w:ind w:firstLine="360"/>
        <w:rPr>
          <w:kern w:val="0"/>
          <w:sz w:val="18"/>
          <w:szCs w:val="18"/>
        </w:rPr>
      </w:pPr>
      <w:r w:rsidRPr="00086241">
        <w:rPr>
          <w:rFonts w:hint="eastAsia"/>
          <w:kern w:val="0"/>
          <w:sz w:val="18"/>
          <w:szCs w:val="18"/>
        </w:rPr>
        <w:t>注：表内报告的是估计结果的边际效应；括号内代表聚类稳健标准误；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r w:rsidR="006A2E4F" w:rsidRPr="00086241">
        <w:rPr>
          <w:rFonts w:hint="eastAsia"/>
          <w:kern w:val="0"/>
          <w:sz w:val="18"/>
          <w:szCs w:val="18"/>
        </w:rPr>
        <w:t>。</w:t>
      </w:r>
    </w:p>
    <w:p w14:paraId="7488EE1C" w14:textId="77777777" w:rsidR="001F35F2" w:rsidRDefault="001F35F2" w:rsidP="00086241">
      <w:pPr>
        <w:autoSpaceDE w:val="0"/>
        <w:autoSpaceDN w:val="0"/>
        <w:adjustRightInd w:val="0"/>
        <w:ind w:firstLine="360"/>
        <w:rPr>
          <w:kern w:val="0"/>
          <w:sz w:val="18"/>
          <w:szCs w:val="18"/>
        </w:rPr>
      </w:pPr>
    </w:p>
    <w:p w14:paraId="43A8D0F1" w14:textId="77777777" w:rsidR="001F35F2" w:rsidRDefault="001F35F2" w:rsidP="00086241">
      <w:pPr>
        <w:autoSpaceDE w:val="0"/>
        <w:autoSpaceDN w:val="0"/>
        <w:adjustRightInd w:val="0"/>
        <w:ind w:firstLine="360"/>
        <w:rPr>
          <w:kern w:val="0"/>
          <w:sz w:val="18"/>
          <w:szCs w:val="18"/>
        </w:rPr>
      </w:pPr>
    </w:p>
    <w:p w14:paraId="5D5E9C52" w14:textId="77777777" w:rsidR="001F35F2" w:rsidRDefault="001F35F2" w:rsidP="00086241">
      <w:pPr>
        <w:autoSpaceDE w:val="0"/>
        <w:autoSpaceDN w:val="0"/>
        <w:adjustRightInd w:val="0"/>
        <w:ind w:firstLine="360"/>
        <w:rPr>
          <w:kern w:val="0"/>
          <w:sz w:val="18"/>
          <w:szCs w:val="18"/>
        </w:rPr>
      </w:pPr>
    </w:p>
    <w:p w14:paraId="16CFC337" w14:textId="77777777" w:rsidR="001F35F2" w:rsidRDefault="001F35F2" w:rsidP="00086241">
      <w:pPr>
        <w:autoSpaceDE w:val="0"/>
        <w:autoSpaceDN w:val="0"/>
        <w:adjustRightInd w:val="0"/>
        <w:ind w:firstLine="360"/>
        <w:rPr>
          <w:kern w:val="0"/>
          <w:sz w:val="18"/>
          <w:szCs w:val="18"/>
        </w:rPr>
      </w:pPr>
    </w:p>
    <w:p w14:paraId="32BED4A0" w14:textId="77777777" w:rsidR="001F35F2" w:rsidRDefault="001F35F2" w:rsidP="00086241">
      <w:pPr>
        <w:autoSpaceDE w:val="0"/>
        <w:autoSpaceDN w:val="0"/>
        <w:adjustRightInd w:val="0"/>
        <w:ind w:firstLine="360"/>
        <w:rPr>
          <w:kern w:val="0"/>
          <w:sz w:val="18"/>
          <w:szCs w:val="18"/>
        </w:rPr>
      </w:pPr>
    </w:p>
    <w:p w14:paraId="490CBFEE" w14:textId="77777777" w:rsidR="001F35F2" w:rsidRDefault="001F35F2" w:rsidP="00086241">
      <w:pPr>
        <w:autoSpaceDE w:val="0"/>
        <w:autoSpaceDN w:val="0"/>
        <w:adjustRightInd w:val="0"/>
        <w:ind w:firstLine="360"/>
        <w:rPr>
          <w:kern w:val="0"/>
          <w:sz w:val="18"/>
          <w:szCs w:val="18"/>
        </w:rPr>
      </w:pPr>
    </w:p>
    <w:p w14:paraId="471B3259" w14:textId="77777777" w:rsidR="001F35F2" w:rsidRDefault="001F35F2" w:rsidP="00086241">
      <w:pPr>
        <w:autoSpaceDE w:val="0"/>
        <w:autoSpaceDN w:val="0"/>
        <w:adjustRightInd w:val="0"/>
        <w:ind w:firstLine="360"/>
        <w:rPr>
          <w:kern w:val="0"/>
          <w:sz w:val="18"/>
          <w:szCs w:val="18"/>
        </w:rPr>
      </w:pPr>
    </w:p>
    <w:p w14:paraId="5854EA73" w14:textId="77777777" w:rsidR="001F35F2" w:rsidRPr="00086241" w:rsidRDefault="001F35F2" w:rsidP="00086241">
      <w:pPr>
        <w:autoSpaceDE w:val="0"/>
        <w:autoSpaceDN w:val="0"/>
        <w:adjustRightInd w:val="0"/>
        <w:ind w:firstLine="360"/>
        <w:rPr>
          <w:kern w:val="0"/>
          <w:sz w:val="18"/>
          <w:szCs w:val="18"/>
        </w:rPr>
      </w:pPr>
    </w:p>
    <w:p w14:paraId="55099BBC" w14:textId="4A233004" w:rsidR="004347C6" w:rsidRPr="00C74EB6" w:rsidRDefault="004347C6" w:rsidP="00C74EB6">
      <w:pPr>
        <w:pStyle w:val="2"/>
      </w:pPr>
      <w:bookmarkStart w:id="102" w:name="_Toc191420752"/>
      <w:bookmarkStart w:id="103" w:name="_Toc191574122"/>
      <w:bookmarkStart w:id="104" w:name="_Toc198286993"/>
      <w:r w:rsidRPr="00C74EB6">
        <w:rPr>
          <w:rFonts w:hint="eastAsia"/>
        </w:rPr>
        <w:lastRenderedPageBreak/>
        <w:t>内生性问题的处理</w:t>
      </w:r>
      <w:bookmarkEnd w:id="102"/>
      <w:bookmarkEnd w:id="103"/>
      <w:bookmarkEnd w:id="104"/>
    </w:p>
    <w:p w14:paraId="15C4BAF2" w14:textId="6B527672" w:rsidR="002A3505" w:rsidRPr="00C74EB6" w:rsidRDefault="002A3505" w:rsidP="00C74EB6">
      <w:pPr>
        <w:pStyle w:val="3"/>
      </w:pPr>
      <w:bookmarkStart w:id="105" w:name="_Toc191420753"/>
      <w:bookmarkStart w:id="106" w:name="_Toc191574123"/>
      <w:bookmarkStart w:id="107" w:name="_Toc198286994"/>
      <w:r w:rsidRPr="00C74EB6">
        <w:rPr>
          <w:rFonts w:hint="eastAsia"/>
        </w:rPr>
        <w:t>工具变量法</w:t>
      </w:r>
      <w:bookmarkEnd w:id="105"/>
      <w:bookmarkEnd w:id="106"/>
      <w:bookmarkEnd w:id="107"/>
    </w:p>
    <w:p w14:paraId="17D9880C" w14:textId="2D67F546" w:rsidR="00141F26" w:rsidRPr="00C74EB6" w:rsidRDefault="00354F77" w:rsidP="0061066B">
      <w:pPr>
        <w:spacing w:line="360" w:lineRule="auto"/>
        <w:ind w:firstLineChars="200" w:firstLine="480"/>
        <w:rPr>
          <w:sz w:val="24"/>
        </w:rPr>
      </w:pPr>
      <w:r w:rsidRPr="00C74EB6">
        <w:rPr>
          <w:rFonts w:hint="eastAsia"/>
          <w:sz w:val="24"/>
        </w:rPr>
        <w:t>在研究设计中，组织资本与董</w:t>
      </w:r>
      <w:proofErr w:type="gramStart"/>
      <w:r w:rsidRPr="00C74EB6">
        <w:rPr>
          <w:rFonts w:hint="eastAsia"/>
          <w:sz w:val="24"/>
        </w:rPr>
        <w:t>监高责任</w:t>
      </w:r>
      <w:proofErr w:type="gramEnd"/>
      <w:r w:rsidRPr="00C74EB6">
        <w:rPr>
          <w:rFonts w:hint="eastAsia"/>
          <w:sz w:val="24"/>
        </w:rPr>
        <w:t>险投保意向之间可能存在反向因果关系。例如，投保意向可能会向</w:t>
      </w:r>
      <w:proofErr w:type="gramStart"/>
      <w:r w:rsidRPr="00C74EB6">
        <w:rPr>
          <w:rFonts w:hint="eastAsia"/>
          <w:sz w:val="24"/>
        </w:rPr>
        <w:t>董监高释放信号</w:t>
      </w:r>
      <w:proofErr w:type="gramEnd"/>
      <w:r w:rsidRPr="00C74EB6">
        <w:rPr>
          <w:rFonts w:hint="eastAsia"/>
          <w:sz w:val="24"/>
        </w:rPr>
        <w:t>，</w:t>
      </w:r>
      <w:r w:rsidRPr="00C74EB6">
        <w:rPr>
          <w:sz w:val="24"/>
        </w:rPr>
        <w:t>使其基于激励效应或机会主义动机增加组织资本的积累</w:t>
      </w:r>
      <w:r w:rsidRPr="00C74EB6">
        <w:rPr>
          <w:rFonts w:hint="eastAsia"/>
          <w:sz w:val="24"/>
        </w:rPr>
        <w:t>。不过，由于保险尚未真正落地，董</w:t>
      </w:r>
      <w:proofErr w:type="gramStart"/>
      <w:r w:rsidRPr="00C74EB6">
        <w:rPr>
          <w:rFonts w:hint="eastAsia"/>
          <w:sz w:val="24"/>
        </w:rPr>
        <w:t>监高责任</w:t>
      </w:r>
      <w:proofErr w:type="gramEnd"/>
      <w:r w:rsidRPr="00C74EB6">
        <w:rPr>
          <w:rFonts w:hint="eastAsia"/>
          <w:sz w:val="24"/>
        </w:rPr>
        <w:t>险的实际配置效益也众说纷纭，企业也在动态调整以适应新的诉讼环境和保险机制。因此，投保意向对组织资本的实际影响有待考究。</w:t>
      </w:r>
    </w:p>
    <w:p w14:paraId="6CA869E3" w14:textId="68215192" w:rsidR="004347C6" w:rsidRPr="00C74EB6" w:rsidRDefault="00141F26" w:rsidP="0061066B">
      <w:pPr>
        <w:spacing w:line="360" w:lineRule="auto"/>
        <w:ind w:firstLineChars="200" w:firstLine="480"/>
        <w:rPr>
          <w:sz w:val="24"/>
        </w:rPr>
      </w:pPr>
      <w:r w:rsidRPr="00C74EB6">
        <w:rPr>
          <w:rFonts w:hint="eastAsia"/>
          <w:sz w:val="24"/>
        </w:rPr>
        <w:t>由于无法</w:t>
      </w:r>
      <w:r w:rsidR="00354F77" w:rsidRPr="00C74EB6">
        <w:rPr>
          <w:rFonts w:hint="eastAsia"/>
          <w:sz w:val="24"/>
        </w:rPr>
        <w:t>确证或避免</w:t>
      </w:r>
      <w:r w:rsidRPr="00C74EB6">
        <w:rPr>
          <w:rFonts w:hint="eastAsia"/>
          <w:sz w:val="24"/>
        </w:rPr>
        <w:t>此类问题，</w:t>
      </w:r>
      <w:r w:rsidR="004347C6" w:rsidRPr="00C74EB6">
        <w:rPr>
          <w:rFonts w:hint="eastAsia"/>
          <w:sz w:val="24"/>
        </w:rPr>
        <w:t>本文使用工具变量法解决</w:t>
      </w:r>
      <w:r w:rsidRPr="00C74EB6">
        <w:rPr>
          <w:rFonts w:hint="eastAsia"/>
          <w:sz w:val="24"/>
        </w:rPr>
        <w:t>潜在的内生性</w:t>
      </w:r>
      <w:r w:rsidR="004347C6" w:rsidRPr="00C74EB6">
        <w:rPr>
          <w:rFonts w:hint="eastAsia"/>
          <w:sz w:val="24"/>
        </w:rPr>
        <w:t>，选择</w:t>
      </w:r>
      <w:r w:rsidR="008E7C51" w:rsidRPr="00C74EB6">
        <w:rPr>
          <w:rFonts w:hint="eastAsia"/>
          <w:sz w:val="24"/>
        </w:rPr>
        <w:t>失业补助</w:t>
      </w:r>
      <w:r w:rsidRPr="00C74EB6">
        <w:rPr>
          <w:rFonts w:hint="eastAsia"/>
          <w:sz w:val="24"/>
        </w:rPr>
        <w:t>和</w:t>
      </w:r>
      <w:r w:rsidR="003523D8" w:rsidRPr="00C74EB6">
        <w:rPr>
          <w:rFonts w:hint="eastAsia"/>
          <w:sz w:val="24"/>
        </w:rPr>
        <w:t>排除掉公司本身的行业组织资本中位数</w:t>
      </w:r>
      <w:r w:rsidR="004347C6" w:rsidRPr="00C74EB6">
        <w:rPr>
          <w:rFonts w:hint="eastAsia"/>
          <w:sz w:val="24"/>
        </w:rPr>
        <w:t>作为</w:t>
      </w:r>
      <w:r w:rsidR="004347C6" w:rsidRPr="00C74EB6">
        <w:rPr>
          <w:rFonts w:hint="eastAsia"/>
          <w:sz w:val="24"/>
        </w:rPr>
        <w:t>2</w:t>
      </w:r>
      <w:r w:rsidR="004347C6" w:rsidRPr="00C74EB6">
        <w:rPr>
          <w:rFonts w:hint="eastAsia"/>
          <w:sz w:val="24"/>
        </w:rPr>
        <w:t>个工具变量。两个工具变量均通过初始工具变量检验和</w:t>
      </w:r>
      <w:proofErr w:type="gramStart"/>
      <w:r w:rsidR="004347C6" w:rsidRPr="00C74EB6">
        <w:rPr>
          <w:rFonts w:hint="eastAsia"/>
          <w:sz w:val="24"/>
        </w:rPr>
        <w:t>弱工具</w:t>
      </w:r>
      <w:proofErr w:type="gramEnd"/>
      <w:r w:rsidR="004347C6" w:rsidRPr="00C74EB6">
        <w:rPr>
          <w:rFonts w:hint="eastAsia"/>
          <w:sz w:val="24"/>
        </w:rPr>
        <w:t>变量检，分别说明内生变量为内生、内生变量与工具变量高度相关。</w:t>
      </w:r>
    </w:p>
    <w:p w14:paraId="0B926867" w14:textId="5ECFDBBB" w:rsidR="00AC4838" w:rsidRPr="00C74EB6" w:rsidRDefault="00AC4838" w:rsidP="00AC4838">
      <w:pPr>
        <w:spacing w:line="360" w:lineRule="auto"/>
        <w:ind w:firstLineChars="200" w:firstLine="480"/>
        <w:rPr>
          <w:sz w:val="24"/>
        </w:rPr>
      </w:pPr>
      <w:r w:rsidRPr="00C74EB6">
        <w:rPr>
          <w:rFonts w:hint="eastAsia"/>
          <w:sz w:val="24"/>
        </w:rPr>
        <w:t>参考</w:t>
      </w:r>
      <w:r w:rsidRPr="00C74EB6">
        <w:rPr>
          <w:rFonts w:hint="eastAsia"/>
          <w:sz w:val="24"/>
        </w:rPr>
        <w:t>Hasan</w:t>
      </w:r>
      <w:r w:rsidRPr="00C74EB6">
        <w:rPr>
          <w:rFonts w:hint="eastAsia"/>
          <w:sz w:val="24"/>
        </w:rPr>
        <w:t>等（</w:t>
      </w:r>
      <w:r w:rsidRPr="00C74EB6">
        <w:rPr>
          <w:rFonts w:hint="eastAsia"/>
          <w:sz w:val="24"/>
        </w:rPr>
        <w:t>2</w:t>
      </w:r>
      <w:r w:rsidRPr="00C74EB6">
        <w:rPr>
          <w:sz w:val="24"/>
        </w:rPr>
        <w:t>021</w:t>
      </w:r>
      <w:r w:rsidRPr="00C74EB6">
        <w:rPr>
          <w:rFonts w:hint="eastAsia"/>
          <w:sz w:val="24"/>
        </w:rPr>
        <w:t>），本文使用组织资本的行业中位数（不计入本公司）作为工具变量（</w:t>
      </w:r>
      <w:proofErr w:type="spellStart"/>
      <w:r w:rsidRPr="00C74EB6">
        <w:rPr>
          <w:rFonts w:hint="eastAsia"/>
          <w:sz w:val="24"/>
        </w:rPr>
        <w:t>OC_median</w:t>
      </w:r>
      <w:proofErr w:type="spellEnd"/>
      <w:r w:rsidRPr="00C74EB6">
        <w:rPr>
          <w:rFonts w:hint="eastAsia"/>
          <w:sz w:val="24"/>
        </w:rPr>
        <w:t>）。行业的组织资本水平提升时，企业迫于行业惯例和保持竞争优势会加大组织资本的投资力度（</w:t>
      </w:r>
      <w:r w:rsidRPr="00C74EB6">
        <w:rPr>
          <w:rFonts w:hint="eastAsia"/>
          <w:sz w:val="24"/>
        </w:rPr>
        <w:t>Carlin</w:t>
      </w:r>
      <w:r w:rsidRPr="00C74EB6">
        <w:rPr>
          <w:rFonts w:hint="eastAsia"/>
          <w:sz w:val="24"/>
        </w:rPr>
        <w:t>等，</w:t>
      </w:r>
      <w:r w:rsidRPr="00C74EB6">
        <w:rPr>
          <w:rFonts w:hint="eastAsia"/>
          <w:sz w:val="24"/>
        </w:rPr>
        <w:t>2</w:t>
      </w:r>
      <w:r w:rsidRPr="00C74EB6">
        <w:rPr>
          <w:sz w:val="24"/>
        </w:rPr>
        <w:t>012</w:t>
      </w:r>
      <w:r w:rsidRPr="00C74EB6">
        <w:rPr>
          <w:rFonts w:hint="eastAsia"/>
          <w:sz w:val="24"/>
        </w:rPr>
        <w:t>），而这一行业特性难以直接影响到企业对保险的需求，只有行业层面的保险或诉讼相关规定这类行业特性才是直接影响保险需求的关键</w:t>
      </w:r>
      <w:r w:rsidR="00C95A25">
        <w:rPr>
          <w:rFonts w:hint="eastAsia"/>
          <w:sz w:val="24"/>
        </w:rPr>
        <w:t>行业</w:t>
      </w:r>
      <w:r w:rsidRPr="00C74EB6">
        <w:rPr>
          <w:rFonts w:hint="eastAsia"/>
          <w:sz w:val="24"/>
        </w:rPr>
        <w:t>因素。</w:t>
      </w:r>
    </w:p>
    <w:p w14:paraId="3B5F5CA8" w14:textId="2C1F3886" w:rsidR="008E7C51" w:rsidRPr="00C74EB6" w:rsidRDefault="007D4E8A" w:rsidP="007D4E8A">
      <w:pPr>
        <w:spacing w:line="360" w:lineRule="auto"/>
        <w:ind w:firstLineChars="200" w:firstLine="480"/>
        <w:rPr>
          <w:sz w:val="24"/>
        </w:rPr>
      </w:pPr>
      <w:r w:rsidRPr="00C74EB6">
        <w:rPr>
          <w:rFonts w:hint="eastAsia"/>
          <w:sz w:val="24"/>
        </w:rPr>
        <w:t>参考</w:t>
      </w:r>
      <w:r w:rsidRPr="00C74EB6">
        <w:rPr>
          <w:rFonts w:hint="eastAsia"/>
          <w:sz w:val="24"/>
        </w:rPr>
        <w:t>Li</w:t>
      </w:r>
      <w:r w:rsidRPr="00C74EB6">
        <w:rPr>
          <w:rFonts w:hint="eastAsia"/>
          <w:sz w:val="24"/>
        </w:rPr>
        <w:t>等（</w:t>
      </w:r>
      <w:r w:rsidRPr="00C74EB6">
        <w:rPr>
          <w:rFonts w:hint="eastAsia"/>
          <w:sz w:val="24"/>
        </w:rPr>
        <w:t>2018</w:t>
      </w:r>
      <w:r w:rsidRPr="00C74EB6">
        <w:rPr>
          <w:rFonts w:hint="eastAsia"/>
          <w:sz w:val="24"/>
        </w:rPr>
        <w:t>）和</w:t>
      </w:r>
      <w:r w:rsidRPr="00C74EB6">
        <w:rPr>
          <w:rFonts w:hint="eastAsia"/>
          <w:sz w:val="24"/>
        </w:rPr>
        <w:t>Hasan</w:t>
      </w:r>
      <w:r w:rsidRPr="00C74EB6">
        <w:rPr>
          <w:rFonts w:hint="eastAsia"/>
          <w:sz w:val="24"/>
        </w:rPr>
        <w:t>等（</w:t>
      </w:r>
      <w:r w:rsidRPr="00C74EB6">
        <w:rPr>
          <w:rFonts w:hint="eastAsia"/>
          <w:sz w:val="24"/>
        </w:rPr>
        <w:t>2021</w:t>
      </w:r>
      <w:r w:rsidRPr="00C74EB6">
        <w:rPr>
          <w:rFonts w:hint="eastAsia"/>
          <w:sz w:val="24"/>
        </w:rPr>
        <w:t>），选择省级层面的失业补助作为工具变量</w:t>
      </w:r>
      <w:r w:rsidR="00BC6B3E" w:rsidRPr="00C74EB6">
        <w:rPr>
          <w:rFonts w:hint="eastAsia"/>
          <w:sz w:val="24"/>
        </w:rPr>
        <w:t>（</w:t>
      </w:r>
      <w:proofErr w:type="spellStart"/>
      <w:r w:rsidR="00BC6B3E" w:rsidRPr="00C74EB6">
        <w:rPr>
          <w:rFonts w:hint="eastAsia"/>
          <w:sz w:val="24"/>
        </w:rPr>
        <w:t>UIbenefit</w:t>
      </w:r>
      <w:proofErr w:type="spellEnd"/>
      <w:r w:rsidR="00BC6B3E" w:rsidRPr="00C74EB6">
        <w:rPr>
          <w:rFonts w:hint="eastAsia"/>
          <w:sz w:val="24"/>
        </w:rPr>
        <w:t>）</w:t>
      </w:r>
      <w:r w:rsidRPr="00C74EB6">
        <w:rPr>
          <w:rFonts w:hint="eastAsia"/>
          <w:sz w:val="24"/>
        </w:rPr>
        <w:t>。</w:t>
      </w:r>
      <w:r w:rsidR="008E7C51" w:rsidRPr="00C74EB6">
        <w:rPr>
          <w:rFonts w:hint="eastAsia"/>
          <w:sz w:val="24"/>
        </w:rPr>
        <w:t>关键人才</w:t>
      </w:r>
      <w:r w:rsidR="00A968E4" w:rsidRPr="00C74EB6">
        <w:rPr>
          <w:rFonts w:hint="eastAsia"/>
          <w:sz w:val="24"/>
        </w:rPr>
        <w:t>流失</w:t>
      </w:r>
      <w:r w:rsidR="008E7C51" w:rsidRPr="00C74EB6">
        <w:rPr>
          <w:rFonts w:hint="eastAsia"/>
          <w:sz w:val="24"/>
        </w:rPr>
        <w:t>不易于积累组织资本，</w:t>
      </w:r>
      <w:r w:rsidR="00A968E4" w:rsidRPr="00C74EB6">
        <w:rPr>
          <w:rFonts w:hint="eastAsia"/>
          <w:sz w:val="24"/>
        </w:rPr>
        <w:t>这</w:t>
      </w:r>
      <w:r w:rsidR="008E7C51" w:rsidRPr="00C74EB6">
        <w:rPr>
          <w:rFonts w:hint="eastAsia"/>
          <w:sz w:val="24"/>
        </w:rPr>
        <w:t>可能导致企业投资组织资本的动机减弱（</w:t>
      </w:r>
      <w:r w:rsidR="008E7C51" w:rsidRPr="00C74EB6">
        <w:rPr>
          <w:rFonts w:hint="eastAsia"/>
          <w:sz w:val="24"/>
        </w:rPr>
        <w:t>Eisfeldt</w:t>
      </w:r>
      <w:r w:rsidR="008E7C51" w:rsidRPr="00C74EB6">
        <w:rPr>
          <w:rFonts w:hint="eastAsia"/>
          <w:sz w:val="24"/>
        </w:rPr>
        <w:t>和</w:t>
      </w:r>
      <w:r w:rsidR="008E7C51" w:rsidRPr="00C74EB6">
        <w:rPr>
          <w:rFonts w:hint="eastAsia"/>
          <w:sz w:val="24"/>
        </w:rPr>
        <w:t>Papanikolaou</w:t>
      </w:r>
      <w:r w:rsidR="008E7C51" w:rsidRPr="00C74EB6">
        <w:rPr>
          <w:rFonts w:hint="eastAsia"/>
          <w:sz w:val="24"/>
        </w:rPr>
        <w:t>，</w:t>
      </w:r>
      <w:r w:rsidR="008E7C51" w:rsidRPr="00C74EB6">
        <w:rPr>
          <w:rFonts w:hint="eastAsia"/>
          <w:sz w:val="24"/>
        </w:rPr>
        <w:t>2013</w:t>
      </w:r>
      <w:r w:rsidR="008E7C51" w:rsidRPr="00C74EB6">
        <w:rPr>
          <w:rFonts w:hint="eastAsia"/>
          <w:sz w:val="24"/>
        </w:rPr>
        <w:t>）。而失业补助金越高时，员工因失业得到更高保障而减少了为应对裁员压力</w:t>
      </w:r>
      <w:r w:rsidR="00A968E4" w:rsidRPr="00C74EB6">
        <w:rPr>
          <w:rFonts w:hint="eastAsia"/>
          <w:sz w:val="24"/>
        </w:rPr>
        <w:t>去</w:t>
      </w:r>
      <w:r w:rsidR="008E7C51" w:rsidRPr="00C74EB6">
        <w:rPr>
          <w:rFonts w:hint="eastAsia"/>
          <w:sz w:val="24"/>
        </w:rPr>
        <w:t>换工作的动力，导致劳动流动性下降（</w:t>
      </w:r>
      <w:r w:rsidR="008E7C51" w:rsidRPr="00C74EB6">
        <w:rPr>
          <w:rFonts w:hint="eastAsia"/>
          <w:sz w:val="24"/>
        </w:rPr>
        <w:t>Light</w:t>
      </w:r>
      <w:r w:rsidR="008E7C51" w:rsidRPr="00C74EB6">
        <w:rPr>
          <w:rFonts w:hint="eastAsia"/>
          <w:sz w:val="24"/>
        </w:rPr>
        <w:t>和</w:t>
      </w:r>
      <w:r w:rsidR="008E7C51" w:rsidRPr="00C74EB6">
        <w:rPr>
          <w:rFonts w:hint="eastAsia"/>
          <w:sz w:val="24"/>
        </w:rPr>
        <w:t>Omori</w:t>
      </w:r>
      <w:r w:rsidR="008E7C51" w:rsidRPr="00C74EB6">
        <w:rPr>
          <w:rFonts w:hint="eastAsia"/>
          <w:sz w:val="24"/>
        </w:rPr>
        <w:t>，</w:t>
      </w:r>
      <w:r w:rsidR="008E7C51" w:rsidRPr="00C74EB6">
        <w:rPr>
          <w:rFonts w:hint="eastAsia"/>
          <w:sz w:val="24"/>
        </w:rPr>
        <w:t>2004</w:t>
      </w:r>
      <w:r w:rsidR="008E7C51" w:rsidRPr="00C74EB6">
        <w:rPr>
          <w:rFonts w:hint="eastAsia"/>
          <w:sz w:val="24"/>
        </w:rPr>
        <w:t>），人力资本的积累也会提升（</w:t>
      </w:r>
      <w:r w:rsidR="008E7C51" w:rsidRPr="00C74EB6">
        <w:rPr>
          <w:rFonts w:hint="eastAsia"/>
          <w:sz w:val="24"/>
        </w:rPr>
        <w:t>Brown</w:t>
      </w:r>
      <w:r w:rsidR="008E7C51" w:rsidRPr="00C74EB6">
        <w:rPr>
          <w:rFonts w:hint="eastAsia"/>
          <w:sz w:val="24"/>
        </w:rPr>
        <w:t>和</w:t>
      </w:r>
      <w:r w:rsidR="008E7C51" w:rsidRPr="00C74EB6">
        <w:rPr>
          <w:rFonts w:hint="eastAsia"/>
          <w:sz w:val="24"/>
        </w:rPr>
        <w:t>Kaufold</w:t>
      </w:r>
      <w:r w:rsidR="008E7C51" w:rsidRPr="00C74EB6">
        <w:rPr>
          <w:rFonts w:hint="eastAsia"/>
          <w:sz w:val="24"/>
        </w:rPr>
        <w:t>，</w:t>
      </w:r>
      <w:r w:rsidR="008E7C51" w:rsidRPr="00C74EB6">
        <w:rPr>
          <w:rFonts w:hint="eastAsia"/>
          <w:sz w:val="24"/>
        </w:rPr>
        <w:t>1998</w:t>
      </w:r>
      <w:r w:rsidR="008E7C51" w:rsidRPr="00C74EB6">
        <w:rPr>
          <w:rFonts w:hint="eastAsia"/>
          <w:sz w:val="24"/>
        </w:rPr>
        <w:t>）。考虑到组织资本效率的实现在很大程度上依赖于人才，当失业保障越高时，行业流动性越低，企业更愿意积累更多组织资本，同时也能够防止关键人才流失。</w:t>
      </w:r>
      <w:r w:rsidR="009D0CA6">
        <w:rPr>
          <w:rFonts w:hint="eastAsia"/>
          <w:sz w:val="24"/>
        </w:rPr>
        <w:t>而</w:t>
      </w:r>
      <w:r w:rsidR="008E7C51" w:rsidRPr="00C74EB6">
        <w:rPr>
          <w:rFonts w:hint="eastAsia"/>
          <w:sz w:val="24"/>
        </w:rPr>
        <w:t>失业保障的高低并不影响公司对董</w:t>
      </w:r>
      <w:proofErr w:type="gramStart"/>
      <w:r w:rsidR="008E7C51" w:rsidRPr="00C74EB6">
        <w:rPr>
          <w:rFonts w:hint="eastAsia"/>
          <w:sz w:val="24"/>
        </w:rPr>
        <w:t>监高责任</w:t>
      </w:r>
      <w:proofErr w:type="gramEnd"/>
      <w:r w:rsidR="008E7C51" w:rsidRPr="00C74EB6">
        <w:rPr>
          <w:rFonts w:hint="eastAsia"/>
          <w:sz w:val="24"/>
        </w:rPr>
        <w:t>险的投保意向，因为失业保障影响个人</w:t>
      </w:r>
      <w:r w:rsidR="00C95A25">
        <w:rPr>
          <w:rFonts w:hint="eastAsia"/>
          <w:sz w:val="24"/>
        </w:rPr>
        <w:t>利益</w:t>
      </w:r>
      <w:r w:rsidR="008E7C51" w:rsidRPr="00C74EB6">
        <w:rPr>
          <w:rFonts w:hint="eastAsia"/>
          <w:sz w:val="24"/>
        </w:rPr>
        <w:t>而非公司利益。考虑到我国国情，参考赵凯（</w:t>
      </w:r>
      <w:r w:rsidR="008E7C51" w:rsidRPr="00C74EB6">
        <w:rPr>
          <w:rFonts w:hint="eastAsia"/>
          <w:sz w:val="24"/>
        </w:rPr>
        <w:t>2016</w:t>
      </w:r>
      <w:r w:rsidR="008E7C51" w:rsidRPr="00C74EB6">
        <w:rPr>
          <w:rFonts w:hint="eastAsia"/>
          <w:sz w:val="24"/>
        </w:rPr>
        <w:t>），用</w:t>
      </w:r>
      <w:r w:rsidRPr="00C74EB6">
        <w:rPr>
          <w:rFonts w:hint="eastAsia"/>
          <w:sz w:val="24"/>
        </w:rPr>
        <w:t>公司所在省份或地区的</w:t>
      </w:r>
      <w:r w:rsidR="008E7C51" w:rsidRPr="00C74EB6">
        <w:rPr>
          <w:rFonts w:hint="eastAsia"/>
          <w:sz w:val="24"/>
        </w:rPr>
        <w:t>城镇居民的最低生活保障衡量失业补贴标准。</w:t>
      </w:r>
    </w:p>
    <w:p w14:paraId="01785A2A" w14:textId="5257E36C" w:rsidR="001F35F2" w:rsidRPr="00C74EB6" w:rsidRDefault="004B435C" w:rsidP="00BD30B1">
      <w:pPr>
        <w:spacing w:line="360" w:lineRule="auto"/>
        <w:ind w:firstLineChars="200" w:firstLine="480"/>
        <w:rPr>
          <w:sz w:val="24"/>
        </w:rPr>
      </w:pPr>
      <w:r>
        <w:rPr>
          <w:sz w:val="24"/>
        </w:rPr>
        <w:fldChar w:fldCharType="begin"/>
      </w:r>
      <w:r>
        <w:rPr>
          <w:sz w:val="24"/>
        </w:rPr>
        <w:instrText xml:space="preserve"> </w:instrText>
      </w:r>
      <w:r>
        <w:rPr>
          <w:rFonts w:hint="eastAsia"/>
          <w:sz w:val="24"/>
        </w:rPr>
        <w:instrText>REF _Ref190768442 \h</w:instrText>
      </w:r>
      <w:r>
        <w:rPr>
          <w:sz w:val="24"/>
        </w:rPr>
        <w:instrText xml:space="preserve">  \* MERGEFORMAT </w:instrText>
      </w:r>
      <w:r>
        <w:rPr>
          <w:sz w:val="24"/>
        </w:rPr>
      </w:r>
      <w:r>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4</w:t>
      </w:r>
      <w:r>
        <w:rPr>
          <w:sz w:val="24"/>
        </w:rPr>
        <w:fldChar w:fldCharType="end"/>
      </w:r>
      <w:r w:rsidR="00597A49" w:rsidRPr="00C74EB6">
        <w:rPr>
          <w:rFonts w:hint="eastAsia"/>
          <w:sz w:val="24"/>
        </w:rPr>
        <w:t>列（</w:t>
      </w:r>
      <w:r w:rsidR="00597A49" w:rsidRPr="00C74EB6">
        <w:rPr>
          <w:rFonts w:hint="eastAsia"/>
          <w:sz w:val="24"/>
        </w:rPr>
        <w:t>1</w:t>
      </w:r>
      <w:r w:rsidR="00597A49" w:rsidRPr="00C74EB6">
        <w:rPr>
          <w:rFonts w:hint="eastAsia"/>
          <w:sz w:val="24"/>
        </w:rPr>
        <w:t>）</w:t>
      </w:r>
      <w:r w:rsidR="00597A49" w:rsidRPr="00C74EB6">
        <w:rPr>
          <w:rFonts w:hint="eastAsia"/>
          <w:sz w:val="24"/>
        </w:rPr>
        <w:t>-</w:t>
      </w:r>
      <w:r w:rsidR="00597A49" w:rsidRPr="00C74EB6">
        <w:rPr>
          <w:rFonts w:hint="eastAsia"/>
          <w:sz w:val="24"/>
        </w:rPr>
        <w:t>（</w:t>
      </w:r>
      <w:r w:rsidR="00597A49" w:rsidRPr="00C74EB6">
        <w:rPr>
          <w:rFonts w:hint="eastAsia"/>
          <w:sz w:val="24"/>
        </w:rPr>
        <w:t>2</w:t>
      </w:r>
      <w:r w:rsidR="00597A49" w:rsidRPr="00C74EB6">
        <w:rPr>
          <w:rFonts w:hint="eastAsia"/>
          <w:sz w:val="24"/>
        </w:rPr>
        <w:t>）采用行业中位数作为工具变量</w:t>
      </w:r>
      <w:r w:rsidR="00BD30B1" w:rsidRPr="00C74EB6">
        <w:rPr>
          <w:rFonts w:hint="eastAsia"/>
          <w:sz w:val="24"/>
        </w:rPr>
        <w:t>，列（</w:t>
      </w:r>
      <w:r w:rsidR="00BD30B1" w:rsidRPr="00C74EB6">
        <w:rPr>
          <w:rFonts w:hint="eastAsia"/>
          <w:sz w:val="24"/>
        </w:rPr>
        <w:t>3</w:t>
      </w:r>
      <w:r w:rsidR="00BD30B1" w:rsidRPr="00C74EB6">
        <w:rPr>
          <w:rFonts w:hint="eastAsia"/>
          <w:sz w:val="24"/>
        </w:rPr>
        <w:t>）</w:t>
      </w:r>
      <w:r w:rsidR="00BD30B1" w:rsidRPr="00C74EB6">
        <w:rPr>
          <w:rFonts w:hint="eastAsia"/>
          <w:sz w:val="24"/>
        </w:rPr>
        <w:t>-</w:t>
      </w:r>
      <w:r w:rsidR="00BD30B1" w:rsidRPr="00C74EB6">
        <w:rPr>
          <w:rFonts w:hint="eastAsia"/>
          <w:sz w:val="24"/>
        </w:rPr>
        <w:t>（</w:t>
      </w:r>
      <w:r w:rsidR="00BD30B1" w:rsidRPr="00C74EB6">
        <w:rPr>
          <w:rFonts w:hint="eastAsia"/>
          <w:sz w:val="24"/>
        </w:rPr>
        <w:t>4</w:t>
      </w:r>
      <w:r w:rsidR="00BD30B1" w:rsidRPr="00C74EB6">
        <w:rPr>
          <w:rFonts w:hint="eastAsia"/>
          <w:sz w:val="24"/>
        </w:rPr>
        <w:t>）采用失业补助作为工具变量</w:t>
      </w:r>
      <w:r w:rsidR="00597A49" w:rsidRPr="00C74EB6">
        <w:rPr>
          <w:rFonts w:hint="eastAsia"/>
          <w:sz w:val="24"/>
        </w:rPr>
        <w:t>。</w:t>
      </w:r>
      <w:r w:rsidR="00BD30B1" w:rsidRPr="00C74EB6">
        <w:rPr>
          <w:rFonts w:hint="eastAsia"/>
          <w:sz w:val="24"/>
        </w:rPr>
        <w:t>结果</w:t>
      </w:r>
      <w:r w:rsidR="00C95A25">
        <w:rPr>
          <w:rFonts w:hint="eastAsia"/>
          <w:sz w:val="24"/>
        </w:rPr>
        <w:t>显示</w:t>
      </w:r>
      <w:r w:rsidR="00BD30B1" w:rsidRPr="00C74EB6">
        <w:rPr>
          <w:rFonts w:hint="eastAsia"/>
          <w:sz w:val="24"/>
        </w:rPr>
        <w:t>，行业中位数和失业补助与组织资本显著正相关，且控制内生性后，组织资本能显著提升投保意向，边际效应分别为</w:t>
      </w:r>
      <w:r w:rsidR="00BD30B1" w:rsidRPr="00C74EB6">
        <w:rPr>
          <w:rFonts w:hint="eastAsia"/>
          <w:sz w:val="24"/>
        </w:rPr>
        <w:t>8%</w:t>
      </w:r>
      <w:r w:rsidR="00BD30B1" w:rsidRPr="00C74EB6">
        <w:rPr>
          <w:rFonts w:hint="eastAsia"/>
          <w:sz w:val="24"/>
        </w:rPr>
        <w:t>和</w:t>
      </w:r>
      <w:r w:rsidR="00BD30B1" w:rsidRPr="00C74EB6">
        <w:rPr>
          <w:rFonts w:hint="eastAsia"/>
          <w:sz w:val="24"/>
        </w:rPr>
        <w:t>9%</w:t>
      </w:r>
      <w:r w:rsidR="00BD30B1" w:rsidRPr="00C74EB6">
        <w:rPr>
          <w:rFonts w:hint="eastAsia"/>
          <w:sz w:val="24"/>
        </w:rPr>
        <w:t>。</w:t>
      </w:r>
    </w:p>
    <w:p w14:paraId="0CA27003" w14:textId="77777777" w:rsidR="0053486E" w:rsidRDefault="0053486E" w:rsidP="00BD30B1">
      <w:pPr>
        <w:spacing w:line="360" w:lineRule="auto"/>
        <w:ind w:firstLineChars="200" w:firstLine="480"/>
        <w:rPr>
          <w:sz w:val="24"/>
        </w:rPr>
      </w:pPr>
    </w:p>
    <w:p w14:paraId="0AF1832B" w14:textId="43401903" w:rsidR="004347C6" w:rsidRPr="00734874" w:rsidRDefault="00734874" w:rsidP="00734874">
      <w:pPr>
        <w:pStyle w:val="af5"/>
        <w:ind w:firstLine="482"/>
        <w:rPr>
          <w:rFonts w:ascii="Times New Roman" w:hAnsi="Times New Roman"/>
        </w:rPr>
      </w:pPr>
      <w:bookmarkStart w:id="108" w:name="_Ref190768442"/>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4</w:t>
      </w:r>
      <w:r w:rsidRPr="00734874">
        <w:rPr>
          <w:rFonts w:ascii="Times New Roman" w:hAnsi="Times New Roman" w:hint="eastAsia"/>
        </w:rPr>
        <w:fldChar w:fldCharType="end"/>
      </w:r>
      <w:bookmarkEnd w:id="108"/>
      <w:r w:rsidR="004347C6" w:rsidRPr="00734874">
        <w:rPr>
          <w:rFonts w:ascii="Times New Roman" w:hAnsi="Times New Roman"/>
        </w:rPr>
        <w:t>：</w:t>
      </w:r>
      <w:r w:rsidR="004347C6" w:rsidRPr="00734874">
        <w:rPr>
          <w:rFonts w:ascii="Times New Roman" w:hAnsi="Times New Roman" w:hint="eastAsia"/>
        </w:rPr>
        <w:t>工具变量法处理内生性问题</w:t>
      </w:r>
    </w:p>
    <w:tbl>
      <w:tblPr>
        <w:tblW w:w="5000" w:type="pct"/>
        <w:tblLook w:val="0000" w:firstRow="0" w:lastRow="0" w:firstColumn="0" w:lastColumn="0" w:noHBand="0" w:noVBand="0"/>
      </w:tblPr>
      <w:tblGrid>
        <w:gridCol w:w="1560"/>
        <w:gridCol w:w="1616"/>
        <w:gridCol w:w="1711"/>
        <w:gridCol w:w="1711"/>
        <w:gridCol w:w="1708"/>
      </w:tblGrid>
      <w:tr w:rsidR="00BE7A0E" w:rsidRPr="00FD0D8E" w14:paraId="495F9C84" w14:textId="77777777" w:rsidTr="006B1109">
        <w:tc>
          <w:tcPr>
            <w:tcW w:w="939" w:type="pct"/>
            <w:tcBorders>
              <w:top w:val="single" w:sz="4" w:space="0" w:color="auto"/>
              <w:left w:val="nil"/>
              <w:bottom w:val="nil"/>
              <w:right w:val="nil"/>
            </w:tcBorders>
          </w:tcPr>
          <w:p w14:paraId="3ABFAFA9" w14:textId="77777777" w:rsidR="00BE7A0E" w:rsidRPr="00FD0D8E" w:rsidRDefault="00BE7A0E" w:rsidP="006B1109">
            <w:pPr>
              <w:autoSpaceDE w:val="0"/>
              <w:autoSpaceDN w:val="0"/>
              <w:adjustRightInd w:val="0"/>
              <w:ind w:firstLine="420"/>
              <w:rPr>
                <w:kern w:val="0"/>
                <w:szCs w:val="21"/>
              </w:rPr>
            </w:pPr>
          </w:p>
        </w:tc>
        <w:tc>
          <w:tcPr>
            <w:tcW w:w="973" w:type="pct"/>
            <w:tcBorders>
              <w:top w:val="single" w:sz="4" w:space="0" w:color="auto"/>
              <w:left w:val="nil"/>
              <w:bottom w:val="nil"/>
              <w:right w:val="nil"/>
            </w:tcBorders>
          </w:tcPr>
          <w:p w14:paraId="66C2BF2F" w14:textId="77777777" w:rsidR="00BE7A0E" w:rsidRPr="00FD0D8E" w:rsidRDefault="00BE7A0E" w:rsidP="006B1109">
            <w:pPr>
              <w:autoSpaceDE w:val="0"/>
              <w:autoSpaceDN w:val="0"/>
              <w:adjustRightInd w:val="0"/>
              <w:ind w:firstLine="420"/>
              <w:jc w:val="center"/>
              <w:rPr>
                <w:kern w:val="0"/>
                <w:szCs w:val="21"/>
              </w:rPr>
            </w:pPr>
            <w:r w:rsidRPr="00FD0D8E">
              <w:rPr>
                <w:kern w:val="0"/>
                <w:szCs w:val="21"/>
              </w:rPr>
              <w:t>(1)</w:t>
            </w:r>
          </w:p>
        </w:tc>
        <w:tc>
          <w:tcPr>
            <w:tcW w:w="1030" w:type="pct"/>
            <w:tcBorders>
              <w:top w:val="single" w:sz="4" w:space="0" w:color="auto"/>
              <w:left w:val="nil"/>
              <w:bottom w:val="nil"/>
              <w:right w:val="nil"/>
            </w:tcBorders>
          </w:tcPr>
          <w:p w14:paraId="582D5147" w14:textId="77777777" w:rsidR="00BE7A0E" w:rsidRPr="00FD0D8E" w:rsidRDefault="00BE7A0E" w:rsidP="006B1109">
            <w:pPr>
              <w:autoSpaceDE w:val="0"/>
              <w:autoSpaceDN w:val="0"/>
              <w:adjustRightInd w:val="0"/>
              <w:ind w:firstLine="420"/>
              <w:jc w:val="center"/>
              <w:rPr>
                <w:kern w:val="0"/>
                <w:szCs w:val="21"/>
              </w:rPr>
            </w:pPr>
            <w:r w:rsidRPr="00FD0D8E">
              <w:rPr>
                <w:kern w:val="0"/>
                <w:szCs w:val="21"/>
              </w:rPr>
              <w:t>(2)</w:t>
            </w:r>
          </w:p>
        </w:tc>
        <w:tc>
          <w:tcPr>
            <w:tcW w:w="1030" w:type="pct"/>
            <w:tcBorders>
              <w:top w:val="single" w:sz="4" w:space="0" w:color="auto"/>
              <w:left w:val="nil"/>
              <w:bottom w:val="nil"/>
              <w:right w:val="nil"/>
            </w:tcBorders>
          </w:tcPr>
          <w:p w14:paraId="5D93FD83" w14:textId="77777777" w:rsidR="00BE7A0E" w:rsidRPr="00FD0D8E" w:rsidRDefault="00BE7A0E" w:rsidP="006B1109">
            <w:pPr>
              <w:autoSpaceDE w:val="0"/>
              <w:autoSpaceDN w:val="0"/>
              <w:adjustRightInd w:val="0"/>
              <w:ind w:firstLine="420"/>
              <w:jc w:val="center"/>
              <w:rPr>
                <w:kern w:val="0"/>
                <w:szCs w:val="21"/>
              </w:rPr>
            </w:pPr>
            <w:r w:rsidRPr="00FD0D8E">
              <w:rPr>
                <w:kern w:val="0"/>
                <w:szCs w:val="21"/>
              </w:rPr>
              <w:t>(3)</w:t>
            </w:r>
          </w:p>
        </w:tc>
        <w:tc>
          <w:tcPr>
            <w:tcW w:w="1028" w:type="pct"/>
            <w:tcBorders>
              <w:top w:val="single" w:sz="4" w:space="0" w:color="auto"/>
              <w:left w:val="nil"/>
              <w:bottom w:val="nil"/>
              <w:right w:val="nil"/>
            </w:tcBorders>
          </w:tcPr>
          <w:p w14:paraId="117179F0" w14:textId="77777777" w:rsidR="00BE7A0E" w:rsidRPr="00FD0D8E" w:rsidRDefault="00BE7A0E" w:rsidP="006B1109">
            <w:pPr>
              <w:autoSpaceDE w:val="0"/>
              <w:autoSpaceDN w:val="0"/>
              <w:adjustRightInd w:val="0"/>
              <w:ind w:firstLine="420"/>
              <w:jc w:val="center"/>
              <w:rPr>
                <w:kern w:val="0"/>
                <w:szCs w:val="21"/>
              </w:rPr>
            </w:pPr>
            <w:r w:rsidRPr="00FD0D8E">
              <w:rPr>
                <w:kern w:val="0"/>
                <w:szCs w:val="21"/>
              </w:rPr>
              <w:t>(4)</w:t>
            </w:r>
          </w:p>
        </w:tc>
      </w:tr>
      <w:tr w:rsidR="00BE7A0E" w:rsidRPr="00FD0D8E" w14:paraId="451A97F3" w14:textId="77777777" w:rsidTr="006B1109">
        <w:tc>
          <w:tcPr>
            <w:tcW w:w="939" w:type="pct"/>
            <w:tcBorders>
              <w:top w:val="nil"/>
              <w:left w:val="nil"/>
              <w:bottom w:val="nil"/>
              <w:right w:val="nil"/>
            </w:tcBorders>
          </w:tcPr>
          <w:p w14:paraId="740453DC" w14:textId="77777777" w:rsidR="00BE7A0E" w:rsidRPr="00FD0D8E" w:rsidRDefault="00BE7A0E" w:rsidP="006B1109">
            <w:pPr>
              <w:autoSpaceDE w:val="0"/>
              <w:autoSpaceDN w:val="0"/>
              <w:adjustRightInd w:val="0"/>
              <w:ind w:firstLine="420"/>
              <w:rPr>
                <w:kern w:val="0"/>
                <w:szCs w:val="21"/>
              </w:rPr>
            </w:pPr>
          </w:p>
        </w:tc>
        <w:tc>
          <w:tcPr>
            <w:tcW w:w="973" w:type="pct"/>
            <w:tcBorders>
              <w:top w:val="nil"/>
              <w:left w:val="nil"/>
              <w:bottom w:val="nil"/>
              <w:right w:val="nil"/>
            </w:tcBorders>
          </w:tcPr>
          <w:p w14:paraId="65120BF1" w14:textId="74ECCF05" w:rsidR="00BE7A0E" w:rsidRPr="00FD0D8E" w:rsidRDefault="00D9560C" w:rsidP="006B1109">
            <w:pPr>
              <w:autoSpaceDE w:val="0"/>
              <w:autoSpaceDN w:val="0"/>
              <w:adjustRightInd w:val="0"/>
              <w:ind w:firstLine="420"/>
              <w:jc w:val="center"/>
              <w:rPr>
                <w:kern w:val="0"/>
                <w:szCs w:val="21"/>
              </w:rPr>
            </w:pPr>
            <w:r w:rsidRPr="00FD0D8E">
              <w:rPr>
                <w:kern w:val="0"/>
                <w:szCs w:val="21"/>
              </w:rPr>
              <w:t>OC</w:t>
            </w:r>
          </w:p>
        </w:tc>
        <w:tc>
          <w:tcPr>
            <w:tcW w:w="1030" w:type="pct"/>
            <w:tcBorders>
              <w:top w:val="nil"/>
              <w:left w:val="nil"/>
              <w:bottom w:val="nil"/>
              <w:right w:val="nil"/>
            </w:tcBorders>
          </w:tcPr>
          <w:p w14:paraId="0061017C" w14:textId="77777777" w:rsidR="00BE7A0E" w:rsidRPr="00FD0D8E" w:rsidRDefault="00BE7A0E" w:rsidP="006B1109">
            <w:pPr>
              <w:autoSpaceDE w:val="0"/>
              <w:autoSpaceDN w:val="0"/>
              <w:adjustRightInd w:val="0"/>
              <w:ind w:firstLine="420"/>
              <w:jc w:val="center"/>
              <w:rPr>
                <w:kern w:val="0"/>
                <w:szCs w:val="21"/>
              </w:rPr>
            </w:pPr>
            <w:r w:rsidRPr="00FD0D8E">
              <w:rPr>
                <w:kern w:val="0"/>
                <w:szCs w:val="21"/>
              </w:rPr>
              <w:t>DO</w:t>
            </w:r>
            <w:r w:rsidRPr="00FD0D8E">
              <w:rPr>
                <w:kern w:val="0"/>
                <w:szCs w:val="21"/>
                <w:vertAlign w:val="subscript"/>
              </w:rPr>
              <w:t>t+1</w:t>
            </w:r>
          </w:p>
        </w:tc>
        <w:tc>
          <w:tcPr>
            <w:tcW w:w="1030" w:type="pct"/>
            <w:tcBorders>
              <w:top w:val="nil"/>
              <w:left w:val="nil"/>
              <w:bottom w:val="nil"/>
              <w:right w:val="nil"/>
            </w:tcBorders>
          </w:tcPr>
          <w:p w14:paraId="248298DD" w14:textId="0A8D9854" w:rsidR="00BE7A0E" w:rsidRPr="00FD0D8E" w:rsidRDefault="00D9560C" w:rsidP="006B1109">
            <w:pPr>
              <w:autoSpaceDE w:val="0"/>
              <w:autoSpaceDN w:val="0"/>
              <w:adjustRightInd w:val="0"/>
              <w:ind w:firstLine="420"/>
              <w:jc w:val="center"/>
              <w:rPr>
                <w:kern w:val="0"/>
                <w:szCs w:val="21"/>
              </w:rPr>
            </w:pPr>
            <w:r w:rsidRPr="00FD0D8E">
              <w:rPr>
                <w:kern w:val="0"/>
                <w:szCs w:val="21"/>
              </w:rPr>
              <w:t>OC</w:t>
            </w:r>
          </w:p>
        </w:tc>
        <w:tc>
          <w:tcPr>
            <w:tcW w:w="1028" w:type="pct"/>
            <w:tcBorders>
              <w:top w:val="nil"/>
              <w:left w:val="nil"/>
              <w:bottom w:val="nil"/>
              <w:right w:val="nil"/>
            </w:tcBorders>
          </w:tcPr>
          <w:p w14:paraId="412F0D36" w14:textId="77777777" w:rsidR="00BE7A0E" w:rsidRPr="00FD0D8E" w:rsidRDefault="00BE7A0E" w:rsidP="006B1109">
            <w:pPr>
              <w:autoSpaceDE w:val="0"/>
              <w:autoSpaceDN w:val="0"/>
              <w:adjustRightInd w:val="0"/>
              <w:ind w:firstLine="420"/>
              <w:jc w:val="center"/>
              <w:rPr>
                <w:kern w:val="0"/>
                <w:szCs w:val="21"/>
              </w:rPr>
            </w:pPr>
            <w:r w:rsidRPr="00FD0D8E">
              <w:rPr>
                <w:kern w:val="0"/>
                <w:szCs w:val="21"/>
              </w:rPr>
              <w:t>DO</w:t>
            </w:r>
            <w:r w:rsidRPr="00FD0D8E">
              <w:rPr>
                <w:kern w:val="0"/>
                <w:szCs w:val="21"/>
                <w:vertAlign w:val="subscript"/>
              </w:rPr>
              <w:t>t+1</w:t>
            </w:r>
          </w:p>
        </w:tc>
      </w:tr>
      <w:tr w:rsidR="00BE7A0E" w:rsidRPr="00FD0D8E" w14:paraId="4B1A6BFF" w14:textId="77777777" w:rsidTr="006B1109">
        <w:tc>
          <w:tcPr>
            <w:tcW w:w="939" w:type="pct"/>
            <w:tcBorders>
              <w:top w:val="single" w:sz="4" w:space="0" w:color="auto"/>
              <w:left w:val="nil"/>
              <w:bottom w:val="nil"/>
              <w:right w:val="nil"/>
            </w:tcBorders>
          </w:tcPr>
          <w:p w14:paraId="28441C1F" w14:textId="78AD9021" w:rsidR="00BE7A0E" w:rsidRPr="00FD0D8E" w:rsidRDefault="008F736B" w:rsidP="00C74EB6">
            <w:pPr>
              <w:autoSpaceDE w:val="0"/>
              <w:autoSpaceDN w:val="0"/>
              <w:adjustRightInd w:val="0"/>
              <w:rPr>
                <w:kern w:val="0"/>
                <w:szCs w:val="21"/>
              </w:rPr>
            </w:pPr>
            <w:proofErr w:type="spellStart"/>
            <w:r w:rsidRPr="00FD0D8E">
              <w:rPr>
                <w:rFonts w:hint="eastAsia"/>
                <w:szCs w:val="21"/>
              </w:rPr>
              <w:t>OC_median</w:t>
            </w:r>
            <w:proofErr w:type="spellEnd"/>
          </w:p>
        </w:tc>
        <w:tc>
          <w:tcPr>
            <w:tcW w:w="973" w:type="pct"/>
            <w:tcBorders>
              <w:top w:val="single" w:sz="4" w:space="0" w:color="auto"/>
              <w:left w:val="nil"/>
              <w:bottom w:val="nil"/>
              <w:right w:val="nil"/>
            </w:tcBorders>
          </w:tcPr>
          <w:p w14:paraId="57F798BE" w14:textId="77777777" w:rsidR="00BE7A0E" w:rsidRPr="00FD0D8E" w:rsidRDefault="00BE7A0E" w:rsidP="00C74EB6">
            <w:pPr>
              <w:autoSpaceDE w:val="0"/>
              <w:autoSpaceDN w:val="0"/>
              <w:adjustRightInd w:val="0"/>
              <w:jc w:val="center"/>
              <w:rPr>
                <w:kern w:val="0"/>
                <w:szCs w:val="21"/>
                <w:vertAlign w:val="superscript"/>
              </w:rPr>
            </w:pPr>
            <w:r w:rsidRPr="00FD0D8E">
              <w:rPr>
                <w:kern w:val="0"/>
                <w:szCs w:val="21"/>
              </w:rPr>
              <w:t>0.294</w:t>
            </w:r>
            <w:r w:rsidRPr="00FD0D8E">
              <w:rPr>
                <w:kern w:val="0"/>
                <w:szCs w:val="21"/>
                <w:vertAlign w:val="superscript"/>
              </w:rPr>
              <w:t>***</w:t>
            </w:r>
          </w:p>
          <w:p w14:paraId="50AB95CD" w14:textId="77777777" w:rsidR="00BE7A0E" w:rsidRPr="00FD0D8E" w:rsidRDefault="00BE7A0E" w:rsidP="00C74EB6">
            <w:pPr>
              <w:autoSpaceDE w:val="0"/>
              <w:autoSpaceDN w:val="0"/>
              <w:adjustRightInd w:val="0"/>
              <w:jc w:val="center"/>
              <w:rPr>
                <w:kern w:val="0"/>
                <w:szCs w:val="21"/>
              </w:rPr>
            </w:pPr>
            <w:r w:rsidRPr="00FD0D8E">
              <w:rPr>
                <w:kern w:val="0"/>
                <w:szCs w:val="21"/>
              </w:rPr>
              <w:t>(0.053)</w:t>
            </w:r>
          </w:p>
        </w:tc>
        <w:tc>
          <w:tcPr>
            <w:tcW w:w="1030" w:type="pct"/>
            <w:tcBorders>
              <w:top w:val="single" w:sz="4" w:space="0" w:color="auto"/>
              <w:left w:val="nil"/>
              <w:bottom w:val="nil"/>
              <w:right w:val="nil"/>
            </w:tcBorders>
          </w:tcPr>
          <w:p w14:paraId="619EBF13" w14:textId="77777777" w:rsidR="00BE7A0E" w:rsidRPr="00FD0D8E" w:rsidRDefault="00BE7A0E" w:rsidP="00C74EB6">
            <w:pPr>
              <w:autoSpaceDE w:val="0"/>
              <w:autoSpaceDN w:val="0"/>
              <w:adjustRightInd w:val="0"/>
              <w:jc w:val="center"/>
              <w:rPr>
                <w:kern w:val="0"/>
                <w:szCs w:val="21"/>
              </w:rPr>
            </w:pPr>
          </w:p>
        </w:tc>
        <w:tc>
          <w:tcPr>
            <w:tcW w:w="1030" w:type="pct"/>
            <w:tcBorders>
              <w:top w:val="single" w:sz="4" w:space="0" w:color="auto"/>
              <w:left w:val="nil"/>
              <w:bottom w:val="nil"/>
              <w:right w:val="nil"/>
            </w:tcBorders>
          </w:tcPr>
          <w:p w14:paraId="2215216F" w14:textId="77777777" w:rsidR="00BE7A0E" w:rsidRPr="00FD0D8E" w:rsidRDefault="00BE7A0E" w:rsidP="00C74EB6">
            <w:pPr>
              <w:autoSpaceDE w:val="0"/>
              <w:autoSpaceDN w:val="0"/>
              <w:adjustRightInd w:val="0"/>
              <w:jc w:val="center"/>
              <w:rPr>
                <w:kern w:val="0"/>
                <w:szCs w:val="21"/>
              </w:rPr>
            </w:pPr>
          </w:p>
        </w:tc>
        <w:tc>
          <w:tcPr>
            <w:tcW w:w="1028" w:type="pct"/>
            <w:tcBorders>
              <w:top w:val="single" w:sz="4" w:space="0" w:color="auto"/>
              <w:left w:val="nil"/>
              <w:bottom w:val="nil"/>
              <w:right w:val="nil"/>
            </w:tcBorders>
          </w:tcPr>
          <w:p w14:paraId="1FB05786" w14:textId="77777777" w:rsidR="00BE7A0E" w:rsidRPr="00FD0D8E" w:rsidRDefault="00BE7A0E" w:rsidP="00C74EB6">
            <w:pPr>
              <w:autoSpaceDE w:val="0"/>
              <w:autoSpaceDN w:val="0"/>
              <w:adjustRightInd w:val="0"/>
              <w:jc w:val="center"/>
              <w:rPr>
                <w:kern w:val="0"/>
                <w:szCs w:val="21"/>
              </w:rPr>
            </w:pPr>
          </w:p>
        </w:tc>
      </w:tr>
      <w:tr w:rsidR="00D23E39" w:rsidRPr="00FD0D8E" w14:paraId="3CED5C9D" w14:textId="77777777" w:rsidTr="006B1109">
        <w:tc>
          <w:tcPr>
            <w:tcW w:w="939" w:type="pct"/>
            <w:tcBorders>
              <w:top w:val="nil"/>
              <w:left w:val="nil"/>
              <w:bottom w:val="nil"/>
              <w:right w:val="nil"/>
            </w:tcBorders>
          </w:tcPr>
          <w:p w14:paraId="4FADF7F1" w14:textId="566ED6AC" w:rsidR="00D23E39" w:rsidRPr="00FD0D8E" w:rsidRDefault="00D23E39" w:rsidP="00C74EB6">
            <w:pPr>
              <w:autoSpaceDE w:val="0"/>
              <w:autoSpaceDN w:val="0"/>
              <w:adjustRightInd w:val="0"/>
              <w:rPr>
                <w:kern w:val="0"/>
                <w:szCs w:val="21"/>
              </w:rPr>
            </w:pPr>
            <w:proofErr w:type="spellStart"/>
            <w:r w:rsidRPr="00FD0D8E">
              <w:rPr>
                <w:kern w:val="0"/>
                <w:szCs w:val="21"/>
              </w:rPr>
              <w:t>U</w:t>
            </w:r>
            <w:r w:rsidRPr="00FD0D8E">
              <w:rPr>
                <w:rFonts w:hint="eastAsia"/>
                <w:kern w:val="0"/>
                <w:szCs w:val="21"/>
              </w:rPr>
              <w:t>rban_min</w:t>
            </w:r>
            <w:proofErr w:type="spellEnd"/>
          </w:p>
        </w:tc>
        <w:tc>
          <w:tcPr>
            <w:tcW w:w="973" w:type="pct"/>
            <w:tcBorders>
              <w:top w:val="nil"/>
              <w:left w:val="nil"/>
              <w:bottom w:val="nil"/>
              <w:right w:val="nil"/>
            </w:tcBorders>
          </w:tcPr>
          <w:p w14:paraId="600DBE60" w14:textId="77777777" w:rsidR="00D23E39" w:rsidRPr="00FD0D8E" w:rsidRDefault="00D23E39" w:rsidP="00C74EB6">
            <w:pPr>
              <w:autoSpaceDE w:val="0"/>
              <w:autoSpaceDN w:val="0"/>
              <w:adjustRightInd w:val="0"/>
              <w:jc w:val="center"/>
              <w:rPr>
                <w:kern w:val="0"/>
                <w:szCs w:val="21"/>
              </w:rPr>
            </w:pPr>
          </w:p>
        </w:tc>
        <w:tc>
          <w:tcPr>
            <w:tcW w:w="1030" w:type="pct"/>
            <w:tcBorders>
              <w:top w:val="nil"/>
              <w:left w:val="nil"/>
              <w:bottom w:val="nil"/>
              <w:right w:val="nil"/>
            </w:tcBorders>
          </w:tcPr>
          <w:p w14:paraId="0A4D6350" w14:textId="77777777" w:rsidR="00D23E39" w:rsidRPr="00FD0D8E" w:rsidRDefault="00D23E39" w:rsidP="00C74EB6">
            <w:pPr>
              <w:autoSpaceDE w:val="0"/>
              <w:autoSpaceDN w:val="0"/>
              <w:adjustRightInd w:val="0"/>
              <w:jc w:val="center"/>
              <w:rPr>
                <w:kern w:val="0"/>
                <w:szCs w:val="21"/>
              </w:rPr>
            </w:pPr>
          </w:p>
        </w:tc>
        <w:tc>
          <w:tcPr>
            <w:tcW w:w="1030" w:type="pct"/>
            <w:tcBorders>
              <w:top w:val="nil"/>
              <w:left w:val="nil"/>
              <w:bottom w:val="nil"/>
              <w:right w:val="nil"/>
            </w:tcBorders>
          </w:tcPr>
          <w:p w14:paraId="31EDF7FF" w14:textId="18112A3F" w:rsidR="00D23E39" w:rsidRPr="00FD0D8E" w:rsidRDefault="00D23E39" w:rsidP="00C74EB6">
            <w:pPr>
              <w:autoSpaceDE w:val="0"/>
              <w:autoSpaceDN w:val="0"/>
              <w:adjustRightInd w:val="0"/>
              <w:jc w:val="center"/>
              <w:rPr>
                <w:kern w:val="0"/>
                <w:szCs w:val="21"/>
              </w:rPr>
            </w:pPr>
            <w:r w:rsidRPr="00FD0D8E">
              <w:rPr>
                <w:kern w:val="0"/>
                <w:szCs w:val="21"/>
              </w:rPr>
              <w:t>0.205</w:t>
            </w:r>
            <w:r w:rsidRPr="00FD0D8E">
              <w:rPr>
                <w:kern w:val="0"/>
                <w:szCs w:val="21"/>
                <w:vertAlign w:val="superscript"/>
              </w:rPr>
              <w:t>***</w:t>
            </w:r>
          </w:p>
        </w:tc>
        <w:tc>
          <w:tcPr>
            <w:tcW w:w="1028" w:type="pct"/>
            <w:tcBorders>
              <w:top w:val="nil"/>
              <w:left w:val="nil"/>
              <w:bottom w:val="nil"/>
              <w:right w:val="nil"/>
            </w:tcBorders>
          </w:tcPr>
          <w:p w14:paraId="114FC962" w14:textId="77777777" w:rsidR="00D23E39" w:rsidRPr="00FD0D8E" w:rsidRDefault="00D23E39" w:rsidP="00C74EB6">
            <w:pPr>
              <w:autoSpaceDE w:val="0"/>
              <w:autoSpaceDN w:val="0"/>
              <w:adjustRightInd w:val="0"/>
              <w:jc w:val="center"/>
              <w:rPr>
                <w:kern w:val="0"/>
                <w:szCs w:val="21"/>
              </w:rPr>
            </w:pPr>
          </w:p>
        </w:tc>
      </w:tr>
      <w:tr w:rsidR="00C95A25" w:rsidRPr="00FD0D8E" w14:paraId="3249D264" w14:textId="77777777" w:rsidTr="006B1109">
        <w:tc>
          <w:tcPr>
            <w:tcW w:w="939" w:type="pct"/>
            <w:tcBorders>
              <w:top w:val="nil"/>
              <w:left w:val="nil"/>
              <w:bottom w:val="nil"/>
              <w:right w:val="nil"/>
            </w:tcBorders>
          </w:tcPr>
          <w:p w14:paraId="75754858" w14:textId="77777777" w:rsidR="00C95A25" w:rsidRPr="00FD0D8E" w:rsidRDefault="00C95A25" w:rsidP="00C74EB6">
            <w:pPr>
              <w:autoSpaceDE w:val="0"/>
              <w:autoSpaceDN w:val="0"/>
              <w:adjustRightInd w:val="0"/>
              <w:rPr>
                <w:kern w:val="0"/>
                <w:szCs w:val="21"/>
              </w:rPr>
            </w:pPr>
          </w:p>
        </w:tc>
        <w:tc>
          <w:tcPr>
            <w:tcW w:w="973" w:type="pct"/>
            <w:tcBorders>
              <w:top w:val="nil"/>
              <w:left w:val="nil"/>
              <w:bottom w:val="nil"/>
              <w:right w:val="nil"/>
            </w:tcBorders>
          </w:tcPr>
          <w:p w14:paraId="2F653C39" w14:textId="77777777" w:rsidR="00C95A25" w:rsidRPr="00FD0D8E" w:rsidRDefault="00C95A25" w:rsidP="00C74EB6">
            <w:pPr>
              <w:autoSpaceDE w:val="0"/>
              <w:autoSpaceDN w:val="0"/>
              <w:adjustRightInd w:val="0"/>
              <w:jc w:val="center"/>
              <w:rPr>
                <w:kern w:val="0"/>
                <w:szCs w:val="21"/>
              </w:rPr>
            </w:pPr>
          </w:p>
        </w:tc>
        <w:tc>
          <w:tcPr>
            <w:tcW w:w="1030" w:type="pct"/>
            <w:tcBorders>
              <w:top w:val="nil"/>
              <w:left w:val="nil"/>
              <w:bottom w:val="nil"/>
              <w:right w:val="nil"/>
            </w:tcBorders>
          </w:tcPr>
          <w:p w14:paraId="59C4320B" w14:textId="77777777" w:rsidR="00C95A25" w:rsidRPr="00FD0D8E" w:rsidRDefault="00C95A25" w:rsidP="00C74EB6">
            <w:pPr>
              <w:autoSpaceDE w:val="0"/>
              <w:autoSpaceDN w:val="0"/>
              <w:adjustRightInd w:val="0"/>
              <w:jc w:val="center"/>
              <w:rPr>
                <w:kern w:val="0"/>
                <w:szCs w:val="21"/>
              </w:rPr>
            </w:pPr>
          </w:p>
        </w:tc>
        <w:tc>
          <w:tcPr>
            <w:tcW w:w="1030" w:type="pct"/>
            <w:tcBorders>
              <w:top w:val="nil"/>
              <w:left w:val="nil"/>
              <w:bottom w:val="nil"/>
              <w:right w:val="nil"/>
            </w:tcBorders>
          </w:tcPr>
          <w:p w14:paraId="56C0B9F2" w14:textId="513CDF5A" w:rsidR="00C95A25" w:rsidRPr="00FD0D8E" w:rsidRDefault="00C95A25" w:rsidP="00C74EB6">
            <w:pPr>
              <w:autoSpaceDE w:val="0"/>
              <w:autoSpaceDN w:val="0"/>
              <w:adjustRightInd w:val="0"/>
              <w:jc w:val="center"/>
              <w:rPr>
                <w:kern w:val="0"/>
                <w:szCs w:val="21"/>
              </w:rPr>
            </w:pPr>
            <w:r w:rsidRPr="00FD0D8E">
              <w:rPr>
                <w:kern w:val="0"/>
                <w:szCs w:val="21"/>
              </w:rPr>
              <w:t>(0.014)</w:t>
            </w:r>
          </w:p>
        </w:tc>
        <w:tc>
          <w:tcPr>
            <w:tcW w:w="1028" w:type="pct"/>
            <w:tcBorders>
              <w:top w:val="nil"/>
              <w:left w:val="nil"/>
              <w:bottom w:val="nil"/>
              <w:right w:val="nil"/>
            </w:tcBorders>
          </w:tcPr>
          <w:p w14:paraId="3AAA4C9C" w14:textId="77777777" w:rsidR="00C95A25" w:rsidRPr="00FD0D8E" w:rsidRDefault="00C95A25" w:rsidP="00C74EB6">
            <w:pPr>
              <w:autoSpaceDE w:val="0"/>
              <w:autoSpaceDN w:val="0"/>
              <w:adjustRightInd w:val="0"/>
              <w:jc w:val="center"/>
              <w:rPr>
                <w:kern w:val="0"/>
                <w:szCs w:val="21"/>
              </w:rPr>
            </w:pPr>
          </w:p>
        </w:tc>
      </w:tr>
      <w:tr w:rsidR="00D23E39" w:rsidRPr="00FD0D8E" w14:paraId="768F9A90" w14:textId="77777777" w:rsidTr="006B1109">
        <w:tc>
          <w:tcPr>
            <w:tcW w:w="939" w:type="pct"/>
            <w:tcBorders>
              <w:top w:val="nil"/>
              <w:left w:val="nil"/>
              <w:bottom w:val="nil"/>
              <w:right w:val="nil"/>
            </w:tcBorders>
          </w:tcPr>
          <w:p w14:paraId="7906CCB9" w14:textId="6C37233D" w:rsidR="00D23E39" w:rsidRPr="00FD0D8E" w:rsidRDefault="00D23E39" w:rsidP="00C74EB6">
            <w:pPr>
              <w:autoSpaceDE w:val="0"/>
              <w:autoSpaceDN w:val="0"/>
              <w:adjustRightInd w:val="0"/>
              <w:rPr>
                <w:kern w:val="0"/>
                <w:szCs w:val="21"/>
              </w:rPr>
            </w:pPr>
            <w:r w:rsidRPr="00FD0D8E">
              <w:rPr>
                <w:kern w:val="0"/>
                <w:szCs w:val="21"/>
              </w:rPr>
              <w:t>OC</w:t>
            </w:r>
          </w:p>
        </w:tc>
        <w:tc>
          <w:tcPr>
            <w:tcW w:w="973" w:type="pct"/>
            <w:tcBorders>
              <w:top w:val="nil"/>
              <w:left w:val="nil"/>
              <w:bottom w:val="nil"/>
              <w:right w:val="nil"/>
            </w:tcBorders>
          </w:tcPr>
          <w:p w14:paraId="14E8BF4F" w14:textId="77777777" w:rsidR="00D23E39" w:rsidRPr="00FD0D8E" w:rsidRDefault="00D23E39" w:rsidP="00C74EB6">
            <w:pPr>
              <w:autoSpaceDE w:val="0"/>
              <w:autoSpaceDN w:val="0"/>
              <w:adjustRightInd w:val="0"/>
              <w:jc w:val="center"/>
              <w:rPr>
                <w:kern w:val="0"/>
                <w:szCs w:val="21"/>
              </w:rPr>
            </w:pPr>
          </w:p>
        </w:tc>
        <w:tc>
          <w:tcPr>
            <w:tcW w:w="1030" w:type="pct"/>
            <w:tcBorders>
              <w:top w:val="nil"/>
              <w:left w:val="nil"/>
              <w:bottom w:val="nil"/>
              <w:right w:val="nil"/>
            </w:tcBorders>
          </w:tcPr>
          <w:p w14:paraId="3FFFF4F8"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082</w:t>
            </w:r>
            <w:r w:rsidRPr="00FD0D8E">
              <w:rPr>
                <w:kern w:val="0"/>
                <w:szCs w:val="21"/>
                <w:vertAlign w:val="superscript"/>
              </w:rPr>
              <w:t>**</w:t>
            </w:r>
          </w:p>
        </w:tc>
        <w:tc>
          <w:tcPr>
            <w:tcW w:w="1030" w:type="pct"/>
            <w:tcBorders>
              <w:top w:val="nil"/>
              <w:left w:val="nil"/>
              <w:bottom w:val="nil"/>
              <w:right w:val="nil"/>
            </w:tcBorders>
          </w:tcPr>
          <w:p w14:paraId="59659B92" w14:textId="3DC88902" w:rsidR="00D23E39" w:rsidRPr="00FD0D8E" w:rsidRDefault="00D23E39" w:rsidP="00C74EB6">
            <w:pPr>
              <w:autoSpaceDE w:val="0"/>
              <w:autoSpaceDN w:val="0"/>
              <w:adjustRightInd w:val="0"/>
              <w:jc w:val="center"/>
              <w:rPr>
                <w:kern w:val="0"/>
                <w:szCs w:val="21"/>
              </w:rPr>
            </w:pPr>
          </w:p>
        </w:tc>
        <w:tc>
          <w:tcPr>
            <w:tcW w:w="1028" w:type="pct"/>
            <w:tcBorders>
              <w:top w:val="nil"/>
              <w:left w:val="nil"/>
              <w:bottom w:val="nil"/>
              <w:right w:val="nil"/>
            </w:tcBorders>
          </w:tcPr>
          <w:p w14:paraId="2A0E02D6" w14:textId="4F868254"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090</w:t>
            </w:r>
            <w:r w:rsidRPr="00FD0D8E">
              <w:rPr>
                <w:kern w:val="0"/>
                <w:szCs w:val="21"/>
                <w:vertAlign w:val="superscript"/>
              </w:rPr>
              <w:t>***</w:t>
            </w:r>
          </w:p>
        </w:tc>
      </w:tr>
      <w:tr w:rsidR="00D23E39" w:rsidRPr="00FD0D8E" w14:paraId="15D4D468" w14:textId="77777777" w:rsidTr="006B1109">
        <w:tc>
          <w:tcPr>
            <w:tcW w:w="939" w:type="pct"/>
            <w:tcBorders>
              <w:top w:val="nil"/>
              <w:left w:val="nil"/>
              <w:bottom w:val="nil"/>
              <w:right w:val="nil"/>
            </w:tcBorders>
          </w:tcPr>
          <w:p w14:paraId="7E2989CF"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1A98C203" w14:textId="77777777" w:rsidR="00D23E39" w:rsidRPr="00FD0D8E" w:rsidRDefault="00D23E39" w:rsidP="00C74EB6">
            <w:pPr>
              <w:autoSpaceDE w:val="0"/>
              <w:autoSpaceDN w:val="0"/>
              <w:adjustRightInd w:val="0"/>
              <w:jc w:val="center"/>
              <w:rPr>
                <w:kern w:val="0"/>
                <w:szCs w:val="21"/>
              </w:rPr>
            </w:pPr>
          </w:p>
        </w:tc>
        <w:tc>
          <w:tcPr>
            <w:tcW w:w="1030" w:type="pct"/>
            <w:tcBorders>
              <w:top w:val="nil"/>
              <w:left w:val="nil"/>
              <w:bottom w:val="nil"/>
              <w:right w:val="nil"/>
            </w:tcBorders>
          </w:tcPr>
          <w:p w14:paraId="7157B1A6"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06)</w:t>
            </w:r>
          </w:p>
        </w:tc>
        <w:tc>
          <w:tcPr>
            <w:tcW w:w="1030" w:type="pct"/>
            <w:tcBorders>
              <w:top w:val="nil"/>
              <w:left w:val="nil"/>
              <w:bottom w:val="nil"/>
              <w:right w:val="nil"/>
            </w:tcBorders>
          </w:tcPr>
          <w:p w14:paraId="4C470EDC" w14:textId="77777777" w:rsidR="00D23E39" w:rsidRPr="00FD0D8E" w:rsidRDefault="00D23E39" w:rsidP="00C74EB6">
            <w:pPr>
              <w:autoSpaceDE w:val="0"/>
              <w:autoSpaceDN w:val="0"/>
              <w:adjustRightInd w:val="0"/>
              <w:jc w:val="center"/>
              <w:rPr>
                <w:kern w:val="0"/>
                <w:szCs w:val="21"/>
              </w:rPr>
            </w:pPr>
          </w:p>
        </w:tc>
        <w:tc>
          <w:tcPr>
            <w:tcW w:w="1028" w:type="pct"/>
            <w:tcBorders>
              <w:top w:val="nil"/>
              <w:left w:val="nil"/>
              <w:bottom w:val="nil"/>
              <w:right w:val="nil"/>
            </w:tcBorders>
          </w:tcPr>
          <w:p w14:paraId="5D11FAF1" w14:textId="525A20CD"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05</w:t>
            </w:r>
            <w:r w:rsidRPr="00FD0D8E">
              <w:rPr>
                <w:kern w:val="0"/>
                <w:szCs w:val="21"/>
              </w:rPr>
              <w:t>)</w:t>
            </w:r>
          </w:p>
        </w:tc>
      </w:tr>
      <w:tr w:rsidR="00D23E39" w:rsidRPr="00FD0D8E" w14:paraId="2F1A49B8" w14:textId="77777777" w:rsidTr="006B1109">
        <w:tc>
          <w:tcPr>
            <w:tcW w:w="939" w:type="pct"/>
            <w:tcBorders>
              <w:top w:val="nil"/>
              <w:left w:val="nil"/>
              <w:bottom w:val="nil"/>
              <w:right w:val="nil"/>
            </w:tcBorders>
          </w:tcPr>
          <w:p w14:paraId="20E55FFE" w14:textId="77777777" w:rsidR="00D23E39" w:rsidRPr="00FD0D8E" w:rsidRDefault="00D23E39" w:rsidP="00C74EB6">
            <w:pPr>
              <w:autoSpaceDE w:val="0"/>
              <w:autoSpaceDN w:val="0"/>
              <w:adjustRightInd w:val="0"/>
              <w:rPr>
                <w:kern w:val="0"/>
                <w:szCs w:val="21"/>
              </w:rPr>
            </w:pPr>
            <w:r w:rsidRPr="00FD0D8E">
              <w:rPr>
                <w:kern w:val="0"/>
                <w:szCs w:val="21"/>
              </w:rPr>
              <w:t>BH</w:t>
            </w:r>
          </w:p>
        </w:tc>
        <w:tc>
          <w:tcPr>
            <w:tcW w:w="973" w:type="pct"/>
            <w:tcBorders>
              <w:top w:val="nil"/>
              <w:left w:val="nil"/>
              <w:bottom w:val="nil"/>
              <w:right w:val="nil"/>
            </w:tcBorders>
          </w:tcPr>
          <w:p w14:paraId="1AA04E52" w14:textId="77777777" w:rsidR="00D23E39" w:rsidRPr="00FD0D8E" w:rsidRDefault="00D23E39" w:rsidP="00C74EB6">
            <w:pPr>
              <w:autoSpaceDE w:val="0"/>
              <w:autoSpaceDN w:val="0"/>
              <w:adjustRightInd w:val="0"/>
              <w:jc w:val="center"/>
              <w:rPr>
                <w:kern w:val="0"/>
                <w:szCs w:val="21"/>
              </w:rPr>
            </w:pPr>
            <w:r w:rsidRPr="00FD0D8E">
              <w:rPr>
                <w:kern w:val="0"/>
                <w:szCs w:val="21"/>
              </w:rPr>
              <w:t>0.046</w:t>
            </w:r>
            <w:r w:rsidRPr="00FD0D8E">
              <w:rPr>
                <w:kern w:val="0"/>
                <w:szCs w:val="21"/>
                <w:vertAlign w:val="superscript"/>
              </w:rPr>
              <w:t>***</w:t>
            </w:r>
          </w:p>
        </w:tc>
        <w:tc>
          <w:tcPr>
            <w:tcW w:w="1030" w:type="pct"/>
            <w:tcBorders>
              <w:top w:val="nil"/>
              <w:left w:val="nil"/>
              <w:bottom w:val="nil"/>
              <w:right w:val="nil"/>
            </w:tcBorders>
          </w:tcPr>
          <w:p w14:paraId="12E9585D"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087</w:t>
            </w:r>
            <w:r w:rsidRPr="00FD0D8E">
              <w:rPr>
                <w:kern w:val="0"/>
                <w:szCs w:val="21"/>
                <w:vertAlign w:val="superscript"/>
              </w:rPr>
              <w:t>***</w:t>
            </w:r>
          </w:p>
        </w:tc>
        <w:tc>
          <w:tcPr>
            <w:tcW w:w="1030" w:type="pct"/>
            <w:tcBorders>
              <w:top w:val="nil"/>
              <w:left w:val="nil"/>
              <w:bottom w:val="nil"/>
              <w:right w:val="nil"/>
            </w:tcBorders>
          </w:tcPr>
          <w:p w14:paraId="1CEFA095" w14:textId="43D4EFC4" w:rsidR="00D23E39" w:rsidRPr="00FD0D8E" w:rsidRDefault="00D23E39" w:rsidP="00C74EB6">
            <w:pPr>
              <w:autoSpaceDE w:val="0"/>
              <w:autoSpaceDN w:val="0"/>
              <w:adjustRightInd w:val="0"/>
              <w:jc w:val="center"/>
              <w:rPr>
                <w:kern w:val="0"/>
                <w:szCs w:val="21"/>
              </w:rPr>
            </w:pPr>
            <w:r w:rsidRPr="00FD0D8E">
              <w:rPr>
                <w:kern w:val="0"/>
                <w:szCs w:val="21"/>
              </w:rPr>
              <w:t>0.434</w:t>
            </w:r>
            <w:r w:rsidRPr="00FD0D8E">
              <w:rPr>
                <w:kern w:val="0"/>
                <w:szCs w:val="21"/>
                <w:vertAlign w:val="superscript"/>
              </w:rPr>
              <w:t>***</w:t>
            </w:r>
          </w:p>
        </w:tc>
        <w:tc>
          <w:tcPr>
            <w:tcW w:w="1028" w:type="pct"/>
            <w:tcBorders>
              <w:top w:val="nil"/>
              <w:left w:val="nil"/>
              <w:bottom w:val="nil"/>
              <w:right w:val="nil"/>
            </w:tcBorders>
          </w:tcPr>
          <w:p w14:paraId="2FF041D5" w14:textId="03908842"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081</w:t>
            </w:r>
            <w:r w:rsidRPr="00FD0D8E">
              <w:rPr>
                <w:kern w:val="0"/>
                <w:szCs w:val="21"/>
                <w:vertAlign w:val="superscript"/>
              </w:rPr>
              <w:t>***</w:t>
            </w:r>
          </w:p>
        </w:tc>
      </w:tr>
      <w:tr w:rsidR="00D23E39" w:rsidRPr="00FD0D8E" w14:paraId="24CAAD35" w14:textId="77777777" w:rsidTr="006B1109">
        <w:tc>
          <w:tcPr>
            <w:tcW w:w="939" w:type="pct"/>
            <w:tcBorders>
              <w:top w:val="nil"/>
              <w:left w:val="nil"/>
              <w:bottom w:val="nil"/>
              <w:right w:val="nil"/>
            </w:tcBorders>
          </w:tcPr>
          <w:p w14:paraId="1E8ADA4F"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4FE5C098" w14:textId="77777777" w:rsidR="00D23E39" w:rsidRPr="00FD0D8E" w:rsidRDefault="00D23E39" w:rsidP="00C74EB6">
            <w:pPr>
              <w:autoSpaceDE w:val="0"/>
              <w:autoSpaceDN w:val="0"/>
              <w:adjustRightInd w:val="0"/>
              <w:jc w:val="center"/>
              <w:rPr>
                <w:kern w:val="0"/>
                <w:szCs w:val="21"/>
              </w:rPr>
            </w:pPr>
            <w:r w:rsidRPr="00FD0D8E">
              <w:rPr>
                <w:kern w:val="0"/>
                <w:szCs w:val="21"/>
              </w:rPr>
              <w:t>(0.001)</w:t>
            </w:r>
          </w:p>
        </w:tc>
        <w:tc>
          <w:tcPr>
            <w:tcW w:w="1030" w:type="pct"/>
            <w:tcBorders>
              <w:top w:val="nil"/>
              <w:left w:val="nil"/>
              <w:bottom w:val="nil"/>
              <w:right w:val="nil"/>
            </w:tcBorders>
          </w:tcPr>
          <w:p w14:paraId="3C1A7464"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14</w:t>
            </w:r>
            <w:r w:rsidRPr="00FD0D8E">
              <w:rPr>
                <w:kern w:val="0"/>
                <w:szCs w:val="21"/>
              </w:rPr>
              <w:t>)</w:t>
            </w:r>
          </w:p>
        </w:tc>
        <w:tc>
          <w:tcPr>
            <w:tcW w:w="1030" w:type="pct"/>
            <w:tcBorders>
              <w:top w:val="nil"/>
              <w:left w:val="nil"/>
              <w:bottom w:val="nil"/>
              <w:right w:val="nil"/>
            </w:tcBorders>
          </w:tcPr>
          <w:p w14:paraId="5DEFECC1" w14:textId="059A9261" w:rsidR="00D23E39" w:rsidRPr="00FD0D8E" w:rsidRDefault="00D23E39" w:rsidP="00C74EB6">
            <w:pPr>
              <w:autoSpaceDE w:val="0"/>
              <w:autoSpaceDN w:val="0"/>
              <w:adjustRightInd w:val="0"/>
              <w:jc w:val="center"/>
              <w:rPr>
                <w:kern w:val="0"/>
                <w:szCs w:val="21"/>
              </w:rPr>
            </w:pPr>
            <w:r w:rsidRPr="00FD0D8E">
              <w:rPr>
                <w:kern w:val="0"/>
                <w:szCs w:val="21"/>
              </w:rPr>
              <w:t>(0.012)</w:t>
            </w:r>
          </w:p>
        </w:tc>
        <w:tc>
          <w:tcPr>
            <w:tcW w:w="1028" w:type="pct"/>
            <w:tcBorders>
              <w:top w:val="nil"/>
              <w:left w:val="nil"/>
              <w:bottom w:val="nil"/>
              <w:right w:val="nil"/>
            </w:tcBorders>
          </w:tcPr>
          <w:p w14:paraId="585A8C71" w14:textId="5A87E144"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13</w:t>
            </w:r>
            <w:r w:rsidRPr="00FD0D8E">
              <w:rPr>
                <w:kern w:val="0"/>
                <w:szCs w:val="21"/>
              </w:rPr>
              <w:t>)</w:t>
            </w:r>
          </w:p>
        </w:tc>
      </w:tr>
      <w:tr w:rsidR="00D23E39" w:rsidRPr="00FD0D8E" w14:paraId="2209B3A9" w14:textId="77777777" w:rsidTr="006B1109">
        <w:tc>
          <w:tcPr>
            <w:tcW w:w="939" w:type="pct"/>
            <w:tcBorders>
              <w:top w:val="nil"/>
              <w:left w:val="nil"/>
              <w:bottom w:val="nil"/>
              <w:right w:val="nil"/>
            </w:tcBorders>
          </w:tcPr>
          <w:p w14:paraId="0E63A226" w14:textId="77777777" w:rsidR="00D23E39" w:rsidRPr="00FD0D8E" w:rsidRDefault="00D23E39" w:rsidP="00C74EB6">
            <w:pPr>
              <w:autoSpaceDE w:val="0"/>
              <w:autoSpaceDN w:val="0"/>
              <w:adjustRightInd w:val="0"/>
              <w:rPr>
                <w:kern w:val="0"/>
                <w:szCs w:val="21"/>
              </w:rPr>
            </w:pPr>
            <w:r w:rsidRPr="00FD0D8E">
              <w:rPr>
                <w:kern w:val="0"/>
                <w:szCs w:val="21"/>
              </w:rPr>
              <w:t>Big4</w:t>
            </w:r>
          </w:p>
        </w:tc>
        <w:tc>
          <w:tcPr>
            <w:tcW w:w="973" w:type="pct"/>
            <w:tcBorders>
              <w:top w:val="nil"/>
              <w:left w:val="nil"/>
              <w:bottom w:val="nil"/>
              <w:right w:val="nil"/>
            </w:tcBorders>
          </w:tcPr>
          <w:p w14:paraId="1F5041C1" w14:textId="77777777" w:rsidR="00D23E39" w:rsidRPr="00FD0D8E" w:rsidRDefault="00D23E39" w:rsidP="00C74EB6">
            <w:pPr>
              <w:autoSpaceDE w:val="0"/>
              <w:autoSpaceDN w:val="0"/>
              <w:adjustRightInd w:val="0"/>
              <w:jc w:val="center"/>
              <w:rPr>
                <w:kern w:val="0"/>
                <w:szCs w:val="21"/>
              </w:rPr>
            </w:pPr>
            <w:r w:rsidRPr="00FD0D8E">
              <w:rPr>
                <w:kern w:val="0"/>
                <w:szCs w:val="21"/>
              </w:rPr>
              <w:t>0.076</w:t>
            </w:r>
            <w:r w:rsidRPr="00FD0D8E">
              <w:rPr>
                <w:kern w:val="0"/>
                <w:szCs w:val="21"/>
                <w:vertAlign w:val="superscript"/>
              </w:rPr>
              <w:t>***</w:t>
            </w:r>
          </w:p>
        </w:tc>
        <w:tc>
          <w:tcPr>
            <w:tcW w:w="1030" w:type="pct"/>
            <w:tcBorders>
              <w:top w:val="nil"/>
              <w:left w:val="nil"/>
              <w:bottom w:val="nil"/>
              <w:right w:val="nil"/>
            </w:tcBorders>
          </w:tcPr>
          <w:p w14:paraId="64F75A8F"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009</w:t>
            </w:r>
          </w:p>
        </w:tc>
        <w:tc>
          <w:tcPr>
            <w:tcW w:w="1030" w:type="pct"/>
            <w:tcBorders>
              <w:top w:val="nil"/>
              <w:left w:val="nil"/>
              <w:bottom w:val="nil"/>
              <w:right w:val="nil"/>
            </w:tcBorders>
          </w:tcPr>
          <w:p w14:paraId="005A0ACD" w14:textId="709D31D7" w:rsidR="00D23E39" w:rsidRPr="00FD0D8E" w:rsidRDefault="00D23E39" w:rsidP="00C74EB6">
            <w:pPr>
              <w:autoSpaceDE w:val="0"/>
              <w:autoSpaceDN w:val="0"/>
              <w:adjustRightInd w:val="0"/>
              <w:jc w:val="center"/>
              <w:rPr>
                <w:kern w:val="0"/>
                <w:szCs w:val="21"/>
              </w:rPr>
            </w:pPr>
            <w:r w:rsidRPr="00FD0D8E">
              <w:rPr>
                <w:kern w:val="0"/>
                <w:szCs w:val="21"/>
              </w:rPr>
              <w:t>0.743</w:t>
            </w:r>
            <w:r w:rsidRPr="00FD0D8E">
              <w:rPr>
                <w:kern w:val="0"/>
                <w:szCs w:val="21"/>
                <w:vertAlign w:val="superscript"/>
              </w:rPr>
              <w:t>***</w:t>
            </w:r>
          </w:p>
        </w:tc>
        <w:tc>
          <w:tcPr>
            <w:tcW w:w="1028" w:type="pct"/>
            <w:tcBorders>
              <w:top w:val="nil"/>
              <w:left w:val="nil"/>
              <w:bottom w:val="nil"/>
              <w:right w:val="nil"/>
            </w:tcBorders>
          </w:tcPr>
          <w:p w14:paraId="195D0EB3" w14:textId="37576EF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014</w:t>
            </w:r>
            <w:r w:rsidRPr="00FD0D8E">
              <w:rPr>
                <w:kern w:val="0"/>
                <w:szCs w:val="21"/>
                <w:vertAlign w:val="superscript"/>
              </w:rPr>
              <w:t>**</w:t>
            </w:r>
          </w:p>
        </w:tc>
      </w:tr>
      <w:tr w:rsidR="00D23E39" w:rsidRPr="00FD0D8E" w14:paraId="353DE3B9" w14:textId="77777777" w:rsidTr="006B1109">
        <w:tc>
          <w:tcPr>
            <w:tcW w:w="939" w:type="pct"/>
            <w:tcBorders>
              <w:top w:val="nil"/>
              <w:left w:val="nil"/>
              <w:bottom w:val="nil"/>
              <w:right w:val="nil"/>
            </w:tcBorders>
          </w:tcPr>
          <w:p w14:paraId="693E18F0"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0E4FAA99" w14:textId="77777777" w:rsidR="00D23E39" w:rsidRPr="00FD0D8E" w:rsidRDefault="00D23E39" w:rsidP="00C74EB6">
            <w:pPr>
              <w:autoSpaceDE w:val="0"/>
              <w:autoSpaceDN w:val="0"/>
              <w:adjustRightInd w:val="0"/>
              <w:jc w:val="center"/>
              <w:rPr>
                <w:kern w:val="0"/>
                <w:szCs w:val="21"/>
              </w:rPr>
            </w:pPr>
            <w:r w:rsidRPr="00FD0D8E">
              <w:rPr>
                <w:kern w:val="0"/>
                <w:szCs w:val="21"/>
              </w:rPr>
              <w:t>(0.002)</w:t>
            </w:r>
          </w:p>
        </w:tc>
        <w:tc>
          <w:tcPr>
            <w:tcW w:w="1030" w:type="pct"/>
            <w:tcBorders>
              <w:top w:val="nil"/>
              <w:left w:val="nil"/>
              <w:bottom w:val="nil"/>
              <w:right w:val="nil"/>
            </w:tcBorders>
          </w:tcPr>
          <w:p w14:paraId="21506947"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06</w:t>
            </w:r>
            <w:r w:rsidRPr="00FD0D8E">
              <w:rPr>
                <w:kern w:val="0"/>
                <w:szCs w:val="21"/>
              </w:rPr>
              <w:t>)</w:t>
            </w:r>
          </w:p>
        </w:tc>
        <w:tc>
          <w:tcPr>
            <w:tcW w:w="1030" w:type="pct"/>
            <w:tcBorders>
              <w:top w:val="nil"/>
              <w:left w:val="nil"/>
              <w:bottom w:val="nil"/>
              <w:right w:val="nil"/>
            </w:tcBorders>
          </w:tcPr>
          <w:p w14:paraId="24E39D64" w14:textId="36CACC54" w:rsidR="00D23E39" w:rsidRPr="00FD0D8E" w:rsidRDefault="00D23E39" w:rsidP="00C74EB6">
            <w:pPr>
              <w:autoSpaceDE w:val="0"/>
              <w:autoSpaceDN w:val="0"/>
              <w:adjustRightInd w:val="0"/>
              <w:jc w:val="center"/>
              <w:rPr>
                <w:kern w:val="0"/>
                <w:szCs w:val="21"/>
              </w:rPr>
            </w:pPr>
            <w:r w:rsidRPr="00FD0D8E">
              <w:rPr>
                <w:kern w:val="0"/>
                <w:szCs w:val="21"/>
              </w:rPr>
              <w:t>(0.021)</w:t>
            </w:r>
          </w:p>
        </w:tc>
        <w:tc>
          <w:tcPr>
            <w:tcW w:w="1028" w:type="pct"/>
            <w:tcBorders>
              <w:top w:val="nil"/>
              <w:left w:val="nil"/>
              <w:bottom w:val="nil"/>
              <w:right w:val="nil"/>
            </w:tcBorders>
          </w:tcPr>
          <w:p w14:paraId="4B19BB93" w14:textId="7459A193"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05</w:t>
            </w:r>
            <w:r w:rsidRPr="00FD0D8E">
              <w:rPr>
                <w:kern w:val="0"/>
                <w:szCs w:val="21"/>
              </w:rPr>
              <w:t>)</w:t>
            </w:r>
          </w:p>
        </w:tc>
      </w:tr>
      <w:tr w:rsidR="00D23E39" w:rsidRPr="00FD0D8E" w14:paraId="3157E676" w14:textId="77777777" w:rsidTr="006B1109">
        <w:tc>
          <w:tcPr>
            <w:tcW w:w="939" w:type="pct"/>
            <w:tcBorders>
              <w:top w:val="nil"/>
              <w:left w:val="nil"/>
              <w:bottom w:val="nil"/>
              <w:right w:val="nil"/>
            </w:tcBorders>
          </w:tcPr>
          <w:p w14:paraId="22560A93" w14:textId="77777777" w:rsidR="00D23E39" w:rsidRPr="00FD0D8E" w:rsidRDefault="00D23E39" w:rsidP="00C74EB6">
            <w:pPr>
              <w:autoSpaceDE w:val="0"/>
              <w:autoSpaceDN w:val="0"/>
              <w:adjustRightInd w:val="0"/>
              <w:rPr>
                <w:kern w:val="0"/>
                <w:szCs w:val="21"/>
              </w:rPr>
            </w:pPr>
            <w:r w:rsidRPr="00FD0D8E">
              <w:rPr>
                <w:kern w:val="0"/>
                <w:szCs w:val="21"/>
              </w:rPr>
              <w:t>Lev</w:t>
            </w:r>
          </w:p>
        </w:tc>
        <w:tc>
          <w:tcPr>
            <w:tcW w:w="973" w:type="pct"/>
            <w:tcBorders>
              <w:top w:val="nil"/>
              <w:left w:val="nil"/>
              <w:bottom w:val="nil"/>
              <w:right w:val="nil"/>
            </w:tcBorders>
          </w:tcPr>
          <w:p w14:paraId="59E05F20" w14:textId="77777777" w:rsidR="00D23E39" w:rsidRPr="00FD0D8E" w:rsidRDefault="00D23E39" w:rsidP="00C74EB6">
            <w:pPr>
              <w:autoSpaceDE w:val="0"/>
              <w:autoSpaceDN w:val="0"/>
              <w:adjustRightInd w:val="0"/>
              <w:jc w:val="center"/>
              <w:rPr>
                <w:kern w:val="0"/>
                <w:szCs w:val="21"/>
              </w:rPr>
            </w:pPr>
            <w:r w:rsidRPr="00FD0D8E">
              <w:rPr>
                <w:kern w:val="0"/>
                <w:szCs w:val="21"/>
              </w:rPr>
              <w:t>0.171</w:t>
            </w:r>
            <w:r w:rsidRPr="00FD0D8E">
              <w:rPr>
                <w:kern w:val="0"/>
                <w:szCs w:val="21"/>
                <w:vertAlign w:val="superscript"/>
              </w:rPr>
              <w:t>***</w:t>
            </w:r>
          </w:p>
        </w:tc>
        <w:tc>
          <w:tcPr>
            <w:tcW w:w="1030" w:type="pct"/>
            <w:tcBorders>
              <w:top w:val="nil"/>
              <w:left w:val="nil"/>
              <w:bottom w:val="nil"/>
              <w:right w:val="nil"/>
            </w:tcBorders>
          </w:tcPr>
          <w:p w14:paraId="0FAE3189"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084</w:t>
            </w:r>
            <w:r w:rsidRPr="00FD0D8E">
              <w:rPr>
                <w:kern w:val="0"/>
                <w:szCs w:val="21"/>
                <w:vertAlign w:val="superscript"/>
              </w:rPr>
              <w:t>***</w:t>
            </w:r>
          </w:p>
        </w:tc>
        <w:tc>
          <w:tcPr>
            <w:tcW w:w="1030" w:type="pct"/>
            <w:tcBorders>
              <w:top w:val="nil"/>
              <w:left w:val="nil"/>
              <w:bottom w:val="nil"/>
              <w:right w:val="nil"/>
            </w:tcBorders>
          </w:tcPr>
          <w:p w14:paraId="28AEFF41" w14:textId="2AF6BA6E" w:rsidR="00D23E39" w:rsidRPr="00FD0D8E" w:rsidRDefault="00D23E39" w:rsidP="00C74EB6">
            <w:pPr>
              <w:autoSpaceDE w:val="0"/>
              <w:autoSpaceDN w:val="0"/>
              <w:adjustRightInd w:val="0"/>
              <w:jc w:val="center"/>
              <w:rPr>
                <w:kern w:val="0"/>
                <w:szCs w:val="21"/>
              </w:rPr>
            </w:pPr>
            <w:r w:rsidRPr="00FD0D8E">
              <w:rPr>
                <w:kern w:val="0"/>
                <w:szCs w:val="21"/>
              </w:rPr>
              <w:t>1.736</w:t>
            </w:r>
            <w:r w:rsidRPr="00FD0D8E">
              <w:rPr>
                <w:kern w:val="0"/>
                <w:szCs w:val="21"/>
                <w:vertAlign w:val="superscript"/>
              </w:rPr>
              <w:t>***</w:t>
            </w:r>
          </w:p>
        </w:tc>
        <w:tc>
          <w:tcPr>
            <w:tcW w:w="1028" w:type="pct"/>
            <w:tcBorders>
              <w:top w:val="nil"/>
              <w:left w:val="nil"/>
              <w:bottom w:val="nil"/>
              <w:right w:val="nil"/>
            </w:tcBorders>
          </w:tcPr>
          <w:p w14:paraId="5C833A14" w14:textId="08BF6E02" w:rsidR="00D23E39" w:rsidRPr="00FD0D8E" w:rsidRDefault="00D23E39" w:rsidP="00C74EB6">
            <w:pPr>
              <w:autoSpaceDE w:val="0"/>
              <w:autoSpaceDN w:val="0"/>
              <w:adjustRightInd w:val="0"/>
              <w:jc w:val="center"/>
              <w:rPr>
                <w:kern w:val="0"/>
                <w:szCs w:val="21"/>
              </w:rPr>
            </w:pPr>
            <w:r w:rsidRPr="00FD0D8E">
              <w:rPr>
                <w:kern w:val="0"/>
                <w:szCs w:val="21"/>
              </w:rPr>
              <w:t>-</w:t>
            </w:r>
            <w:r w:rsidRPr="00FD0D8E">
              <w:rPr>
                <w:rFonts w:hint="eastAsia"/>
                <w:kern w:val="0"/>
                <w:szCs w:val="21"/>
              </w:rPr>
              <w:t>0.097</w:t>
            </w:r>
            <w:r w:rsidRPr="00FD0D8E">
              <w:rPr>
                <w:kern w:val="0"/>
                <w:szCs w:val="21"/>
                <w:vertAlign w:val="superscript"/>
              </w:rPr>
              <w:t>***</w:t>
            </w:r>
          </w:p>
        </w:tc>
      </w:tr>
      <w:tr w:rsidR="00D23E39" w:rsidRPr="00FD0D8E" w14:paraId="466F644E" w14:textId="77777777" w:rsidTr="006B1109">
        <w:tc>
          <w:tcPr>
            <w:tcW w:w="939" w:type="pct"/>
            <w:tcBorders>
              <w:top w:val="nil"/>
              <w:left w:val="nil"/>
              <w:bottom w:val="nil"/>
              <w:right w:val="nil"/>
            </w:tcBorders>
          </w:tcPr>
          <w:p w14:paraId="14310480"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37866EDA" w14:textId="77777777" w:rsidR="00D23E39" w:rsidRPr="00FD0D8E" w:rsidRDefault="00D23E39" w:rsidP="00C74EB6">
            <w:pPr>
              <w:autoSpaceDE w:val="0"/>
              <w:autoSpaceDN w:val="0"/>
              <w:adjustRightInd w:val="0"/>
              <w:jc w:val="center"/>
              <w:rPr>
                <w:kern w:val="0"/>
                <w:szCs w:val="21"/>
              </w:rPr>
            </w:pPr>
            <w:r w:rsidRPr="00FD0D8E">
              <w:rPr>
                <w:kern w:val="0"/>
                <w:szCs w:val="21"/>
              </w:rPr>
              <w:t>(0.004)</w:t>
            </w:r>
          </w:p>
        </w:tc>
        <w:tc>
          <w:tcPr>
            <w:tcW w:w="1030" w:type="pct"/>
            <w:tcBorders>
              <w:top w:val="nil"/>
              <w:left w:val="nil"/>
              <w:bottom w:val="nil"/>
              <w:right w:val="nil"/>
            </w:tcBorders>
          </w:tcPr>
          <w:p w14:paraId="3B577E8E"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013</w:t>
            </w:r>
            <w:r w:rsidRPr="00FD0D8E">
              <w:rPr>
                <w:kern w:val="0"/>
                <w:szCs w:val="21"/>
              </w:rPr>
              <w:t>)</w:t>
            </w:r>
          </w:p>
        </w:tc>
        <w:tc>
          <w:tcPr>
            <w:tcW w:w="1030" w:type="pct"/>
            <w:tcBorders>
              <w:top w:val="nil"/>
              <w:left w:val="nil"/>
              <w:bottom w:val="nil"/>
              <w:right w:val="nil"/>
            </w:tcBorders>
          </w:tcPr>
          <w:p w14:paraId="269EF3DD" w14:textId="78BD922B" w:rsidR="00D23E39" w:rsidRPr="00FD0D8E" w:rsidRDefault="00D23E39" w:rsidP="00C74EB6">
            <w:pPr>
              <w:autoSpaceDE w:val="0"/>
              <w:autoSpaceDN w:val="0"/>
              <w:adjustRightInd w:val="0"/>
              <w:jc w:val="center"/>
              <w:rPr>
                <w:kern w:val="0"/>
                <w:szCs w:val="21"/>
              </w:rPr>
            </w:pPr>
            <w:r w:rsidRPr="00FD0D8E">
              <w:rPr>
                <w:kern w:val="0"/>
                <w:szCs w:val="21"/>
              </w:rPr>
              <w:t>(0.038)</w:t>
            </w:r>
          </w:p>
        </w:tc>
        <w:tc>
          <w:tcPr>
            <w:tcW w:w="1028" w:type="pct"/>
            <w:tcBorders>
              <w:top w:val="nil"/>
              <w:left w:val="nil"/>
              <w:bottom w:val="nil"/>
              <w:right w:val="nil"/>
            </w:tcBorders>
          </w:tcPr>
          <w:p w14:paraId="3AFE3CCD" w14:textId="525C26CB"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013</w:t>
            </w:r>
            <w:r w:rsidRPr="00FD0D8E">
              <w:rPr>
                <w:kern w:val="0"/>
                <w:szCs w:val="21"/>
              </w:rPr>
              <w:t>)</w:t>
            </w:r>
          </w:p>
        </w:tc>
      </w:tr>
      <w:tr w:rsidR="00D23E39" w:rsidRPr="00FD0D8E" w14:paraId="3F604A91" w14:textId="77777777" w:rsidTr="006B1109">
        <w:tc>
          <w:tcPr>
            <w:tcW w:w="939" w:type="pct"/>
            <w:tcBorders>
              <w:top w:val="nil"/>
              <w:left w:val="nil"/>
              <w:bottom w:val="nil"/>
              <w:right w:val="nil"/>
            </w:tcBorders>
          </w:tcPr>
          <w:p w14:paraId="3A67EA64" w14:textId="77777777" w:rsidR="00D23E39" w:rsidRPr="00FD0D8E" w:rsidRDefault="00D23E39" w:rsidP="00C74EB6">
            <w:pPr>
              <w:autoSpaceDE w:val="0"/>
              <w:autoSpaceDN w:val="0"/>
              <w:adjustRightInd w:val="0"/>
              <w:rPr>
                <w:kern w:val="0"/>
                <w:szCs w:val="21"/>
              </w:rPr>
            </w:pPr>
            <w:r w:rsidRPr="00FD0D8E">
              <w:rPr>
                <w:kern w:val="0"/>
                <w:szCs w:val="21"/>
              </w:rPr>
              <w:t>FTA</w:t>
            </w:r>
          </w:p>
        </w:tc>
        <w:tc>
          <w:tcPr>
            <w:tcW w:w="973" w:type="pct"/>
            <w:tcBorders>
              <w:top w:val="nil"/>
              <w:left w:val="nil"/>
              <w:bottom w:val="nil"/>
              <w:right w:val="nil"/>
            </w:tcBorders>
          </w:tcPr>
          <w:p w14:paraId="3F97C0F1" w14:textId="77777777" w:rsidR="00D23E39" w:rsidRPr="00FD0D8E" w:rsidRDefault="00D23E39"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c>
          <w:tcPr>
            <w:tcW w:w="1030" w:type="pct"/>
            <w:tcBorders>
              <w:top w:val="nil"/>
              <w:left w:val="nil"/>
              <w:bottom w:val="nil"/>
              <w:right w:val="nil"/>
            </w:tcBorders>
          </w:tcPr>
          <w:p w14:paraId="3BD1A362"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012</w:t>
            </w:r>
          </w:p>
        </w:tc>
        <w:tc>
          <w:tcPr>
            <w:tcW w:w="1030" w:type="pct"/>
            <w:tcBorders>
              <w:top w:val="nil"/>
              <w:left w:val="nil"/>
              <w:bottom w:val="nil"/>
              <w:right w:val="nil"/>
            </w:tcBorders>
          </w:tcPr>
          <w:p w14:paraId="7475CB87" w14:textId="00DE1F46" w:rsidR="00D23E39" w:rsidRPr="00FD0D8E" w:rsidRDefault="00D23E39" w:rsidP="00C74EB6">
            <w:pPr>
              <w:autoSpaceDE w:val="0"/>
              <w:autoSpaceDN w:val="0"/>
              <w:adjustRightInd w:val="0"/>
              <w:jc w:val="center"/>
              <w:rPr>
                <w:kern w:val="0"/>
                <w:szCs w:val="21"/>
              </w:rPr>
            </w:pPr>
            <w:r w:rsidRPr="00FD0D8E">
              <w:rPr>
                <w:kern w:val="0"/>
                <w:szCs w:val="21"/>
              </w:rPr>
              <w:t>-0.180</w:t>
            </w:r>
            <w:r w:rsidRPr="00FD0D8E">
              <w:rPr>
                <w:kern w:val="0"/>
                <w:szCs w:val="21"/>
                <w:vertAlign w:val="superscript"/>
              </w:rPr>
              <w:t>***</w:t>
            </w:r>
          </w:p>
        </w:tc>
        <w:tc>
          <w:tcPr>
            <w:tcW w:w="1028" w:type="pct"/>
            <w:tcBorders>
              <w:top w:val="nil"/>
              <w:left w:val="nil"/>
              <w:bottom w:val="nil"/>
              <w:right w:val="nil"/>
            </w:tcBorders>
          </w:tcPr>
          <w:p w14:paraId="660DED95" w14:textId="5DBBE927"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08</w:t>
            </w:r>
          </w:p>
        </w:tc>
      </w:tr>
      <w:tr w:rsidR="00D23E39" w:rsidRPr="00FD0D8E" w14:paraId="2BEBCE28" w14:textId="77777777" w:rsidTr="006B1109">
        <w:tc>
          <w:tcPr>
            <w:tcW w:w="939" w:type="pct"/>
            <w:tcBorders>
              <w:top w:val="nil"/>
              <w:left w:val="nil"/>
              <w:bottom w:val="nil"/>
              <w:right w:val="nil"/>
            </w:tcBorders>
          </w:tcPr>
          <w:p w14:paraId="6C19638E"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250D3859" w14:textId="77777777" w:rsidR="00D23E39" w:rsidRPr="00FD0D8E" w:rsidRDefault="00D23E39" w:rsidP="00C74EB6">
            <w:pPr>
              <w:autoSpaceDE w:val="0"/>
              <w:autoSpaceDN w:val="0"/>
              <w:adjustRightInd w:val="0"/>
              <w:jc w:val="center"/>
              <w:rPr>
                <w:kern w:val="0"/>
                <w:szCs w:val="21"/>
              </w:rPr>
            </w:pPr>
            <w:r w:rsidRPr="00FD0D8E">
              <w:rPr>
                <w:kern w:val="0"/>
                <w:szCs w:val="21"/>
              </w:rPr>
              <w:t>(0.004)</w:t>
            </w:r>
          </w:p>
        </w:tc>
        <w:tc>
          <w:tcPr>
            <w:tcW w:w="1030" w:type="pct"/>
            <w:tcBorders>
              <w:top w:val="nil"/>
              <w:left w:val="nil"/>
              <w:bottom w:val="nil"/>
              <w:right w:val="nil"/>
            </w:tcBorders>
          </w:tcPr>
          <w:p w14:paraId="07376841"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012</w:t>
            </w:r>
            <w:r w:rsidRPr="00FD0D8E">
              <w:rPr>
                <w:kern w:val="0"/>
                <w:szCs w:val="21"/>
              </w:rPr>
              <w:t>)</w:t>
            </w:r>
          </w:p>
        </w:tc>
        <w:tc>
          <w:tcPr>
            <w:tcW w:w="1030" w:type="pct"/>
            <w:tcBorders>
              <w:top w:val="nil"/>
              <w:left w:val="nil"/>
              <w:bottom w:val="nil"/>
              <w:right w:val="nil"/>
            </w:tcBorders>
          </w:tcPr>
          <w:p w14:paraId="73A748BF" w14:textId="2D451CA4" w:rsidR="00D23E39" w:rsidRPr="00FD0D8E" w:rsidRDefault="00D23E39" w:rsidP="00C74EB6">
            <w:pPr>
              <w:autoSpaceDE w:val="0"/>
              <w:autoSpaceDN w:val="0"/>
              <w:adjustRightInd w:val="0"/>
              <w:jc w:val="center"/>
              <w:rPr>
                <w:kern w:val="0"/>
                <w:szCs w:val="21"/>
              </w:rPr>
            </w:pPr>
            <w:r w:rsidRPr="00FD0D8E">
              <w:rPr>
                <w:kern w:val="0"/>
                <w:szCs w:val="21"/>
              </w:rPr>
              <w:t>(0.031)</w:t>
            </w:r>
          </w:p>
        </w:tc>
        <w:tc>
          <w:tcPr>
            <w:tcW w:w="1028" w:type="pct"/>
            <w:tcBorders>
              <w:top w:val="nil"/>
              <w:left w:val="nil"/>
              <w:bottom w:val="nil"/>
              <w:right w:val="nil"/>
            </w:tcBorders>
          </w:tcPr>
          <w:p w14:paraId="739EBDFF" w14:textId="1FA69798"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012</w:t>
            </w:r>
            <w:r w:rsidRPr="00FD0D8E">
              <w:rPr>
                <w:kern w:val="0"/>
                <w:szCs w:val="21"/>
              </w:rPr>
              <w:t>)</w:t>
            </w:r>
          </w:p>
        </w:tc>
      </w:tr>
      <w:tr w:rsidR="00D23E39" w:rsidRPr="00FD0D8E" w14:paraId="0F280ADE" w14:textId="77777777" w:rsidTr="006B1109">
        <w:tc>
          <w:tcPr>
            <w:tcW w:w="939" w:type="pct"/>
            <w:tcBorders>
              <w:top w:val="nil"/>
              <w:left w:val="nil"/>
              <w:bottom w:val="nil"/>
              <w:right w:val="nil"/>
            </w:tcBorders>
          </w:tcPr>
          <w:p w14:paraId="1050AB60" w14:textId="77777777" w:rsidR="00D23E39" w:rsidRPr="00FD0D8E" w:rsidRDefault="00D23E39" w:rsidP="00C74EB6">
            <w:pPr>
              <w:autoSpaceDE w:val="0"/>
              <w:autoSpaceDN w:val="0"/>
              <w:adjustRightInd w:val="0"/>
              <w:rPr>
                <w:kern w:val="0"/>
                <w:szCs w:val="21"/>
              </w:rPr>
            </w:pPr>
            <w:r w:rsidRPr="00FD0D8E">
              <w:rPr>
                <w:kern w:val="0"/>
                <w:szCs w:val="21"/>
              </w:rPr>
              <w:t>Cash</w:t>
            </w:r>
          </w:p>
        </w:tc>
        <w:tc>
          <w:tcPr>
            <w:tcW w:w="973" w:type="pct"/>
            <w:tcBorders>
              <w:top w:val="nil"/>
              <w:left w:val="nil"/>
              <w:bottom w:val="nil"/>
              <w:right w:val="nil"/>
            </w:tcBorders>
          </w:tcPr>
          <w:p w14:paraId="01CB495C" w14:textId="77777777" w:rsidR="00D23E39" w:rsidRPr="00FD0D8E" w:rsidRDefault="00D23E39" w:rsidP="00C74EB6">
            <w:pPr>
              <w:autoSpaceDE w:val="0"/>
              <w:autoSpaceDN w:val="0"/>
              <w:adjustRightInd w:val="0"/>
              <w:jc w:val="center"/>
              <w:rPr>
                <w:kern w:val="0"/>
                <w:szCs w:val="21"/>
              </w:rPr>
            </w:pPr>
            <w:r w:rsidRPr="00FD0D8E">
              <w:rPr>
                <w:kern w:val="0"/>
                <w:szCs w:val="21"/>
              </w:rPr>
              <w:t>0.068</w:t>
            </w:r>
            <w:r w:rsidRPr="00FD0D8E">
              <w:rPr>
                <w:kern w:val="0"/>
                <w:szCs w:val="21"/>
                <w:vertAlign w:val="superscript"/>
              </w:rPr>
              <w:t>***</w:t>
            </w:r>
          </w:p>
        </w:tc>
        <w:tc>
          <w:tcPr>
            <w:tcW w:w="1030" w:type="pct"/>
            <w:tcBorders>
              <w:top w:val="nil"/>
              <w:left w:val="nil"/>
              <w:bottom w:val="nil"/>
              <w:right w:val="nil"/>
            </w:tcBorders>
          </w:tcPr>
          <w:p w14:paraId="6ECA0CD6"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02</w:t>
            </w:r>
          </w:p>
        </w:tc>
        <w:tc>
          <w:tcPr>
            <w:tcW w:w="1030" w:type="pct"/>
            <w:tcBorders>
              <w:top w:val="nil"/>
              <w:left w:val="nil"/>
              <w:bottom w:val="nil"/>
              <w:right w:val="nil"/>
            </w:tcBorders>
          </w:tcPr>
          <w:p w14:paraId="585B5359" w14:textId="788DC9AA" w:rsidR="00D23E39" w:rsidRPr="00FD0D8E" w:rsidRDefault="00D23E39" w:rsidP="00C74EB6">
            <w:pPr>
              <w:autoSpaceDE w:val="0"/>
              <w:autoSpaceDN w:val="0"/>
              <w:adjustRightInd w:val="0"/>
              <w:jc w:val="center"/>
              <w:rPr>
                <w:kern w:val="0"/>
                <w:szCs w:val="21"/>
              </w:rPr>
            </w:pPr>
            <w:r w:rsidRPr="00FD0D8E">
              <w:rPr>
                <w:kern w:val="0"/>
                <w:szCs w:val="21"/>
              </w:rPr>
              <w:t>0.661</w:t>
            </w:r>
            <w:r w:rsidRPr="00FD0D8E">
              <w:rPr>
                <w:kern w:val="0"/>
                <w:szCs w:val="21"/>
                <w:vertAlign w:val="superscript"/>
              </w:rPr>
              <w:t>***</w:t>
            </w:r>
          </w:p>
        </w:tc>
        <w:tc>
          <w:tcPr>
            <w:tcW w:w="1028" w:type="pct"/>
            <w:tcBorders>
              <w:top w:val="nil"/>
              <w:left w:val="nil"/>
              <w:bottom w:val="nil"/>
              <w:right w:val="nil"/>
            </w:tcBorders>
          </w:tcPr>
          <w:p w14:paraId="42995393" w14:textId="78217D0D"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02</w:t>
            </w:r>
          </w:p>
        </w:tc>
      </w:tr>
      <w:tr w:rsidR="00D23E39" w:rsidRPr="00FD0D8E" w14:paraId="317A7BC8" w14:textId="77777777" w:rsidTr="006B1109">
        <w:tc>
          <w:tcPr>
            <w:tcW w:w="939" w:type="pct"/>
            <w:tcBorders>
              <w:top w:val="nil"/>
              <w:left w:val="nil"/>
              <w:bottom w:val="nil"/>
              <w:right w:val="nil"/>
            </w:tcBorders>
          </w:tcPr>
          <w:p w14:paraId="0E359FAC"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3A3B45BA" w14:textId="77777777" w:rsidR="00D23E39" w:rsidRPr="00FD0D8E" w:rsidRDefault="00D23E39" w:rsidP="00C74EB6">
            <w:pPr>
              <w:autoSpaceDE w:val="0"/>
              <w:autoSpaceDN w:val="0"/>
              <w:adjustRightInd w:val="0"/>
              <w:jc w:val="center"/>
              <w:rPr>
                <w:kern w:val="0"/>
                <w:szCs w:val="21"/>
              </w:rPr>
            </w:pPr>
            <w:r w:rsidRPr="00FD0D8E">
              <w:rPr>
                <w:kern w:val="0"/>
                <w:szCs w:val="21"/>
              </w:rPr>
              <w:t>(0.005)</w:t>
            </w:r>
          </w:p>
        </w:tc>
        <w:tc>
          <w:tcPr>
            <w:tcW w:w="1030" w:type="pct"/>
            <w:tcBorders>
              <w:top w:val="nil"/>
              <w:left w:val="nil"/>
              <w:bottom w:val="nil"/>
              <w:right w:val="nil"/>
            </w:tcBorders>
          </w:tcPr>
          <w:p w14:paraId="0EEECBE9"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014</w:t>
            </w:r>
            <w:r w:rsidRPr="00FD0D8E">
              <w:rPr>
                <w:kern w:val="0"/>
                <w:szCs w:val="21"/>
              </w:rPr>
              <w:t>)</w:t>
            </w:r>
          </w:p>
        </w:tc>
        <w:tc>
          <w:tcPr>
            <w:tcW w:w="1030" w:type="pct"/>
            <w:tcBorders>
              <w:top w:val="nil"/>
              <w:left w:val="nil"/>
              <w:bottom w:val="nil"/>
              <w:right w:val="nil"/>
            </w:tcBorders>
          </w:tcPr>
          <w:p w14:paraId="7A116D3A" w14:textId="780D89CE" w:rsidR="00D23E39" w:rsidRPr="00FD0D8E" w:rsidRDefault="00D23E39" w:rsidP="00C74EB6">
            <w:pPr>
              <w:autoSpaceDE w:val="0"/>
              <w:autoSpaceDN w:val="0"/>
              <w:adjustRightInd w:val="0"/>
              <w:jc w:val="center"/>
              <w:rPr>
                <w:kern w:val="0"/>
                <w:szCs w:val="21"/>
              </w:rPr>
            </w:pPr>
            <w:r w:rsidRPr="00FD0D8E">
              <w:rPr>
                <w:kern w:val="0"/>
                <w:szCs w:val="21"/>
              </w:rPr>
              <w:t>(0.055)</w:t>
            </w:r>
          </w:p>
        </w:tc>
        <w:tc>
          <w:tcPr>
            <w:tcW w:w="1028" w:type="pct"/>
            <w:tcBorders>
              <w:top w:val="nil"/>
              <w:left w:val="nil"/>
              <w:bottom w:val="nil"/>
              <w:right w:val="nil"/>
            </w:tcBorders>
          </w:tcPr>
          <w:p w14:paraId="09984422" w14:textId="36D44E25"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014</w:t>
            </w:r>
            <w:r w:rsidRPr="00FD0D8E">
              <w:rPr>
                <w:kern w:val="0"/>
                <w:szCs w:val="21"/>
              </w:rPr>
              <w:t>)</w:t>
            </w:r>
          </w:p>
        </w:tc>
      </w:tr>
      <w:tr w:rsidR="00D23E39" w:rsidRPr="00FD0D8E" w14:paraId="6B693B9B" w14:textId="77777777" w:rsidTr="006B1109">
        <w:tc>
          <w:tcPr>
            <w:tcW w:w="939" w:type="pct"/>
            <w:tcBorders>
              <w:top w:val="nil"/>
              <w:left w:val="nil"/>
              <w:bottom w:val="nil"/>
              <w:right w:val="nil"/>
            </w:tcBorders>
          </w:tcPr>
          <w:p w14:paraId="42EB80AC" w14:textId="77777777" w:rsidR="00D23E39" w:rsidRPr="00FD0D8E" w:rsidRDefault="00D23E39" w:rsidP="00C74EB6">
            <w:pPr>
              <w:autoSpaceDE w:val="0"/>
              <w:autoSpaceDN w:val="0"/>
              <w:adjustRightInd w:val="0"/>
              <w:rPr>
                <w:kern w:val="0"/>
                <w:szCs w:val="21"/>
              </w:rPr>
            </w:pPr>
            <w:r w:rsidRPr="00FD0D8E">
              <w:rPr>
                <w:kern w:val="0"/>
                <w:szCs w:val="21"/>
              </w:rPr>
              <w:t>Volatility</w:t>
            </w:r>
          </w:p>
        </w:tc>
        <w:tc>
          <w:tcPr>
            <w:tcW w:w="973" w:type="pct"/>
            <w:tcBorders>
              <w:top w:val="nil"/>
              <w:left w:val="nil"/>
              <w:bottom w:val="nil"/>
              <w:right w:val="nil"/>
            </w:tcBorders>
          </w:tcPr>
          <w:p w14:paraId="5FB4183B" w14:textId="77777777" w:rsidR="00D23E39" w:rsidRPr="00FD0D8E" w:rsidRDefault="00D23E39" w:rsidP="00C74EB6">
            <w:pPr>
              <w:autoSpaceDE w:val="0"/>
              <w:autoSpaceDN w:val="0"/>
              <w:adjustRightInd w:val="0"/>
              <w:jc w:val="center"/>
              <w:rPr>
                <w:kern w:val="0"/>
                <w:szCs w:val="21"/>
              </w:rPr>
            </w:pPr>
            <w:r w:rsidRPr="00FD0D8E">
              <w:rPr>
                <w:kern w:val="0"/>
                <w:szCs w:val="21"/>
              </w:rPr>
              <w:t>-0.146</w:t>
            </w:r>
            <w:r w:rsidRPr="00FD0D8E">
              <w:rPr>
                <w:kern w:val="0"/>
                <w:szCs w:val="21"/>
                <w:vertAlign w:val="superscript"/>
              </w:rPr>
              <w:t>***</w:t>
            </w:r>
          </w:p>
        </w:tc>
        <w:tc>
          <w:tcPr>
            <w:tcW w:w="1030" w:type="pct"/>
            <w:tcBorders>
              <w:top w:val="nil"/>
              <w:left w:val="nil"/>
              <w:bottom w:val="nil"/>
              <w:right w:val="nil"/>
            </w:tcBorders>
          </w:tcPr>
          <w:p w14:paraId="1B126FCB"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078</w:t>
            </w:r>
            <w:r w:rsidRPr="00FD0D8E">
              <w:rPr>
                <w:kern w:val="0"/>
                <w:szCs w:val="21"/>
                <w:vertAlign w:val="superscript"/>
              </w:rPr>
              <w:t>***</w:t>
            </w:r>
          </w:p>
        </w:tc>
        <w:tc>
          <w:tcPr>
            <w:tcW w:w="1030" w:type="pct"/>
            <w:tcBorders>
              <w:top w:val="nil"/>
              <w:left w:val="nil"/>
              <w:bottom w:val="nil"/>
              <w:right w:val="nil"/>
            </w:tcBorders>
          </w:tcPr>
          <w:p w14:paraId="2D5788DA" w14:textId="712F0FCC" w:rsidR="00D23E39" w:rsidRPr="00FD0D8E" w:rsidRDefault="00D23E39" w:rsidP="00C74EB6">
            <w:pPr>
              <w:autoSpaceDE w:val="0"/>
              <w:autoSpaceDN w:val="0"/>
              <w:adjustRightInd w:val="0"/>
              <w:jc w:val="center"/>
              <w:rPr>
                <w:kern w:val="0"/>
                <w:szCs w:val="21"/>
              </w:rPr>
            </w:pPr>
            <w:r w:rsidRPr="00FD0D8E">
              <w:rPr>
                <w:kern w:val="0"/>
                <w:szCs w:val="21"/>
              </w:rPr>
              <w:t>-1.460</w:t>
            </w:r>
            <w:r w:rsidRPr="00FD0D8E">
              <w:rPr>
                <w:kern w:val="0"/>
                <w:szCs w:val="21"/>
                <w:vertAlign w:val="superscript"/>
              </w:rPr>
              <w:t>***</w:t>
            </w:r>
          </w:p>
        </w:tc>
        <w:tc>
          <w:tcPr>
            <w:tcW w:w="1028" w:type="pct"/>
            <w:tcBorders>
              <w:top w:val="nil"/>
              <w:left w:val="nil"/>
              <w:bottom w:val="nil"/>
              <w:right w:val="nil"/>
            </w:tcBorders>
          </w:tcPr>
          <w:p w14:paraId="1229DF53" w14:textId="4B2EA755"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081</w:t>
            </w:r>
            <w:r w:rsidRPr="00FD0D8E">
              <w:rPr>
                <w:kern w:val="0"/>
                <w:szCs w:val="21"/>
                <w:vertAlign w:val="superscript"/>
              </w:rPr>
              <w:t>***</w:t>
            </w:r>
          </w:p>
        </w:tc>
      </w:tr>
      <w:tr w:rsidR="00D23E39" w:rsidRPr="00FD0D8E" w14:paraId="221377F5" w14:textId="77777777" w:rsidTr="006B1109">
        <w:tc>
          <w:tcPr>
            <w:tcW w:w="939" w:type="pct"/>
            <w:tcBorders>
              <w:top w:val="nil"/>
              <w:left w:val="nil"/>
              <w:bottom w:val="nil"/>
              <w:right w:val="nil"/>
            </w:tcBorders>
          </w:tcPr>
          <w:p w14:paraId="3F209BF3"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610B8FD1" w14:textId="77777777" w:rsidR="00D23E39" w:rsidRPr="00FD0D8E" w:rsidRDefault="00D23E39" w:rsidP="00C74EB6">
            <w:pPr>
              <w:autoSpaceDE w:val="0"/>
              <w:autoSpaceDN w:val="0"/>
              <w:adjustRightInd w:val="0"/>
              <w:jc w:val="center"/>
              <w:rPr>
                <w:kern w:val="0"/>
                <w:szCs w:val="21"/>
              </w:rPr>
            </w:pPr>
            <w:r w:rsidRPr="00FD0D8E">
              <w:rPr>
                <w:kern w:val="0"/>
                <w:szCs w:val="21"/>
              </w:rPr>
              <w:t>(0.017)</w:t>
            </w:r>
          </w:p>
        </w:tc>
        <w:tc>
          <w:tcPr>
            <w:tcW w:w="1030" w:type="pct"/>
            <w:tcBorders>
              <w:top w:val="nil"/>
              <w:left w:val="nil"/>
              <w:bottom w:val="nil"/>
              <w:right w:val="nil"/>
            </w:tcBorders>
          </w:tcPr>
          <w:p w14:paraId="13993D43"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019</w:t>
            </w:r>
            <w:r w:rsidRPr="00FD0D8E">
              <w:rPr>
                <w:kern w:val="0"/>
                <w:szCs w:val="21"/>
              </w:rPr>
              <w:t>)</w:t>
            </w:r>
          </w:p>
        </w:tc>
        <w:tc>
          <w:tcPr>
            <w:tcW w:w="1030" w:type="pct"/>
            <w:tcBorders>
              <w:top w:val="nil"/>
              <w:left w:val="nil"/>
              <w:bottom w:val="nil"/>
              <w:right w:val="nil"/>
            </w:tcBorders>
          </w:tcPr>
          <w:p w14:paraId="78D0023C" w14:textId="3B31E754" w:rsidR="00D23E39" w:rsidRPr="00FD0D8E" w:rsidRDefault="00D23E39" w:rsidP="00C74EB6">
            <w:pPr>
              <w:autoSpaceDE w:val="0"/>
              <w:autoSpaceDN w:val="0"/>
              <w:adjustRightInd w:val="0"/>
              <w:jc w:val="center"/>
              <w:rPr>
                <w:kern w:val="0"/>
                <w:szCs w:val="21"/>
              </w:rPr>
            </w:pPr>
            <w:r w:rsidRPr="00FD0D8E">
              <w:rPr>
                <w:kern w:val="0"/>
                <w:szCs w:val="21"/>
              </w:rPr>
              <w:t>(0.167)</w:t>
            </w:r>
          </w:p>
        </w:tc>
        <w:tc>
          <w:tcPr>
            <w:tcW w:w="1028" w:type="pct"/>
            <w:tcBorders>
              <w:top w:val="nil"/>
              <w:left w:val="nil"/>
              <w:bottom w:val="nil"/>
              <w:right w:val="nil"/>
            </w:tcBorders>
          </w:tcPr>
          <w:p w14:paraId="5EF2C243" w14:textId="360676B8"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019</w:t>
            </w:r>
            <w:r w:rsidRPr="00FD0D8E">
              <w:rPr>
                <w:kern w:val="0"/>
                <w:szCs w:val="21"/>
              </w:rPr>
              <w:t>)</w:t>
            </w:r>
          </w:p>
        </w:tc>
      </w:tr>
      <w:tr w:rsidR="00D23E39" w:rsidRPr="00FD0D8E" w14:paraId="3604CFDF" w14:textId="77777777" w:rsidTr="006B1109">
        <w:tc>
          <w:tcPr>
            <w:tcW w:w="939" w:type="pct"/>
            <w:tcBorders>
              <w:top w:val="nil"/>
              <w:left w:val="nil"/>
              <w:bottom w:val="nil"/>
              <w:right w:val="nil"/>
            </w:tcBorders>
          </w:tcPr>
          <w:p w14:paraId="5FEDAFE5" w14:textId="77777777" w:rsidR="00D23E39" w:rsidRPr="00FD0D8E" w:rsidRDefault="00D23E39" w:rsidP="00C74EB6">
            <w:pPr>
              <w:autoSpaceDE w:val="0"/>
              <w:autoSpaceDN w:val="0"/>
              <w:adjustRightInd w:val="0"/>
              <w:rPr>
                <w:kern w:val="0"/>
                <w:szCs w:val="21"/>
              </w:rPr>
            </w:pPr>
            <w:r w:rsidRPr="00FD0D8E">
              <w:rPr>
                <w:kern w:val="0"/>
                <w:szCs w:val="21"/>
              </w:rPr>
              <w:t>PB</w:t>
            </w:r>
          </w:p>
        </w:tc>
        <w:tc>
          <w:tcPr>
            <w:tcW w:w="973" w:type="pct"/>
            <w:tcBorders>
              <w:top w:val="nil"/>
              <w:left w:val="nil"/>
              <w:bottom w:val="nil"/>
              <w:right w:val="nil"/>
            </w:tcBorders>
          </w:tcPr>
          <w:p w14:paraId="3C81BF61" w14:textId="77777777" w:rsidR="00D23E39" w:rsidRPr="00FD0D8E" w:rsidRDefault="00D23E39"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030" w:type="pct"/>
            <w:tcBorders>
              <w:top w:val="nil"/>
              <w:left w:val="nil"/>
              <w:bottom w:val="nil"/>
              <w:right w:val="nil"/>
            </w:tcBorders>
          </w:tcPr>
          <w:p w14:paraId="5897C840"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02</w:t>
            </w:r>
            <w:r w:rsidRPr="00FD0D8E">
              <w:rPr>
                <w:kern w:val="0"/>
                <w:szCs w:val="21"/>
                <w:vertAlign w:val="superscript"/>
              </w:rPr>
              <w:t>**</w:t>
            </w:r>
          </w:p>
        </w:tc>
        <w:tc>
          <w:tcPr>
            <w:tcW w:w="1030" w:type="pct"/>
            <w:tcBorders>
              <w:top w:val="nil"/>
              <w:left w:val="nil"/>
              <w:bottom w:val="nil"/>
              <w:right w:val="nil"/>
            </w:tcBorders>
          </w:tcPr>
          <w:p w14:paraId="51EA1B30" w14:textId="655B1C19" w:rsidR="00D23E39" w:rsidRPr="00FD0D8E" w:rsidRDefault="00D23E39" w:rsidP="00C74EB6">
            <w:pPr>
              <w:autoSpaceDE w:val="0"/>
              <w:autoSpaceDN w:val="0"/>
              <w:adjustRightInd w:val="0"/>
              <w:jc w:val="center"/>
              <w:rPr>
                <w:kern w:val="0"/>
                <w:szCs w:val="21"/>
              </w:rPr>
            </w:pPr>
            <w:r w:rsidRPr="00FD0D8E">
              <w:rPr>
                <w:kern w:val="0"/>
                <w:szCs w:val="21"/>
              </w:rPr>
              <w:t>-0.026</w:t>
            </w:r>
            <w:r w:rsidRPr="00FD0D8E">
              <w:rPr>
                <w:kern w:val="0"/>
                <w:szCs w:val="21"/>
                <w:vertAlign w:val="superscript"/>
              </w:rPr>
              <w:t>**</w:t>
            </w:r>
          </w:p>
        </w:tc>
        <w:tc>
          <w:tcPr>
            <w:tcW w:w="1028" w:type="pct"/>
            <w:tcBorders>
              <w:top w:val="nil"/>
              <w:left w:val="nil"/>
              <w:bottom w:val="nil"/>
              <w:right w:val="nil"/>
            </w:tcBorders>
          </w:tcPr>
          <w:p w14:paraId="1D21D569" w14:textId="3D3CEBEB"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02</w:t>
            </w:r>
            <w:r w:rsidRPr="00FD0D8E">
              <w:rPr>
                <w:kern w:val="0"/>
                <w:szCs w:val="21"/>
                <w:vertAlign w:val="superscript"/>
              </w:rPr>
              <w:t>***</w:t>
            </w:r>
          </w:p>
        </w:tc>
      </w:tr>
      <w:tr w:rsidR="00D23E39" w:rsidRPr="00FD0D8E" w14:paraId="26EA262D" w14:textId="77777777" w:rsidTr="006B1109">
        <w:tc>
          <w:tcPr>
            <w:tcW w:w="939" w:type="pct"/>
            <w:tcBorders>
              <w:top w:val="nil"/>
              <w:left w:val="nil"/>
              <w:bottom w:val="nil"/>
              <w:right w:val="nil"/>
            </w:tcBorders>
          </w:tcPr>
          <w:p w14:paraId="71A776B9"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408299CF" w14:textId="77777777" w:rsidR="00D23E39" w:rsidRPr="00FD0D8E" w:rsidRDefault="00D23E39" w:rsidP="00C74EB6">
            <w:pPr>
              <w:autoSpaceDE w:val="0"/>
              <w:autoSpaceDN w:val="0"/>
              <w:adjustRightInd w:val="0"/>
              <w:jc w:val="center"/>
              <w:rPr>
                <w:kern w:val="0"/>
                <w:szCs w:val="21"/>
              </w:rPr>
            </w:pPr>
            <w:r w:rsidRPr="00FD0D8E">
              <w:rPr>
                <w:kern w:val="0"/>
                <w:szCs w:val="21"/>
              </w:rPr>
              <w:t>(0.001)</w:t>
            </w:r>
          </w:p>
        </w:tc>
        <w:tc>
          <w:tcPr>
            <w:tcW w:w="1030" w:type="pct"/>
            <w:tcBorders>
              <w:top w:val="nil"/>
              <w:left w:val="nil"/>
              <w:bottom w:val="nil"/>
              <w:right w:val="nil"/>
            </w:tcBorders>
          </w:tcPr>
          <w:p w14:paraId="6D5364C0" w14:textId="77777777" w:rsidR="00D23E39" w:rsidRPr="00FD0D8E" w:rsidRDefault="00D23E39" w:rsidP="00C74EB6">
            <w:pPr>
              <w:autoSpaceDE w:val="0"/>
              <w:autoSpaceDN w:val="0"/>
              <w:adjustRightInd w:val="0"/>
              <w:jc w:val="center"/>
              <w:rPr>
                <w:kern w:val="0"/>
                <w:szCs w:val="21"/>
              </w:rPr>
            </w:pPr>
            <w:r w:rsidRPr="00FD0D8E">
              <w:rPr>
                <w:kern w:val="0"/>
                <w:szCs w:val="21"/>
              </w:rPr>
              <w:t>(0.00</w:t>
            </w:r>
            <w:r w:rsidRPr="00FD0D8E">
              <w:rPr>
                <w:rFonts w:hint="eastAsia"/>
                <w:kern w:val="0"/>
                <w:szCs w:val="21"/>
              </w:rPr>
              <w:t>1</w:t>
            </w:r>
            <w:r w:rsidRPr="00FD0D8E">
              <w:rPr>
                <w:kern w:val="0"/>
                <w:szCs w:val="21"/>
              </w:rPr>
              <w:t>)</w:t>
            </w:r>
          </w:p>
        </w:tc>
        <w:tc>
          <w:tcPr>
            <w:tcW w:w="1030" w:type="pct"/>
            <w:tcBorders>
              <w:top w:val="nil"/>
              <w:left w:val="nil"/>
              <w:bottom w:val="nil"/>
              <w:right w:val="nil"/>
            </w:tcBorders>
          </w:tcPr>
          <w:p w14:paraId="334D0FB0" w14:textId="26B99858" w:rsidR="00D23E39" w:rsidRPr="00FD0D8E" w:rsidRDefault="00D23E39" w:rsidP="00C74EB6">
            <w:pPr>
              <w:autoSpaceDE w:val="0"/>
              <w:autoSpaceDN w:val="0"/>
              <w:adjustRightInd w:val="0"/>
              <w:jc w:val="center"/>
              <w:rPr>
                <w:kern w:val="0"/>
                <w:szCs w:val="21"/>
              </w:rPr>
            </w:pPr>
            <w:r w:rsidRPr="00FD0D8E">
              <w:rPr>
                <w:kern w:val="0"/>
                <w:szCs w:val="21"/>
              </w:rPr>
              <w:t>(0.009)</w:t>
            </w:r>
          </w:p>
        </w:tc>
        <w:tc>
          <w:tcPr>
            <w:tcW w:w="1028" w:type="pct"/>
            <w:tcBorders>
              <w:top w:val="nil"/>
              <w:left w:val="nil"/>
              <w:bottom w:val="nil"/>
              <w:right w:val="nil"/>
            </w:tcBorders>
          </w:tcPr>
          <w:p w14:paraId="2E5FA92E" w14:textId="33AFE601" w:rsidR="00D23E39" w:rsidRPr="00FD0D8E" w:rsidRDefault="00D23E39" w:rsidP="00C74EB6">
            <w:pPr>
              <w:autoSpaceDE w:val="0"/>
              <w:autoSpaceDN w:val="0"/>
              <w:adjustRightInd w:val="0"/>
              <w:jc w:val="center"/>
              <w:rPr>
                <w:kern w:val="0"/>
                <w:szCs w:val="21"/>
              </w:rPr>
            </w:pPr>
            <w:r w:rsidRPr="00FD0D8E">
              <w:rPr>
                <w:kern w:val="0"/>
                <w:szCs w:val="21"/>
              </w:rPr>
              <w:t>(0.00</w:t>
            </w:r>
            <w:r w:rsidR="00AC4838" w:rsidRPr="00FD0D8E">
              <w:rPr>
                <w:rFonts w:hint="eastAsia"/>
                <w:kern w:val="0"/>
                <w:szCs w:val="21"/>
              </w:rPr>
              <w:t>1</w:t>
            </w:r>
            <w:r w:rsidRPr="00FD0D8E">
              <w:rPr>
                <w:kern w:val="0"/>
                <w:szCs w:val="21"/>
              </w:rPr>
              <w:t>)</w:t>
            </w:r>
          </w:p>
        </w:tc>
      </w:tr>
      <w:tr w:rsidR="00D23E39" w:rsidRPr="00FD0D8E" w14:paraId="5DAA567F" w14:textId="77777777" w:rsidTr="006B1109">
        <w:tc>
          <w:tcPr>
            <w:tcW w:w="939" w:type="pct"/>
            <w:tcBorders>
              <w:top w:val="nil"/>
              <w:left w:val="nil"/>
              <w:bottom w:val="nil"/>
              <w:right w:val="nil"/>
            </w:tcBorders>
          </w:tcPr>
          <w:p w14:paraId="7FC7455D" w14:textId="77777777" w:rsidR="00D23E39" w:rsidRPr="00FD0D8E" w:rsidRDefault="00D23E39" w:rsidP="00C74EB6">
            <w:pPr>
              <w:autoSpaceDE w:val="0"/>
              <w:autoSpaceDN w:val="0"/>
              <w:adjustRightInd w:val="0"/>
              <w:rPr>
                <w:kern w:val="0"/>
                <w:szCs w:val="21"/>
              </w:rPr>
            </w:pPr>
            <w:proofErr w:type="spellStart"/>
            <w:r w:rsidRPr="00FD0D8E">
              <w:rPr>
                <w:kern w:val="0"/>
                <w:szCs w:val="21"/>
              </w:rPr>
              <w:t>GrowthRev</w:t>
            </w:r>
            <w:proofErr w:type="spellEnd"/>
          </w:p>
        </w:tc>
        <w:tc>
          <w:tcPr>
            <w:tcW w:w="973" w:type="pct"/>
            <w:tcBorders>
              <w:top w:val="nil"/>
              <w:left w:val="nil"/>
              <w:bottom w:val="nil"/>
              <w:right w:val="nil"/>
            </w:tcBorders>
          </w:tcPr>
          <w:p w14:paraId="1ABD09C2" w14:textId="77777777" w:rsidR="00D23E39" w:rsidRPr="00FD0D8E" w:rsidRDefault="00D23E39" w:rsidP="00C74EB6">
            <w:pPr>
              <w:autoSpaceDE w:val="0"/>
              <w:autoSpaceDN w:val="0"/>
              <w:adjustRightInd w:val="0"/>
              <w:jc w:val="center"/>
              <w:rPr>
                <w:kern w:val="0"/>
                <w:szCs w:val="21"/>
              </w:rPr>
            </w:pPr>
            <w:r w:rsidRPr="00FD0D8E">
              <w:rPr>
                <w:kern w:val="0"/>
                <w:szCs w:val="21"/>
              </w:rPr>
              <w:t>-0.025</w:t>
            </w:r>
            <w:r w:rsidRPr="00FD0D8E">
              <w:rPr>
                <w:kern w:val="0"/>
                <w:szCs w:val="21"/>
                <w:vertAlign w:val="superscript"/>
              </w:rPr>
              <w:t>***</w:t>
            </w:r>
          </w:p>
        </w:tc>
        <w:tc>
          <w:tcPr>
            <w:tcW w:w="1030" w:type="pct"/>
            <w:tcBorders>
              <w:top w:val="nil"/>
              <w:left w:val="nil"/>
              <w:bottom w:val="nil"/>
              <w:right w:val="nil"/>
            </w:tcBorders>
          </w:tcPr>
          <w:p w14:paraId="612C0C73"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021</w:t>
            </w:r>
            <w:r w:rsidRPr="00FD0D8E">
              <w:rPr>
                <w:kern w:val="0"/>
                <w:szCs w:val="21"/>
                <w:vertAlign w:val="superscript"/>
              </w:rPr>
              <w:t>***</w:t>
            </w:r>
          </w:p>
        </w:tc>
        <w:tc>
          <w:tcPr>
            <w:tcW w:w="1030" w:type="pct"/>
            <w:tcBorders>
              <w:top w:val="nil"/>
              <w:left w:val="nil"/>
              <w:bottom w:val="nil"/>
              <w:right w:val="nil"/>
            </w:tcBorders>
          </w:tcPr>
          <w:p w14:paraId="71E681B9" w14:textId="2169A79B" w:rsidR="00D23E39" w:rsidRPr="00FD0D8E" w:rsidRDefault="00D23E39" w:rsidP="00C74EB6">
            <w:pPr>
              <w:autoSpaceDE w:val="0"/>
              <w:autoSpaceDN w:val="0"/>
              <w:adjustRightInd w:val="0"/>
              <w:jc w:val="center"/>
              <w:rPr>
                <w:kern w:val="0"/>
                <w:szCs w:val="21"/>
              </w:rPr>
            </w:pPr>
            <w:r w:rsidRPr="00FD0D8E">
              <w:rPr>
                <w:kern w:val="0"/>
                <w:szCs w:val="21"/>
              </w:rPr>
              <w:t>-0.251</w:t>
            </w:r>
            <w:r w:rsidRPr="00FD0D8E">
              <w:rPr>
                <w:kern w:val="0"/>
                <w:szCs w:val="21"/>
                <w:vertAlign w:val="superscript"/>
              </w:rPr>
              <w:t>***</w:t>
            </w:r>
          </w:p>
        </w:tc>
        <w:tc>
          <w:tcPr>
            <w:tcW w:w="1028" w:type="pct"/>
            <w:tcBorders>
              <w:top w:val="nil"/>
              <w:left w:val="nil"/>
              <w:bottom w:val="nil"/>
              <w:right w:val="nil"/>
            </w:tcBorders>
          </w:tcPr>
          <w:p w14:paraId="330B9044" w14:textId="35B831A3"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023</w:t>
            </w:r>
            <w:r w:rsidRPr="00FD0D8E">
              <w:rPr>
                <w:kern w:val="0"/>
                <w:szCs w:val="21"/>
                <w:vertAlign w:val="superscript"/>
              </w:rPr>
              <w:t>***</w:t>
            </w:r>
          </w:p>
        </w:tc>
      </w:tr>
      <w:tr w:rsidR="00D23E39" w:rsidRPr="00FD0D8E" w14:paraId="162997AF" w14:textId="77777777" w:rsidTr="006B1109">
        <w:tc>
          <w:tcPr>
            <w:tcW w:w="939" w:type="pct"/>
            <w:tcBorders>
              <w:top w:val="nil"/>
              <w:left w:val="nil"/>
              <w:bottom w:val="nil"/>
              <w:right w:val="nil"/>
            </w:tcBorders>
          </w:tcPr>
          <w:p w14:paraId="6AC51F26"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2748ECEB" w14:textId="77777777" w:rsidR="00D23E39" w:rsidRPr="00FD0D8E" w:rsidRDefault="00D23E39" w:rsidP="00C74EB6">
            <w:pPr>
              <w:autoSpaceDE w:val="0"/>
              <w:autoSpaceDN w:val="0"/>
              <w:adjustRightInd w:val="0"/>
              <w:jc w:val="center"/>
              <w:rPr>
                <w:kern w:val="0"/>
                <w:szCs w:val="21"/>
              </w:rPr>
            </w:pPr>
            <w:r w:rsidRPr="00FD0D8E">
              <w:rPr>
                <w:kern w:val="0"/>
                <w:szCs w:val="21"/>
              </w:rPr>
              <w:t>(0.002)</w:t>
            </w:r>
          </w:p>
        </w:tc>
        <w:tc>
          <w:tcPr>
            <w:tcW w:w="1030" w:type="pct"/>
            <w:tcBorders>
              <w:top w:val="nil"/>
              <w:left w:val="nil"/>
              <w:bottom w:val="nil"/>
              <w:right w:val="nil"/>
            </w:tcBorders>
          </w:tcPr>
          <w:p w14:paraId="33B5AD71"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05</w:t>
            </w:r>
            <w:r w:rsidRPr="00FD0D8E">
              <w:rPr>
                <w:kern w:val="0"/>
                <w:szCs w:val="21"/>
              </w:rPr>
              <w:t>)</w:t>
            </w:r>
          </w:p>
        </w:tc>
        <w:tc>
          <w:tcPr>
            <w:tcW w:w="1030" w:type="pct"/>
            <w:tcBorders>
              <w:top w:val="nil"/>
              <w:left w:val="nil"/>
              <w:bottom w:val="nil"/>
              <w:right w:val="nil"/>
            </w:tcBorders>
          </w:tcPr>
          <w:p w14:paraId="5BCB991F" w14:textId="2165EB8A" w:rsidR="00D23E39" w:rsidRPr="00FD0D8E" w:rsidRDefault="00D23E39" w:rsidP="00C74EB6">
            <w:pPr>
              <w:autoSpaceDE w:val="0"/>
              <w:autoSpaceDN w:val="0"/>
              <w:adjustRightInd w:val="0"/>
              <w:jc w:val="center"/>
              <w:rPr>
                <w:kern w:val="0"/>
                <w:szCs w:val="21"/>
              </w:rPr>
            </w:pPr>
            <w:r w:rsidRPr="00FD0D8E">
              <w:rPr>
                <w:kern w:val="0"/>
                <w:szCs w:val="21"/>
              </w:rPr>
              <w:t>(0.026)</w:t>
            </w:r>
          </w:p>
        </w:tc>
        <w:tc>
          <w:tcPr>
            <w:tcW w:w="1028" w:type="pct"/>
            <w:tcBorders>
              <w:top w:val="nil"/>
              <w:left w:val="nil"/>
              <w:bottom w:val="nil"/>
              <w:right w:val="nil"/>
            </w:tcBorders>
          </w:tcPr>
          <w:p w14:paraId="2CBE28A2" w14:textId="2A6B3FC7"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05</w:t>
            </w:r>
            <w:r w:rsidRPr="00FD0D8E">
              <w:rPr>
                <w:kern w:val="0"/>
                <w:szCs w:val="21"/>
              </w:rPr>
              <w:t>)</w:t>
            </w:r>
          </w:p>
        </w:tc>
      </w:tr>
      <w:tr w:rsidR="00D23E39" w:rsidRPr="00FD0D8E" w14:paraId="3B82EE78" w14:textId="77777777" w:rsidTr="006B1109">
        <w:tc>
          <w:tcPr>
            <w:tcW w:w="939" w:type="pct"/>
            <w:tcBorders>
              <w:top w:val="nil"/>
              <w:left w:val="nil"/>
              <w:bottom w:val="nil"/>
              <w:right w:val="nil"/>
            </w:tcBorders>
          </w:tcPr>
          <w:p w14:paraId="54ACDD54" w14:textId="77777777" w:rsidR="00D23E39" w:rsidRPr="00FD0D8E" w:rsidRDefault="00D23E39" w:rsidP="00C74EB6">
            <w:pPr>
              <w:autoSpaceDE w:val="0"/>
              <w:autoSpaceDN w:val="0"/>
              <w:adjustRightInd w:val="0"/>
              <w:rPr>
                <w:kern w:val="0"/>
                <w:szCs w:val="21"/>
              </w:rPr>
            </w:pPr>
            <w:r w:rsidRPr="00FD0D8E">
              <w:rPr>
                <w:kern w:val="0"/>
                <w:szCs w:val="21"/>
              </w:rPr>
              <w:t>ROA</w:t>
            </w:r>
          </w:p>
        </w:tc>
        <w:tc>
          <w:tcPr>
            <w:tcW w:w="973" w:type="pct"/>
            <w:tcBorders>
              <w:top w:val="nil"/>
              <w:left w:val="nil"/>
              <w:bottom w:val="nil"/>
              <w:right w:val="nil"/>
            </w:tcBorders>
          </w:tcPr>
          <w:p w14:paraId="06B3C7AB" w14:textId="77777777" w:rsidR="00D23E39" w:rsidRPr="00FD0D8E" w:rsidRDefault="00D23E39" w:rsidP="00C74EB6">
            <w:pPr>
              <w:autoSpaceDE w:val="0"/>
              <w:autoSpaceDN w:val="0"/>
              <w:adjustRightInd w:val="0"/>
              <w:jc w:val="center"/>
              <w:rPr>
                <w:kern w:val="0"/>
                <w:szCs w:val="21"/>
              </w:rPr>
            </w:pPr>
            <w:r w:rsidRPr="00FD0D8E">
              <w:rPr>
                <w:kern w:val="0"/>
                <w:szCs w:val="21"/>
              </w:rPr>
              <w:t>0.288</w:t>
            </w:r>
            <w:r w:rsidRPr="00FD0D8E">
              <w:rPr>
                <w:kern w:val="0"/>
                <w:szCs w:val="21"/>
                <w:vertAlign w:val="superscript"/>
              </w:rPr>
              <w:t>***</w:t>
            </w:r>
          </w:p>
        </w:tc>
        <w:tc>
          <w:tcPr>
            <w:tcW w:w="1030" w:type="pct"/>
            <w:tcBorders>
              <w:top w:val="nil"/>
              <w:left w:val="nil"/>
              <w:bottom w:val="nil"/>
              <w:right w:val="nil"/>
            </w:tcBorders>
          </w:tcPr>
          <w:p w14:paraId="39FFB108" w14:textId="77777777" w:rsidR="00D23E39" w:rsidRPr="00FD0D8E" w:rsidRDefault="00D23E39" w:rsidP="00C74EB6">
            <w:pPr>
              <w:autoSpaceDE w:val="0"/>
              <w:autoSpaceDN w:val="0"/>
              <w:adjustRightInd w:val="0"/>
              <w:jc w:val="center"/>
              <w:rPr>
                <w:kern w:val="0"/>
                <w:szCs w:val="21"/>
              </w:rPr>
            </w:pPr>
            <w:r w:rsidRPr="00FD0D8E">
              <w:rPr>
                <w:kern w:val="0"/>
                <w:szCs w:val="21"/>
              </w:rPr>
              <w:t>-</w:t>
            </w:r>
            <w:r w:rsidRPr="00FD0D8E">
              <w:rPr>
                <w:rFonts w:hint="eastAsia"/>
                <w:kern w:val="0"/>
                <w:szCs w:val="21"/>
              </w:rPr>
              <w:t>0.292</w:t>
            </w:r>
            <w:r w:rsidRPr="00FD0D8E">
              <w:rPr>
                <w:kern w:val="0"/>
                <w:szCs w:val="21"/>
                <w:vertAlign w:val="superscript"/>
              </w:rPr>
              <w:t>***</w:t>
            </w:r>
          </w:p>
        </w:tc>
        <w:tc>
          <w:tcPr>
            <w:tcW w:w="1030" w:type="pct"/>
            <w:tcBorders>
              <w:top w:val="nil"/>
              <w:left w:val="nil"/>
              <w:bottom w:val="nil"/>
              <w:right w:val="nil"/>
            </w:tcBorders>
          </w:tcPr>
          <w:p w14:paraId="21374571" w14:textId="39345B11" w:rsidR="00D23E39" w:rsidRPr="00FD0D8E" w:rsidRDefault="00D23E39" w:rsidP="00C74EB6">
            <w:pPr>
              <w:autoSpaceDE w:val="0"/>
              <w:autoSpaceDN w:val="0"/>
              <w:adjustRightInd w:val="0"/>
              <w:jc w:val="center"/>
              <w:rPr>
                <w:kern w:val="0"/>
                <w:szCs w:val="21"/>
              </w:rPr>
            </w:pPr>
            <w:r w:rsidRPr="00FD0D8E">
              <w:rPr>
                <w:kern w:val="0"/>
                <w:szCs w:val="21"/>
              </w:rPr>
              <w:t>2.919</w:t>
            </w:r>
            <w:r w:rsidRPr="00FD0D8E">
              <w:rPr>
                <w:kern w:val="0"/>
                <w:szCs w:val="21"/>
                <w:vertAlign w:val="superscript"/>
              </w:rPr>
              <w:t>***</w:t>
            </w:r>
          </w:p>
        </w:tc>
        <w:tc>
          <w:tcPr>
            <w:tcW w:w="1028" w:type="pct"/>
            <w:tcBorders>
              <w:top w:val="nil"/>
              <w:left w:val="nil"/>
              <w:bottom w:val="nil"/>
              <w:right w:val="nil"/>
            </w:tcBorders>
          </w:tcPr>
          <w:p w14:paraId="606FC91B" w14:textId="035AC15F" w:rsidR="00D23E39" w:rsidRPr="00FD0D8E" w:rsidRDefault="00D23E39" w:rsidP="00C74EB6">
            <w:pPr>
              <w:autoSpaceDE w:val="0"/>
              <w:autoSpaceDN w:val="0"/>
              <w:adjustRightInd w:val="0"/>
              <w:jc w:val="center"/>
              <w:rPr>
                <w:kern w:val="0"/>
                <w:szCs w:val="21"/>
              </w:rPr>
            </w:pPr>
            <w:r w:rsidRPr="00FD0D8E">
              <w:rPr>
                <w:kern w:val="0"/>
                <w:szCs w:val="21"/>
              </w:rPr>
              <w:t>-</w:t>
            </w:r>
            <w:r w:rsidR="00AC4838" w:rsidRPr="00FD0D8E">
              <w:rPr>
                <w:rFonts w:hint="eastAsia"/>
                <w:kern w:val="0"/>
                <w:szCs w:val="21"/>
              </w:rPr>
              <w:t>0.312</w:t>
            </w:r>
            <w:r w:rsidRPr="00FD0D8E">
              <w:rPr>
                <w:kern w:val="0"/>
                <w:szCs w:val="21"/>
                <w:vertAlign w:val="superscript"/>
              </w:rPr>
              <w:t>***</w:t>
            </w:r>
          </w:p>
        </w:tc>
      </w:tr>
      <w:tr w:rsidR="00D23E39" w:rsidRPr="00FD0D8E" w14:paraId="7DE9845F" w14:textId="77777777" w:rsidTr="006B1109">
        <w:tc>
          <w:tcPr>
            <w:tcW w:w="939" w:type="pct"/>
            <w:tcBorders>
              <w:top w:val="nil"/>
              <w:left w:val="nil"/>
              <w:bottom w:val="nil"/>
              <w:right w:val="nil"/>
            </w:tcBorders>
          </w:tcPr>
          <w:p w14:paraId="29034D62"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7EBC6FA1" w14:textId="77777777" w:rsidR="00D23E39" w:rsidRPr="00FD0D8E" w:rsidRDefault="00D23E39" w:rsidP="00C74EB6">
            <w:pPr>
              <w:autoSpaceDE w:val="0"/>
              <w:autoSpaceDN w:val="0"/>
              <w:adjustRightInd w:val="0"/>
              <w:jc w:val="center"/>
              <w:rPr>
                <w:kern w:val="0"/>
                <w:szCs w:val="21"/>
              </w:rPr>
            </w:pPr>
            <w:r w:rsidRPr="00FD0D8E">
              <w:rPr>
                <w:kern w:val="0"/>
                <w:szCs w:val="21"/>
              </w:rPr>
              <w:t>(0.039)</w:t>
            </w:r>
          </w:p>
        </w:tc>
        <w:tc>
          <w:tcPr>
            <w:tcW w:w="1030" w:type="pct"/>
            <w:tcBorders>
              <w:top w:val="nil"/>
              <w:left w:val="nil"/>
              <w:bottom w:val="nil"/>
              <w:right w:val="nil"/>
            </w:tcBorders>
          </w:tcPr>
          <w:p w14:paraId="1E137B30"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037</w:t>
            </w:r>
            <w:r w:rsidRPr="00FD0D8E">
              <w:rPr>
                <w:kern w:val="0"/>
                <w:szCs w:val="21"/>
              </w:rPr>
              <w:t>)</w:t>
            </w:r>
          </w:p>
        </w:tc>
        <w:tc>
          <w:tcPr>
            <w:tcW w:w="1030" w:type="pct"/>
            <w:tcBorders>
              <w:top w:val="nil"/>
              <w:left w:val="nil"/>
              <w:bottom w:val="nil"/>
              <w:right w:val="nil"/>
            </w:tcBorders>
          </w:tcPr>
          <w:p w14:paraId="6C69921D" w14:textId="2D144325" w:rsidR="00D23E39" w:rsidRPr="00FD0D8E" w:rsidRDefault="00D23E39" w:rsidP="00C74EB6">
            <w:pPr>
              <w:autoSpaceDE w:val="0"/>
              <w:autoSpaceDN w:val="0"/>
              <w:adjustRightInd w:val="0"/>
              <w:jc w:val="center"/>
              <w:rPr>
                <w:kern w:val="0"/>
                <w:szCs w:val="21"/>
              </w:rPr>
            </w:pPr>
            <w:r w:rsidRPr="00FD0D8E">
              <w:rPr>
                <w:kern w:val="0"/>
                <w:szCs w:val="21"/>
              </w:rPr>
              <w:t>(0.387)</w:t>
            </w:r>
          </w:p>
        </w:tc>
        <w:tc>
          <w:tcPr>
            <w:tcW w:w="1028" w:type="pct"/>
            <w:tcBorders>
              <w:top w:val="nil"/>
              <w:left w:val="nil"/>
              <w:bottom w:val="nil"/>
              <w:right w:val="nil"/>
            </w:tcBorders>
          </w:tcPr>
          <w:p w14:paraId="29174CC9" w14:textId="1D44756A"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036</w:t>
            </w:r>
            <w:r w:rsidRPr="00FD0D8E">
              <w:rPr>
                <w:kern w:val="0"/>
                <w:szCs w:val="21"/>
              </w:rPr>
              <w:t>)</w:t>
            </w:r>
          </w:p>
        </w:tc>
      </w:tr>
      <w:tr w:rsidR="00D23E39" w:rsidRPr="00FD0D8E" w14:paraId="6CBEDAEB" w14:textId="77777777" w:rsidTr="006B1109">
        <w:tc>
          <w:tcPr>
            <w:tcW w:w="939" w:type="pct"/>
            <w:tcBorders>
              <w:top w:val="nil"/>
              <w:left w:val="nil"/>
              <w:bottom w:val="nil"/>
              <w:right w:val="nil"/>
            </w:tcBorders>
          </w:tcPr>
          <w:p w14:paraId="02882A0D" w14:textId="77777777" w:rsidR="00D23E39" w:rsidRPr="00FD0D8E" w:rsidRDefault="00D23E39" w:rsidP="00C74EB6">
            <w:pPr>
              <w:autoSpaceDE w:val="0"/>
              <w:autoSpaceDN w:val="0"/>
              <w:adjustRightInd w:val="0"/>
              <w:rPr>
                <w:kern w:val="0"/>
                <w:szCs w:val="21"/>
              </w:rPr>
            </w:pPr>
            <w:r w:rsidRPr="00FD0D8E">
              <w:rPr>
                <w:kern w:val="0"/>
                <w:szCs w:val="21"/>
              </w:rPr>
              <w:t>Penalty</w:t>
            </w:r>
          </w:p>
        </w:tc>
        <w:tc>
          <w:tcPr>
            <w:tcW w:w="973" w:type="pct"/>
            <w:tcBorders>
              <w:top w:val="nil"/>
              <w:left w:val="nil"/>
              <w:bottom w:val="nil"/>
              <w:right w:val="nil"/>
            </w:tcBorders>
          </w:tcPr>
          <w:p w14:paraId="3CC1D9D0" w14:textId="77777777" w:rsidR="00D23E39" w:rsidRPr="00FD0D8E" w:rsidRDefault="00D23E39" w:rsidP="00C74EB6">
            <w:pPr>
              <w:autoSpaceDE w:val="0"/>
              <w:autoSpaceDN w:val="0"/>
              <w:adjustRightInd w:val="0"/>
              <w:jc w:val="center"/>
              <w:rPr>
                <w:kern w:val="0"/>
                <w:szCs w:val="21"/>
              </w:rPr>
            </w:pPr>
            <w:r w:rsidRPr="00FD0D8E">
              <w:rPr>
                <w:kern w:val="0"/>
                <w:szCs w:val="21"/>
              </w:rPr>
              <w:t>-0.001</w:t>
            </w:r>
          </w:p>
        </w:tc>
        <w:tc>
          <w:tcPr>
            <w:tcW w:w="1030" w:type="pct"/>
            <w:tcBorders>
              <w:top w:val="nil"/>
              <w:left w:val="nil"/>
              <w:bottom w:val="nil"/>
              <w:right w:val="nil"/>
            </w:tcBorders>
          </w:tcPr>
          <w:p w14:paraId="73CDD707"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04</w:t>
            </w:r>
          </w:p>
        </w:tc>
        <w:tc>
          <w:tcPr>
            <w:tcW w:w="1030" w:type="pct"/>
            <w:tcBorders>
              <w:top w:val="nil"/>
              <w:left w:val="nil"/>
              <w:bottom w:val="nil"/>
              <w:right w:val="nil"/>
            </w:tcBorders>
          </w:tcPr>
          <w:p w14:paraId="3ABF2FEA" w14:textId="03C4E097" w:rsidR="00D23E39" w:rsidRPr="00FD0D8E" w:rsidRDefault="00D23E39" w:rsidP="00C74EB6">
            <w:pPr>
              <w:autoSpaceDE w:val="0"/>
              <w:autoSpaceDN w:val="0"/>
              <w:adjustRightInd w:val="0"/>
              <w:jc w:val="center"/>
              <w:rPr>
                <w:kern w:val="0"/>
                <w:szCs w:val="21"/>
              </w:rPr>
            </w:pPr>
            <w:r w:rsidRPr="00FD0D8E">
              <w:rPr>
                <w:kern w:val="0"/>
                <w:szCs w:val="21"/>
              </w:rPr>
              <w:t>0.001</w:t>
            </w:r>
          </w:p>
        </w:tc>
        <w:tc>
          <w:tcPr>
            <w:tcW w:w="1028" w:type="pct"/>
            <w:tcBorders>
              <w:top w:val="nil"/>
              <w:left w:val="nil"/>
              <w:bottom w:val="nil"/>
              <w:right w:val="nil"/>
            </w:tcBorders>
          </w:tcPr>
          <w:p w14:paraId="539DEDF6" w14:textId="40912558"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04</w:t>
            </w:r>
          </w:p>
        </w:tc>
      </w:tr>
      <w:tr w:rsidR="00D23E39" w:rsidRPr="00FD0D8E" w14:paraId="05ADEB16" w14:textId="77777777" w:rsidTr="006B1109">
        <w:tc>
          <w:tcPr>
            <w:tcW w:w="939" w:type="pct"/>
            <w:tcBorders>
              <w:top w:val="nil"/>
              <w:left w:val="nil"/>
              <w:bottom w:val="nil"/>
              <w:right w:val="nil"/>
            </w:tcBorders>
          </w:tcPr>
          <w:p w14:paraId="70E1606E"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113D4DEE" w14:textId="77777777" w:rsidR="00D23E39" w:rsidRPr="00FD0D8E" w:rsidRDefault="00D23E39" w:rsidP="00C74EB6">
            <w:pPr>
              <w:autoSpaceDE w:val="0"/>
              <w:autoSpaceDN w:val="0"/>
              <w:adjustRightInd w:val="0"/>
              <w:jc w:val="center"/>
              <w:rPr>
                <w:kern w:val="0"/>
                <w:szCs w:val="21"/>
              </w:rPr>
            </w:pPr>
            <w:r w:rsidRPr="00FD0D8E">
              <w:rPr>
                <w:kern w:val="0"/>
                <w:szCs w:val="21"/>
              </w:rPr>
              <w:t>(0.002)</w:t>
            </w:r>
          </w:p>
        </w:tc>
        <w:tc>
          <w:tcPr>
            <w:tcW w:w="1030" w:type="pct"/>
            <w:tcBorders>
              <w:top w:val="nil"/>
              <w:left w:val="nil"/>
              <w:bottom w:val="nil"/>
              <w:right w:val="nil"/>
            </w:tcBorders>
          </w:tcPr>
          <w:p w14:paraId="77E36193"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07</w:t>
            </w:r>
            <w:r w:rsidRPr="00FD0D8E">
              <w:rPr>
                <w:kern w:val="0"/>
                <w:szCs w:val="21"/>
              </w:rPr>
              <w:t>)</w:t>
            </w:r>
          </w:p>
        </w:tc>
        <w:tc>
          <w:tcPr>
            <w:tcW w:w="1030" w:type="pct"/>
            <w:tcBorders>
              <w:top w:val="nil"/>
              <w:left w:val="nil"/>
              <w:bottom w:val="nil"/>
              <w:right w:val="nil"/>
            </w:tcBorders>
          </w:tcPr>
          <w:p w14:paraId="6923347E" w14:textId="2438741B" w:rsidR="00D23E39" w:rsidRPr="00FD0D8E" w:rsidRDefault="00D23E39" w:rsidP="00C74EB6">
            <w:pPr>
              <w:autoSpaceDE w:val="0"/>
              <w:autoSpaceDN w:val="0"/>
              <w:adjustRightInd w:val="0"/>
              <w:jc w:val="center"/>
              <w:rPr>
                <w:kern w:val="0"/>
                <w:szCs w:val="21"/>
              </w:rPr>
            </w:pPr>
            <w:r w:rsidRPr="00FD0D8E">
              <w:rPr>
                <w:kern w:val="0"/>
                <w:szCs w:val="21"/>
              </w:rPr>
              <w:t>(0.019)</w:t>
            </w:r>
          </w:p>
        </w:tc>
        <w:tc>
          <w:tcPr>
            <w:tcW w:w="1028" w:type="pct"/>
            <w:tcBorders>
              <w:top w:val="nil"/>
              <w:left w:val="nil"/>
              <w:bottom w:val="nil"/>
              <w:right w:val="nil"/>
            </w:tcBorders>
          </w:tcPr>
          <w:p w14:paraId="06A1BBCA" w14:textId="21633245"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07</w:t>
            </w:r>
            <w:r w:rsidRPr="00FD0D8E">
              <w:rPr>
                <w:kern w:val="0"/>
                <w:szCs w:val="21"/>
              </w:rPr>
              <w:t>)</w:t>
            </w:r>
          </w:p>
        </w:tc>
      </w:tr>
      <w:tr w:rsidR="00D23E39" w:rsidRPr="00FD0D8E" w14:paraId="66401D43" w14:textId="77777777" w:rsidTr="006B1109">
        <w:tc>
          <w:tcPr>
            <w:tcW w:w="939" w:type="pct"/>
            <w:tcBorders>
              <w:top w:val="nil"/>
              <w:left w:val="nil"/>
              <w:bottom w:val="nil"/>
              <w:right w:val="nil"/>
            </w:tcBorders>
          </w:tcPr>
          <w:p w14:paraId="7C204F08" w14:textId="77777777" w:rsidR="00D23E39" w:rsidRPr="00FD0D8E" w:rsidRDefault="00D23E39" w:rsidP="00C74EB6">
            <w:pPr>
              <w:autoSpaceDE w:val="0"/>
              <w:autoSpaceDN w:val="0"/>
              <w:adjustRightInd w:val="0"/>
              <w:rPr>
                <w:kern w:val="0"/>
                <w:szCs w:val="21"/>
              </w:rPr>
            </w:pPr>
            <w:proofErr w:type="spellStart"/>
            <w:r w:rsidRPr="00FD0D8E">
              <w:rPr>
                <w:kern w:val="0"/>
                <w:szCs w:val="21"/>
              </w:rPr>
              <w:t>IndepR</w:t>
            </w:r>
            <w:proofErr w:type="spellEnd"/>
          </w:p>
        </w:tc>
        <w:tc>
          <w:tcPr>
            <w:tcW w:w="973" w:type="pct"/>
            <w:tcBorders>
              <w:top w:val="nil"/>
              <w:left w:val="nil"/>
              <w:bottom w:val="nil"/>
              <w:right w:val="nil"/>
            </w:tcBorders>
          </w:tcPr>
          <w:p w14:paraId="7E84CDE7" w14:textId="77777777" w:rsidR="00D23E39" w:rsidRPr="00FD0D8E" w:rsidRDefault="00D23E39" w:rsidP="00C74EB6">
            <w:pPr>
              <w:autoSpaceDE w:val="0"/>
              <w:autoSpaceDN w:val="0"/>
              <w:adjustRightInd w:val="0"/>
              <w:jc w:val="center"/>
              <w:rPr>
                <w:kern w:val="0"/>
                <w:szCs w:val="21"/>
              </w:rPr>
            </w:pPr>
            <w:r w:rsidRPr="00FD0D8E">
              <w:rPr>
                <w:kern w:val="0"/>
                <w:szCs w:val="21"/>
              </w:rPr>
              <w:t>0.066</w:t>
            </w:r>
            <w:r w:rsidRPr="00FD0D8E">
              <w:rPr>
                <w:kern w:val="0"/>
                <w:szCs w:val="21"/>
                <w:vertAlign w:val="superscript"/>
              </w:rPr>
              <w:t>***</w:t>
            </w:r>
          </w:p>
        </w:tc>
        <w:tc>
          <w:tcPr>
            <w:tcW w:w="1030" w:type="pct"/>
            <w:tcBorders>
              <w:top w:val="nil"/>
              <w:left w:val="nil"/>
              <w:bottom w:val="nil"/>
              <w:right w:val="nil"/>
            </w:tcBorders>
          </w:tcPr>
          <w:p w14:paraId="47DC1B9E"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045</w:t>
            </w:r>
            <w:r w:rsidRPr="00FD0D8E">
              <w:rPr>
                <w:kern w:val="0"/>
                <w:szCs w:val="21"/>
                <w:vertAlign w:val="superscript"/>
              </w:rPr>
              <w:t>*</w:t>
            </w:r>
          </w:p>
        </w:tc>
        <w:tc>
          <w:tcPr>
            <w:tcW w:w="1030" w:type="pct"/>
            <w:tcBorders>
              <w:top w:val="nil"/>
              <w:left w:val="nil"/>
              <w:bottom w:val="nil"/>
              <w:right w:val="nil"/>
            </w:tcBorders>
          </w:tcPr>
          <w:p w14:paraId="621C4A3F" w14:textId="181666D4" w:rsidR="00D23E39" w:rsidRPr="00FD0D8E" w:rsidRDefault="00D23E39" w:rsidP="00C74EB6">
            <w:pPr>
              <w:autoSpaceDE w:val="0"/>
              <w:autoSpaceDN w:val="0"/>
              <w:adjustRightInd w:val="0"/>
              <w:jc w:val="center"/>
              <w:rPr>
                <w:kern w:val="0"/>
                <w:szCs w:val="21"/>
              </w:rPr>
            </w:pPr>
            <w:r w:rsidRPr="00FD0D8E">
              <w:rPr>
                <w:kern w:val="0"/>
                <w:szCs w:val="21"/>
              </w:rPr>
              <w:t>0.667</w:t>
            </w:r>
            <w:r w:rsidRPr="00FD0D8E">
              <w:rPr>
                <w:kern w:val="0"/>
                <w:szCs w:val="21"/>
                <w:vertAlign w:val="superscript"/>
              </w:rPr>
              <w:t>***</w:t>
            </w:r>
          </w:p>
        </w:tc>
        <w:tc>
          <w:tcPr>
            <w:tcW w:w="1028" w:type="pct"/>
            <w:tcBorders>
              <w:top w:val="nil"/>
              <w:left w:val="nil"/>
              <w:bottom w:val="nil"/>
              <w:right w:val="nil"/>
            </w:tcBorders>
          </w:tcPr>
          <w:p w14:paraId="72594885" w14:textId="70FB1345"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047</w:t>
            </w:r>
            <w:r w:rsidRPr="00FD0D8E">
              <w:rPr>
                <w:kern w:val="0"/>
                <w:szCs w:val="21"/>
                <w:vertAlign w:val="superscript"/>
              </w:rPr>
              <w:t>**</w:t>
            </w:r>
          </w:p>
        </w:tc>
      </w:tr>
      <w:tr w:rsidR="00D23E39" w:rsidRPr="00FD0D8E" w14:paraId="772C1C0A" w14:textId="77777777" w:rsidTr="006B1109">
        <w:tc>
          <w:tcPr>
            <w:tcW w:w="939" w:type="pct"/>
            <w:tcBorders>
              <w:top w:val="nil"/>
              <w:left w:val="nil"/>
              <w:bottom w:val="nil"/>
              <w:right w:val="nil"/>
            </w:tcBorders>
          </w:tcPr>
          <w:p w14:paraId="44AF726D"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19C58655" w14:textId="77777777" w:rsidR="00D23E39" w:rsidRPr="00FD0D8E" w:rsidRDefault="00D23E39" w:rsidP="00C74EB6">
            <w:pPr>
              <w:autoSpaceDE w:val="0"/>
              <w:autoSpaceDN w:val="0"/>
              <w:adjustRightInd w:val="0"/>
              <w:jc w:val="center"/>
              <w:rPr>
                <w:kern w:val="0"/>
                <w:szCs w:val="21"/>
              </w:rPr>
            </w:pPr>
            <w:r w:rsidRPr="00FD0D8E">
              <w:rPr>
                <w:kern w:val="0"/>
                <w:szCs w:val="21"/>
              </w:rPr>
              <w:t>(0.011)</w:t>
            </w:r>
          </w:p>
        </w:tc>
        <w:tc>
          <w:tcPr>
            <w:tcW w:w="1030" w:type="pct"/>
            <w:tcBorders>
              <w:top w:val="nil"/>
              <w:left w:val="nil"/>
              <w:bottom w:val="nil"/>
              <w:right w:val="nil"/>
            </w:tcBorders>
          </w:tcPr>
          <w:p w14:paraId="49BF3056"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023</w:t>
            </w:r>
            <w:r w:rsidRPr="00FD0D8E">
              <w:rPr>
                <w:kern w:val="0"/>
                <w:szCs w:val="21"/>
              </w:rPr>
              <w:t>)</w:t>
            </w:r>
          </w:p>
        </w:tc>
        <w:tc>
          <w:tcPr>
            <w:tcW w:w="1030" w:type="pct"/>
            <w:tcBorders>
              <w:top w:val="nil"/>
              <w:left w:val="nil"/>
              <w:bottom w:val="nil"/>
              <w:right w:val="nil"/>
            </w:tcBorders>
          </w:tcPr>
          <w:p w14:paraId="46AE3BB1" w14:textId="253430D2" w:rsidR="00D23E39" w:rsidRPr="00FD0D8E" w:rsidRDefault="00D23E39" w:rsidP="00C74EB6">
            <w:pPr>
              <w:autoSpaceDE w:val="0"/>
              <w:autoSpaceDN w:val="0"/>
              <w:adjustRightInd w:val="0"/>
              <w:jc w:val="center"/>
              <w:rPr>
                <w:kern w:val="0"/>
                <w:szCs w:val="21"/>
              </w:rPr>
            </w:pPr>
            <w:r w:rsidRPr="00FD0D8E">
              <w:rPr>
                <w:kern w:val="0"/>
                <w:szCs w:val="21"/>
              </w:rPr>
              <w:t>(0.118)</w:t>
            </w:r>
          </w:p>
        </w:tc>
        <w:tc>
          <w:tcPr>
            <w:tcW w:w="1028" w:type="pct"/>
            <w:tcBorders>
              <w:top w:val="nil"/>
              <w:left w:val="nil"/>
              <w:bottom w:val="nil"/>
              <w:right w:val="nil"/>
            </w:tcBorders>
          </w:tcPr>
          <w:p w14:paraId="2534D716" w14:textId="0E37DD66"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023</w:t>
            </w:r>
            <w:r w:rsidRPr="00FD0D8E">
              <w:rPr>
                <w:kern w:val="0"/>
                <w:szCs w:val="21"/>
              </w:rPr>
              <w:t>)</w:t>
            </w:r>
          </w:p>
        </w:tc>
      </w:tr>
      <w:tr w:rsidR="00D23E39" w:rsidRPr="00FD0D8E" w14:paraId="279C08DB" w14:textId="77777777" w:rsidTr="006B1109">
        <w:tc>
          <w:tcPr>
            <w:tcW w:w="939" w:type="pct"/>
            <w:tcBorders>
              <w:top w:val="nil"/>
              <w:left w:val="nil"/>
              <w:bottom w:val="nil"/>
              <w:right w:val="nil"/>
            </w:tcBorders>
          </w:tcPr>
          <w:p w14:paraId="723C9C8C" w14:textId="77777777" w:rsidR="00D23E39" w:rsidRPr="00FD0D8E" w:rsidRDefault="00D23E39" w:rsidP="00C74EB6">
            <w:pPr>
              <w:autoSpaceDE w:val="0"/>
              <w:autoSpaceDN w:val="0"/>
              <w:adjustRightInd w:val="0"/>
              <w:rPr>
                <w:kern w:val="0"/>
                <w:szCs w:val="21"/>
              </w:rPr>
            </w:pPr>
            <w:proofErr w:type="spellStart"/>
            <w:r w:rsidRPr="00FD0D8E">
              <w:rPr>
                <w:kern w:val="0"/>
                <w:szCs w:val="21"/>
              </w:rPr>
              <w:t>DSize</w:t>
            </w:r>
            <w:proofErr w:type="spellEnd"/>
          </w:p>
        </w:tc>
        <w:tc>
          <w:tcPr>
            <w:tcW w:w="973" w:type="pct"/>
            <w:tcBorders>
              <w:top w:val="nil"/>
              <w:left w:val="nil"/>
              <w:bottom w:val="nil"/>
              <w:right w:val="nil"/>
            </w:tcBorders>
          </w:tcPr>
          <w:p w14:paraId="1A4E9CE0" w14:textId="77777777" w:rsidR="00D23E39" w:rsidRPr="00FD0D8E" w:rsidRDefault="00D23E39"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030" w:type="pct"/>
            <w:tcBorders>
              <w:top w:val="nil"/>
              <w:left w:val="nil"/>
              <w:bottom w:val="nil"/>
              <w:right w:val="nil"/>
            </w:tcBorders>
          </w:tcPr>
          <w:p w14:paraId="54E4F426" w14:textId="77777777" w:rsidR="00D23E39" w:rsidRPr="00FD0D8E" w:rsidRDefault="00D23E39" w:rsidP="00C74EB6">
            <w:pPr>
              <w:autoSpaceDE w:val="0"/>
              <w:autoSpaceDN w:val="0"/>
              <w:adjustRightInd w:val="0"/>
              <w:jc w:val="center"/>
              <w:rPr>
                <w:kern w:val="0"/>
                <w:szCs w:val="21"/>
              </w:rPr>
            </w:pPr>
            <w:r w:rsidRPr="00FD0D8E">
              <w:rPr>
                <w:kern w:val="0"/>
                <w:szCs w:val="21"/>
              </w:rPr>
              <w:t>-0.00</w:t>
            </w:r>
            <w:r w:rsidRPr="00FD0D8E">
              <w:rPr>
                <w:rFonts w:hint="eastAsia"/>
                <w:kern w:val="0"/>
                <w:szCs w:val="21"/>
              </w:rPr>
              <w:t>1</w:t>
            </w:r>
          </w:p>
        </w:tc>
        <w:tc>
          <w:tcPr>
            <w:tcW w:w="1030" w:type="pct"/>
            <w:tcBorders>
              <w:top w:val="nil"/>
              <w:left w:val="nil"/>
              <w:bottom w:val="nil"/>
              <w:right w:val="nil"/>
            </w:tcBorders>
          </w:tcPr>
          <w:p w14:paraId="6E77272D" w14:textId="1971184E" w:rsidR="00D23E39" w:rsidRPr="00FD0D8E" w:rsidRDefault="00D23E39"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c>
          <w:tcPr>
            <w:tcW w:w="1028" w:type="pct"/>
            <w:tcBorders>
              <w:top w:val="nil"/>
              <w:left w:val="nil"/>
              <w:bottom w:val="nil"/>
              <w:right w:val="nil"/>
            </w:tcBorders>
          </w:tcPr>
          <w:p w14:paraId="6C26CD3A" w14:textId="284E72B2" w:rsidR="00D23E39" w:rsidRPr="00FD0D8E" w:rsidRDefault="00D23E39" w:rsidP="00C74EB6">
            <w:pPr>
              <w:autoSpaceDE w:val="0"/>
              <w:autoSpaceDN w:val="0"/>
              <w:adjustRightInd w:val="0"/>
              <w:jc w:val="center"/>
              <w:rPr>
                <w:kern w:val="0"/>
                <w:szCs w:val="21"/>
              </w:rPr>
            </w:pPr>
            <w:r w:rsidRPr="00FD0D8E">
              <w:rPr>
                <w:kern w:val="0"/>
                <w:szCs w:val="21"/>
              </w:rPr>
              <w:t>-0.00</w:t>
            </w:r>
            <w:r w:rsidR="00AC4838" w:rsidRPr="00FD0D8E">
              <w:rPr>
                <w:rFonts w:hint="eastAsia"/>
                <w:kern w:val="0"/>
                <w:szCs w:val="21"/>
              </w:rPr>
              <w:t>1</w:t>
            </w:r>
          </w:p>
        </w:tc>
      </w:tr>
      <w:tr w:rsidR="00D23E39" w:rsidRPr="00FD0D8E" w14:paraId="050F46D8" w14:textId="77777777" w:rsidTr="006B1109">
        <w:tc>
          <w:tcPr>
            <w:tcW w:w="939" w:type="pct"/>
            <w:tcBorders>
              <w:top w:val="nil"/>
              <w:left w:val="nil"/>
              <w:bottom w:val="nil"/>
              <w:right w:val="nil"/>
            </w:tcBorders>
          </w:tcPr>
          <w:p w14:paraId="280C8ADC"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0437D079" w14:textId="77777777" w:rsidR="00D23E39" w:rsidRPr="00FD0D8E" w:rsidRDefault="00D23E39" w:rsidP="00C74EB6">
            <w:pPr>
              <w:autoSpaceDE w:val="0"/>
              <w:autoSpaceDN w:val="0"/>
              <w:adjustRightInd w:val="0"/>
              <w:jc w:val="center"/>
              <w:rPr>
                <w:kern w:val="0"/>
                <w:szCs w:val="21"/>
              </w:rPr>
            </w:pPr>
            <w:r w:rsidRPr="00FD0D8E">
              <w:rPr>
                <w:kern w:val="0"/>
                <w:szCs w:val="21"/>
              </w:rPr>
              <w:t>(0.000)</w:t>
            </w:r>
          </w:p>
        </w:tc>
        <w:tc>
          <w:tcPr>
            <w:tcW w:w="1030" w:type="pct"/>
            <w:tcBorders>
              <w:top w:val="nil"/>
              <w:left w:val="nil"/>
              <w:bottom w:val="nil"/>
              <w:right w:val="nil"/>
            </w:tcBorders>
          </w:tcPr>
          <w:p w14:paraId="6C456E6C"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01</w:t>
            </w:r>
            <w:r w:rsidRPr="00FD0D8E">
              <w:rPr>
                <w:kern w:val="0"/>
                <w:szCs w:val="21"/>
              </w:rPr>
              <w:t>)</w:t>
            </w:r>
          </w:p>
        </w:tc>
        <w:tc>
          <w:tcPr>
            <w:tcW w:w="1030" w:type="pct"/>
            <w:tcBorders>
              <w:top w:val="nil"/>
              <w:left w:val="nil"/>
              <w:bottom w:val="nil"/>
              <w:right w:val="nil"/>
            </w:tcBorders>
          </w:tcPr>
          <w:p w14:paraId="3EAA157A" w14:textId="72EA4479" w:rsidR="00D23E39" w:rsidRPr="00FD0D8E" w:rsidRDefault="00D23E39" w:rsidP="00C74EB6">
            <w:pPr>
              <w:autoSpaceDE w:val="0"/>
              <w:autoSpaceDN w:val="0"/>
              <w:adjustRightInd w:val="0"/>
              <w:jc w:val="center"/>
              <w:rPr>
                <w:kern w:val="0"/>
                <w:szCs w:val="21"/>
              </w:rPr>
            </w:pPr>
            <w:r w:rsidRPr="00FD0D8E">
              <w:rPr>
                <w:kern w:val="0"/>
                <w:szCs w:val="21"/>
              </w:rPr>
              <w:t>(0.002)</w:t>
            </w:r>
          </w:p>
        </w:tc>
        <w:tc>
          <w:tcPr>
            <w:tcW w:w="1028" w:type="pct"/>
            <w:tcBorders>
              <w:top w:val="nil"/>
              <w:left w:val="nil"/>
              <w:bottom w:val="nil"/>
              <w:right w:val="nil"/>
            </w:tcBorders>
          </w:tcPr>
          <w:p w14:paraId="1E06C70F" w14:textId="6800F555" w:rsidR="00D23E39" w:rsidRPr="00FD0D8E" w:rsidRDefault="00D23E39" w:rsidP="00C74EB6">
            <w:pPr>
              <w:autoSpaceDE w:val="0"/>
              <w:autoSpaceDN w:val="0"/>
              <w:adjustRightInd w:val="0"/>
              <w:jc w:val="center"/>
              <w:rPr>
                <w:kern w:val="0"/>
                <w:szCs w:val="21"/>
              </w:rPr>
            </w:pPr>
            <w:r w:rsidRPr="00FD0D8E">
              <w:rPr>
                <w:kern w:val="0"/>
                <w:szCs w:val="21"/>
              </w:rPr>
              <w:t>(0.00</w:t>
            </w:r>
            <w:r w:rsidR="00AC4838" w:rsidRPr="00FD0D8E">
              <w:rPr>
                <w:rFonts w:hint="eastAsia"/>
                <w:kern w:val="0"/>
                <w:szCs w:val="21"/>
              </w:rPr>
              <w:t>1</w:t>
            </w:r>
            <w:r w:rsidRPr="00FD0D8E">
              <w:rPr>
                <w:kern w:val="0"/>
                <w:szCs w:val="21"/>
              </w:rPr>
              <w:t>)</w:t>
            </w:r>
          </w:p>
        </w:tc>
      </w:tr>
      <w:tr w:rsidR="00D23E39" w:rsidRPr="00FD0D8E" w14:paraId="4B66F6C5" w14:textId="77777777" w:rsidTr="006B1109">
        <w:tc>
          <w:tcPr>
            <w:tcW w:w="939" w:type="pct"/>
            <w:tcBorders>
              <w:top w:val="nil"/>
              <w:left w:val="nil"/>
              <w:bottom w:val="nil"/>
              <w:right w:val="nil"/>
            </w:tcBorders>
          </w:tcPr>
          <w:p w14:paraId="361D8F61" w14:textId="77777777" w:rsidR="00D23E39" w:rsidRPr="00FD0D8E" w:rsidRDefault="00D23E39" w:rsidP="00C74EB6">
            <w:pPr>
              <w:autoSpaceDE w:val="0"/>
              <w:autoSpaceDN w:val="0"/>
              <w:adjustRightInd w:val="0"/>
              <w:rPr>
                <w:kern w:val="0"/>
                <w:szCs w:val="21"/>
              </w:rPr>
            </w:pPr>
            <w:r w:rsidRPr="00FD0D8E">
              <w:rPr>
                <w:kern w:val="0"/>
                <w:szCs w:val="21"/>
              </w:rPr>
              <w:t>Duality</w:t>
            </w:r>
          </w:p>
        </w:tc>
        <w:tc>
          <w:tcPr>
            <w:tcW w:w="973" w:type="pct"/>
            <w:tcBorders>
              <w:top w:val="nil"/>
              <w:left w:val="nil"/>
              <w:bottom w:val="nil"/>
              <w:right w:val="nil"/>
            </w:tcBorders>
          </w:tcPr>
          <w:p w14:paraId="27125DF2" w14:textId="77777777" w:rsidR="00D23E39" w:rsidRPr="00FD0D8E" w:rsidRDefault="00D23E39"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030" w:type="pct"/>
            <w:tcBorders>
              <w:top w:val="nil"/>
              <w:left w:val="nil"/>
              <w:bottom w:val="nil"/>
              <w:right w:val="nil"/>
            </w:tcBorders>
          </w:tcPr>
          <w:p w14:paraId="06AAE15D"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016</w:t>
            </w:r>
            <w:r w:rsidRPr="00FD0D8E">
              <w:rPr>
                <w:kern w:val="0"/>
                <w:szCs w:val="21"/>
                <w:vertAlign w:val="superscript"/>
              </w:rPr>
              <w:t>***</w:t>
            </w:r>
          </w:p>
        </w:tc>
        <w:tc>
          <w:tcPr>
            <w:tcW w:w="1030" w:type="pct"/>
            <w:tcBorders>
              <w:top w:val="nil"/>
              <w:left w:val="nil"/>
              <w:bottom w:val="nil"/>
              <w:right w:val="nil"/>
            </w:tcBorders>
          </w:tcPr>
          <w:p w14:paraId="64945518" w14:textId="7BF112E6" w:rsidR="00D23E39" w:rsidRPr="00FD0D8E" w:rsidRDefault="00D23E39"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c>
          <w:tcPr>
            <w:tcW w:w="1028" w:type="pct"/>
            <w:tcBorders>
              <w:top w:val="nil"/>
              <w:left w:val="nil"/>
              <w:bottom w:val="nil"/>
              <w:right w:val="nil"/>
            </w:tcBorders>
          </w:tcPr>
          <w:p w14:paraId="29916F48" w14:textId="61D6DA38"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015</w:t>
            </w:r>
            <w:r w:rsidRPr="00FD0D8E">
              <w:rPr>
                <w:kern w:val="0"/>
                <w:szCs w:val="21"/>
                <w:vertAlign w:val="superscript"/>
              </w:rPr>
              <w:t>***</w:t>
            </w:r>
          </w:p>
        </w:tc>
      </w:tr>
      <w:tr w:rsidR="00D23E39" w:rsidRPr="00FD0D8E" w14:paraId="46CD16AF" w14:textId="77777777" w:rsidTr="006B1109">
        <w:tc>
          <w:tcPr>
            <w:tcW w:w="939" w:type="pct"/>
            <w:tcBorders>
              <w:top w:val="nil"/>
              <w:left w:val="nil"/>
              <w:bottom w:val="nil"/>
              <w:right w:val="nil"/>
            </w:tcBorders>
          </w:tcPr>
          <w:p w14:paraId="4815C6B2"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0674806C" w14:textId="77777777" w:rsidR="00D23E39" w:rsidRPr="00FD0D8E" w:rsidRDefault="00D23E39" w:rsidP="00C74EB6">
            <w:pPr>
              <w:autoSpaceDE w:val="0"/>
              <w:autoSpaceDN w:val="0"/>
              <w:adjustRightInd w:val="0"/>
              <w:jc w:val="center"/>
              <w:rPr>
                <w:kern w:val="0"/>
                <w:szCs w:val="21"/>
              </w:rPr>
            </w:pPr>
            <w:r w:rsidRPr="00FD0D8E">
              <w:rPr>
                <w:kern w:val="0"/>
                <w:szCs w:val="21"/>
              </w:rPr>
              <w:t>(0.001)</w:t>
            </w:r>
          </w:p>
        </w:tc>
        <w:tc>
          <w:tcPr>
            <w:tcW w:w="1030" w:type="pct"/>
            <w:tcBorders>
              <w:top w:val="nil"/>
              <w:left w:val="nil"/>
              <w:bottom w:val="nil"/>
              <w:right w:val="nil"/>
            </w:tcBorders>
          </w:tcPr>
          <w:p w14:paraId="3E6F55F9"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003</w:t>
            </w:r>
            <w:r w:rsidRPr="00FD0D8E">
              <w:rPr>
                <w:kern w:val="0"/>
                <w:szCs w:val="21"/>
              </w:rPr>
              <w:t>)</w:t>
            </w:r>
          </w:p>
        </w:tc>
        <w:tc>
          <w:tcPr>
            <w:tcW w:w="1030" w:type="pct"/>
            <w:tcBorders>
              <w:top w:val="nil"/>
              <w:left w:val="nil"/>
              <w:bottom w:val="nil"/>
              <w:right w:val="nil"/>
            </w:tcBorders>
          </w:tcPr>
          <w:p w14:paraId="504207C6" w14:textId="41668CD8" w:rsidR="00D23E39" w:rsidRPr="00FD0D8E" w:rsidRDefault="00D23E39" w:rsidP="00C74EB6">
            <w:pPr>
              <w:autoSpaceDE w:val="0"/>
              <w:autoSpaceDN w:val="0"/>
              <w:adjustRightInd w:val="0"/>
              <w:jc w:val="center"/>
              <w:rPr>
                <w:kern w:val="0"/>
                <w:szCs w:val="21"/>
              </w:rPr>
            </w:pPr>
            <w:r w:rsidRPr="00FD0D8E">
              <w:rPr>
                <w:kern w:val="0"/>
                <w:szCs w:val="21"/>
              </w:rPr>
              <w:t>(0.008)</w:t>
            </w:r>
          </w:p>
        </w:tc>
        <w:tc>
          <w:tcPr>
            <w:tcW w:w="1028" w:type="pct"/>
            <w:tcBorders>
              <w:top w:val="nil"/>
              <w:left w:val="nil"/>
              <w:bottom w:val="nil"/>
              <w:right w:val="nil"/>
            </w:tcBorders>
          </w:tcPr>
          <w:p w14:paraId="10311A5D" w14:textId="05B6FF53"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03</w:t>
            </w:r>
            <w:r w:rsidRPr="00FD0D8E">
              <w:rPr>
                <w:kern w:val="0"/>
                <w:szCs w:val="21"/>
              </w:rPr>
              <w:t>)</w:t>
            </w:r>
          </w:p>
        </w:tc>
      </w:tr>
      <w:tr w:rsidR="00D23E39" w:rsidRPr="00FD0D8E" w14:paraId="4979CEB9" w14:textId="77777777" w:rsidTr="006B1109">
        <w:tc>
          <w:tcPr>
            <w:tcW w:w="939" w:type="pct"/>
            <w:tcBorders>
              <w:top w:val="nil"/>
              <w:left w:val="nil"/>
              <w:bottom w:val="nil"/>
              <w:right w:val="nil"/>
            </w:tcBorders>
          </w:tcPr>
          <w:p w14:paraId="44EC1A8E" w14:textId="77777777" w:rsidR="00D23E39" w:rsidRPr="00FD0D8E" w:rsidRDefault="00D23E39" w:rsidP="00C74EB6">
            <w:pPr>
              <w:autoSpaceDE w:val="0"/>
              <w:autoSpaceDN w:val="0"/>
              <w:adjustRightInd w:val="0"/>
              <w:rPr>
                <w:kern w:val="0"/>
                <w:szCs w:val="21"/>
              </w:rPr>
            </w:pPr>
            <w:r w:rsidRPr="00FD0D8E">
              <w:rPr>
                <w:kern w:val="0"/>
                <w:szCs w:val="21"/>
              </w:rPr>
              <w:t>DOSR</w:t>
            </w:r>
          </w:p>
        </w:tc>
        <w:tc>
          <w:tcPr>
            <w:tcW w:w="973" w:type="pct"/>
            <w:tcBorders>
              <w:top w:val="nil"/>
              <w:left w:val="nil"/>
              <w:bottom w:val="nil"/>
              <w:right w:val="nil"/>
            </w:tcBorders>
          </w:tcPr>
          <w:p w14:paraId="30C39167" w14:textId="77777777" w:rsidR="00D23E39" w:rsidRPr="00FD0D8E" w:rsidRDefault="00D23E39" w:rsidP="00C74EB6">
            <w:pPr>
              <w:autoSpaceDE w:val="0"/>
              <w:autoSpaceDN w:val="0"/>
              <w:adjustRightInd w:val="0"/>
              <w:jc w:val="center"/>
              <w:rPr>
                <w:kern w:val="0"/>
                <w:szCs w:val="21"/>
              </w:rPr>
            </w:pPr>
            <w:r w:rsidRPr="00FD0D8E">
              <w:rPr>
                <w:kern w:val="0"/>
                <w:szCs w:val="21"/>
              </w:rPr>
              <w:t>-0.033</w:t>
            </w:r>
            <w:r w:rsidRPr="00FD0D8E">
              <w:rPr>
                <w:kern w:val="0"/>
                <w:szCs w:val="21"/>
                <w:vertAlign w:val="superscript"/>
              </w:rPr>
              <w:t>***</w:t>
            </w:r>
          </w:p>
        </w:tc>
        <w:tc>
          <w:tcPr>
            <w:tcW w:w="1030" w:type="pct"/>
            <w:tcBorders>
              <w:top w:val="nil"/>
              <w:left w:val="nil"/>
              <w:bottom w:val="nil"/>
              <w:right w:val="nil"/>
            </w:tcBorders>
          </w:tcPr>
          <w:p w14:paraId="59ADF1C3"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055</w:t>
            </w:r>
            <w:r w:rsidRPr="00FD0D8E">
              <w:rPr>
                <w:kern w:val="0"/>
                <w:szCs w:val="21"/>
                <w:vertAlign w:val="superscript"/>
              </w:rPr>
              <w:t>***</w:t>
            </w:r>
          </w:p>
        </w:tc>
        <w:tc>
          <w:tcPr>
            <w:tcW w:w="1030" w:type="pct"/>
            <w:tcBorders>
              <w:top w:val="nil"/>
              <w:left w:val="nil"/>
              <w:bottom w:val="nil"/>
              <w:right w:val="nil"/>
            </w:tcBorders>
          </w:tcPr>
          <w:p w14:paraId="01209B6A" w14:textId="346B0439" w:rsidR="00D23E39" w:rsidRPr="00FD0D8E" w:rsidRDefault="00D23E39" w:rsidP="00C74EB6">
            <w:pPr>
              <w:autoSpaceDE w:val="0"/>
              <w:autoSpaceDN w:val="0"/>
              <w:adjustRightInd w:val="0"/>
              <w:jc w:val="center"/>
              <w:rPr>
                <w:kern w:val="0"/>
                <w:szCs w:val="21"/>
              </w:rPr>
            </w:pPr>
            <w:r w:rsidRPr="00FD0D8E">
              <w:rPr>
                <w:kern w:val="0"/>
                <w:szCs w:val="21"/>
              </w:rPr>
              <w:t>-0.339</w:t>
            </w:r>
            <w:r w:rsidRPr="00FD0D8E">
              <w:rPr>
                <w:kern w:val="0"/>
                <w:szCs w:val="21"/>
                <w:vertAlign w:val="superscript"/>
              </w:rPr>
              <w:t>***</w:t>
            </w:r>
          </w:p>
        </w:tc>
        <w:tc>
          <w:tcPr>
            <w:tcW w:w="1028" w:type="pct"/>
            <w:tcBorders>
              <w:top w:val="nil"/>
              <w:left w:val="nil"/>
              <w:bottom w:val="nil"/>
              <w:right w:val="nil"/>
            </w:tcBorders>
          </w:tcPr>
          <w:p w14:paraId="5AF6CF41" w14:textId="0CC570C5"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052</w:t>
            </w:r>
            <w:r w:rsidRPr="00FD0D8E">
              <w:rPr>
                <w:kern w:val="0"/>
                <w:szCs w:val="21"/>
                <w:vertAlign w:val="superscript"/>
              </w:rPr>
              <w:t>***</w:t>
            </w:r>
          </w:p>
        </w:tc>
      </w:tr>
      <w:tr w:rsidR="00D23E39" w:rsidRPr="00FD0D8E" w14:paraId="1836D311" w14:textId="77777777" w:rsidTr="006B1109">
        <w:tc>
          <w:tcPr>
            <w:tcW w:w="939" w:type="pct"/>
            <w:tcBorders>
              <w:top w:val="nil"/>
              <w:left w:val="nil"/>
              <w:bottom w:val="nil"/>
              <w:right w:val="nil"/>
            </w:tcBorders>
          </w:tcPr>
          <w:p w14:paraId="60FC79E7"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50DD85EF" w14:textId="77777777" w:rsidR="00D23E39" w:rsidRPr="00FD0D8E" w:rsidRDefault="00D23E39" w:rsidP="00C74EB6">
            <w:pPr>
              <w:autoSpaceDE w:val="0"/>
              <w:autoSpaceDN w:val="0"/>
              <w:adjustRightInd w:val="0"/>
              <w:jc w:val="center"/>
              <w:rPr>
                <w:kern w:val="0"/>
                <w:szCs w:val="21"/>
              </w:rPr>
            </w:pPr>
            <w:r w:rsidRPr="00FD0D8E">
              <w:rPr>
                <w:kern w:val="0"/>
                <w:szCs w:val="21"/>
              </w:rPr>
              <w:t>(0.003)</w:t>
            </w:r>
          </w:p>
        </w:tc>
        <w:tc>
          <w:tcPr>
            <w:tcW w:w="1030" w:type="pct"/>
            <w:tcBorders>
              <w:top w:val="nil"/>
              <w:left w:val="nil"/>
              <w:bottom w:val="nil"/>
              <w:right w:val="nil"/>
            </w:tcBorders>
          </w:tcPr>
          <w:p w14:paraId="5D67F4B2"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011</w:t>
            </w:r>
            <w:r w:rsidRPr="00FD0D8E">
              <w:rPr>
                <w:kern w:val="0"/>
                <w:szCs w:val="21"/>
              </w:rPr>
              <w:t>)</w:t>
            </w:r>
          </w:p>
        </w:tc>
        <w:tc>
          <w:tcPr>
            <w:tcW w:w="1030" w:type="pct"/>
            <w:tcBorders>
              <w:top w:val="nil"/>
              <w:left w:val="nil"/>
              <w:bottom w:val="nil"/>
              <w:right w:val="nil"/>
            </w:tcBorders>
          </w:tcPr>
          <w:p w14:paraId="78232674" w14:textId="45FE15EB" w:rsidR="00D23E39" w:rsidRPr="00FD0D8E" w:rsidRDefault="00D23E39" w:rsidP="00C74EB6">
            <w:pPr>
              <w:autoSpaceDE w:val="0"/>
              <w:autoSpaceDN w:val="0"/>
              <w:adjustRightInd w:val="0"/>
              <w:jc w:val="center"/>
              <w:rPr>
                <w:kern w:val="0"/>
                <w:szCs w:val="21"/>
              </w:rPr>
            </w:pPr>
            <w:r w:rsidRPr="00FD0D8E">
              <w:rPr>
                <w:kern w:val="0"/>
                <w:szCs w:val="21"/>
              </w:rPr>
              <w:t>(0.033)</w:t>
            </w:r>
          </w:p>
        </w:tc>
        <w:tc>
          <w:tcPr>
            <w:tcW w:w="1028" w:type="pct"/>
            <w:tcBorders>
              <w:top w:val="nil"/>
              <w:left w:val="nil"/>
              <w:bottom w:val="nil"/>
              <w:right w:val="nil"/>
            </w:tcBorders>
          </w:tcPr>
          <w:p w14:paraId="77872F84" w14:textId="1DB43CBE"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011</w:t>
            </w:r>
            <w:r w:rsidRPr="00FD0D8E">
              <w:rPr>
                <w:kern w:val="0"/>
                <w:szCs w:val="21"/>
              </w:rPr>
              <w:t>)</w:t>
            </w:r>
          </w:p>
        </w:tc>
      </w:tr>
      <w:tr w:rsidR="00D23E39" w:rsidRPr="00FD0D8E" w14:paraId="32AC2161" w14:textId="77777777" w:rsidTr="006B1109">
        <w:tc>
          <w:tcPr>
            <w:tcW w:w="939" w:type="pct"/>
            <w:tcBorders>
              <w:top w:val="nil"/>
              <w:left w:val="nil"/>
              <w:bottom w:val="nil"/>
              <w:right w:val="nil"/>
            </w:tcBorders>
          </w:tcPr>
          <w:p w14:paraId="0A4BED40" w14:textId="77777777" w:rsidR="00D23E39" w:rsidRPr="00FD0D8E" w:rsidRDefault="00D23E39" w:rsidP="00C74EB6">
            <w:pPr>
              <w:autoSpaceDE w:val="0"/>
              <w:autoSpaceDN w:val="0"/>
              <w:adjustRightInd w:val="0"/>
              <w:rPr>
                <w:kern w:val="0"/>
                <w:szCs w:val="21"/>
              </w:rPr>
            </w:pPr>
            <w:r w:rsidRPr="00FD0D8E">
              <w:rPr>
                <w:kern w:val="0"/>
                <w:szCs w:val="21"/>
              </w:rPr>
              <w:t>Size</w:t>
            </w:r>
          </w:p>
        </w:tc>
        <w:tc>
          <w:tcPr>
            <w:tcW w:w="973" w:type="pct"/>
            <w:tcBorders>
              <w:top w:val="nil"/>
              <w:left w:val="nil"/>
              <w:bottom w:val="nil"/>
              <w:right w:val="nil"/>
            </w:tcBorders>
          </w:tcPr>
          <w:p w14:paraId="1DD95AF6" w14:textId="77777777" w:rsidR="00D23E39" w:rsidRPr="00FD0D8E" w:rsidRDefault="00D23E39" w:rsidP="00C74EB6">
            <w:pPr>
              <w:autoSpaceDE w:val="0"/>
              <w:autoSpaceDN w:val="0"/>
              <w:adjustRightInd w:val="0"/>
              <w:jc w:val="center"/>
              <w:rPr>
                <w:kern w:val="0"/>
                <w:szCs w:val="21"/>
              </w:rPr>
            </w:pPr>
            <w:r w:rsidRPr="00FD0D8E">
              <w:rPr>
                <w:kern w:val="0"/>
                <w:szCs w:val="21"/>
              </w:rPr>
              <w:t>0.099</w:t>
            </w:r>
            <w:r w:rsidRPr="00FD0D8E">
              <w:rPr>
                <w:kern w:val="0"/>
                <w:szCs w:val="21"/>
                <w:vertAlign w:val="superscript"/>
              </w:rPr>
              <w:t>***</w:t>
            </w:r>
          </w:p>
        </w:tc>
        <w:tc>
          <w:tcPr>
            <w:tcW w:w="1030" w:type="pct"/>
            <w:tcBorders>
              <w:top w:val="nil"/>
              <w:left w:val="nil"/>
              <w:bottom w:val="nil"/>
              <w:right w:val="nil"/>
            </w:tcBorders>
          </w:tcPr>
          <w:p w14:paraId="36835760" w14:textId="77777777" w:rsidR="00D23E39" w:rsidRPr="00FD0D8E" w:rsidRDefault="00D23E39" w:rsidP="00C74EB6">
            <w:pPr>
              <w:autoSpaceDE w:val="0"/>
              <w:autoSpaceDN w:val="0"/>
              <w:adjustRightInd w:val="0"/>
              <w:jc w:val="center"/>
              <w:rPr>
                <w:kern w:val="0"/>
                <w:szCs w:val="21"/>
              </w:rPr>
            </w:pPr>
            <w:r w:rsidRPr="00FD0D8E">
              <w:rPr>
                <w:kern w:val="0"/>
                <w:szCs w:val="21"/>
              </w:rPr>
              <w:t>-0.</w:t>
            </w:r>
            <w:r w:rsidRPr="00FD0D8E">
              <w:rPr>
                <w:rFonts w:hint="eastAsia"/>
                <w:kern w:val="0"/>
                <w:szCs w:val="21"/>
              </w:rPr>
              <w:t>059</w:t>
            </w:r>
            <w:r w:rsidRPr="00FD0D8E">
              <w:rPr>
                <w:kern w:val="0"/>
                <w:szCs w:val="21"/>
                <w:vertAlign w:val="superscript"/>
              </w:rPr>
              <w:t>***</w:t>
            </w:r>
          </w:p>
        </w:tc>
        <w:tc>
          <w:tcPr>
            <w:tcW w:w="1030" w:type="pct"/>
            <w:tcBorders>
              <w:top w:val="nil"/>
              <w:left w:val="nil"/>
              <w:bottom w:val="nil"/>
              <w:right w:val="nil"/>
            </w:tcBorders>
          </w:tcPr>
          <w:p w14:paraId="67BBC6B4" w14:textId="52333D3F" w:rsidR="00D23E39" w:rsidRPr="00FD0D8E" w:rsidRDefault="00D23E39" w:rsidP="00C74EB6">
            <w:pPr>
              <w:autoSpaceDE w:val="0"/>
              <w:autoSpaceDN w:val="0"/>
              <w:adjustRightInd w:val="0"/>
              <w:jc w:val="center"/>
              <w:rPr>
                <w:kern w:val="0"/>
                <w:szCs w:val="21"/>
              </w:rPr>
            </w:pPr>
            <w:r w:rsidRPr="00FD0D8E">
              <w:rPr>
                <w:kern w:val="0"/>
                <w:szCs w:val="21"/>
              </w:rPr>
              <w:t>0.971</w:t>
            </w:r>
            <w:r w:rsidRPr="00FD0D8E">
              <w:rPr>
                <w:kern w:val="0"/>
                <w:szCs w:val="21"/>
                <w:vertAlign w:val="superscript"/>
              </w:rPr>
              <w:t>***</w:t>
            </w:r>
          </w:p>
        </w:tc>
        <w:tc>
          <w:tcPr>
            <w:tcW w:w="1028" w:type="pct"/>
            <w:tcBorders>
              <w:top w:val="nil"/>
              <w:left w:val="nil"/>
              <w:bottom w:val="nil"/>
              <w:right w:val="nil"/>
            </w:tcBorders>
          </w:tcPr>
          <w:p w14:paraId="29C2D683" w14:textId="14FA1A0A" w:rsidR="00D23E39" w:rsidRPr="00FD0D8E" w:rsidRDefault="00D23E39" w:rsidP="00C74EB6">
            <w:pPr>
              <w:autoSpaceDE w:val="0"/>
              <w:autoSpaceDN w:val="0"/>
              <w:adjustRightInd w:val="0"/>
              <w:jc w:val="center"/>
              <w:rPr>
                <w:kern w:val="0"/>
                <w:szCs w:val="21"/>
              </w:rPr>
            </w:pPr>
            <w:r w:rsidRPr="00FD0D8E">
              <w:rPr>
                <w:kern w:val="0"/>
                <w:szCs w:val="21"/>
              </w:rPr>
              <w:t>-0.</w:t>
            </w:r>
            <w:r w:rsidR="00AC4838" w:rsidRPr="00FD0D8E">
              <w:rPr>
                <w:rFonts w:hint="eastAsia"/>
                <w:kern w:val="0"/>
                <w:szCs w:val="21"/>
              </w:rPr>
              <w:t>067</w:t>
            </w:r>
            <w:r w:rsidRPr="00FD0D8E">
              <w:rPr>
                <w:kern w:val="0"/>
                <w:szCs w:val="21"/>
                <w:vertAlign w:val="superscript"/>
              </w:rPr>
              <w:t>***</w:t>
            </w:r>
          </w:p>
        </w:tc>
      </w:tr>
      <w:tr w:rsidR="00D23E39" w:rsidRPr="00FD0D8E" w14:paraId="24B57C4D" w14:textId="77777777" w:rsidTr="006B1109">
        <w:tc>
          <w:tcPr>
            <w:tcW w:w="939" w:type="pct"/>
            <w:tcBorders>
              <w:top w:val="nil"/>
              <w:left w:val="nil"/>
              <w:bottom w:val="nil"/>
              <w:right w:val="nil"/>
            </w:tcBorders>
          </w:tcPr>
          <w:p w14:paraId="10894C26"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7E3B1356" w14:textId="77777777" w:rsidR="00D23E39" w:rsidRPr="00FD0D8E" w:rsidRDefault="00D23E39" w:rsidP="00C74EB6">
            <w:pPr>
              <w:autoSpaceDE w:val="0"/>
              <w:autoSpaceDN w:val="0"/>
              <w:adjustRightInd w:val="0"/>
              <w:jc w:val="center"/>
              <w:rPr>
                <w:kern w:val="0"/>
                <w:szCs w:val="21"/>
              </w:rPr>
            </w:pPr>
            <w:r w:rsidRPr="00FD0D8E">
              <w:rPr>
                <w:kern w:val="0"/>
                <w:szCs w:val="21"/>
              </w:rPr>
              <w:t>(0.005)</w:t>
            </w:r>
          </w:p>
        </w:tc>
        <w:tc>
          <w:tcPr>
            <w:tcW w:w="1030" w:type="pct"/>
            <w:tcBorders>
              <w:top w:val="nil"/>
              <w:left w:val="nil"/>
              <w:bottom w:val="nil"/>
              <w:right w:val="nil"/>
            </w:tcBorders>
          </w:tcPr>
          <w:p w14:paraId="3B61B9A9"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07</w:t>
            </w:r>
            <w:r w:rsidRPr="00FD0D8E">
              <w:rPr>
                <w:kern w:val="0"/>
                <w:szCs w:val="21"/>
              </w:rPr>
              <w:t>)</w:t>
            </w:r>
          </w:p>
        </w:tc>
        <w:tc>
          <w:tcPr>
            <w:tcW w:w="1030" w:type="pct"/>
            <w:tcBorders>
              <w:top w:val="nil"/>
              <w:left w:val="nil"/>
              <w:bottom w:val="nil"/>
              <w:right w:val="nil"/>
            </w:tcBorders>
          </w:tcPr>
          <w:p w14:paraId="2F1C6622" w14:textId="23FFC70B" w:rsidR="00D23E39" w:rsidRPr="00FD0D8E" w:rsidRDefault="00D23E39" w:rsidP="00C74EB6">
            <w:pPr>
              <w:autoSpaceDE w:val="0"/>
              <w:autoSpaceDN w:val="0"/>
              <w:adjustRightInd w:val="0"/>
              <w:jc w:val="center"/>
              <w:rPr>
                <w:kern w:val="0"/>
                <w:szCs w:val="21"/>
              </w:rPr>
            </w:pPr>
            <w:r w:rsidRPr="00FD0D8E">
              <w:rPr>
                <w:kern w:val="0"/>
                <w:szCs w:val="21"/>
              </w:rPr>
              <w:t>(0.046)</w:t>
            </w:r>
          </w:p>
        </w:tc>
        <w:tc>
          <w:tcPr>
            <w:tcW w:w="1028" w:type="pct"/>
            <w:tcBorders>
              <w:top w:val="nil"/>
              <w:left w:val="nil"/>
              <w:bottom w:val="nil"/>
              <w:right w:val="nil"/>
            </w:tcBorders>
          </w:tcPr>
          <w:p w14:paraId="6F86E2BE" w14:textId="58ECBC2A"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07</w:t>
            </w:r>
            <w:r w:rsidRPr="00FD0D8E">
              <w:rPr>
                <w:kern w:val="0"/>
                <w:szCs w:val="21"/>
              </w:rPr>
              <w:t>)</w:t>
            </w:r>
          </w:p>
        </w:tc>
      </w:tr>
      <w:tr w:rsidR="00D23E39" w:rsidRPr="00FD0D8E" w14:paraId="27EDDC4C" w14:textId="77777777" w:rsidTr="006B1109">
        <w:tc>
          <w:tcPr>
            <w:tcW w:w="939" w:type="pct"/>
            <w:tcBorders>
              <w:top w:val="nil"/>
              <w:left w:val="nil"/>
              <w:bottom w:val="nil"/>
              <w:right w:val="nil"/>
            </w:tcBorders>
          </w:tcPr>
          <w:p w14:paraId="616E5164" w14:textId="77777777" w:rsidR="00D23E39" w:rsidRPr="00FD0D8E" w:rsidRDefault="00D23E39" w:rsidP="00C74EB6">
            <w:pPr>
              <w:autoSpaceDE w:val="0"/>
              <w:autoSpaceDN w:val="0"/>
              <w:adjustRightInd w:val="0"/>
              <w:rPr>
                <w:kern w:val="0"/>
                <w:szCs w:val="21"/>
              </w:rPr>
            </w:pPr>
            <w:r w:rsidRPr="00FD0D8E">
              <w:rPr>
                <w:kern w:val="0"/>
                <w:szCs w:val="21"/>
              </w:rPr>
              <w:t>SOE</w:t>
            </w:r>
          </w:p>
        </w:tc>
        <w:tc>
          <w:tcPr>
            <w:tcW w:w="973" w:type="pct"/>
            <w:tcBorders>
              <w:top w:val="nil"/>
              <w:left w:val="nil"/>
              <w:bottom w:val="nil"/>
              <w:right w:val="nil"/>
            </w:tcBorders>
          </w:tcPr>
          <w:p w14:paraId="603544BD" w14:textId="77777777" w:rsidR="00D23E39" w:rsidRPr="00FD0D8E" w:rsidRDefault="00D23E39" w:rsidP="00C74EB6">
            <w:pPr>
              <w:autoSpaceDE w:val="0"/>
              <w:autoSpaceDN w:val="0"/>
              <w:adjustRightInd w:val="0"/>
              <w:jc w:val="center"/>
              <w:rPr>
                <w:kern w:val="0"/>
                <w:szCs w:val="21"/>
              </w:rPr>
            </w:pPr>
            <w:r w:rsidRPr="00FD0D8E">
              <w:rPr>
                <w:kern w:val="0"/>
                <w:szCs w:val="21"/>
              </w:rPr>
              <w:t>0.013</w:t>
            </w:r>
            <w:r w:rsidRPr="00FD0D8E">
              <w:rPr>
                <w:kern w:val="0"/>
                <w:szCs w:val="21"/>
                <w:vertAlign w:val="superscript"/>
              </w:rPr>
              <w:t>***</w:t>
            </w:r>
          </w:p>
        </w:tc>
        <w:tc>
          <w:tcPr>
            <w:tcW w:w="1030" w:type="pct"/>
            <w:tcBorders>
              <w:top w:val="nil"/>
              <w:left w:val="nil"/>
              <w:bottom w:val="nil"/>
              <w:right w:val="nil"/>
            </w:tcBorders>
          </w:tcPr>
          <w:p w14:paraId="769AF793"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06</w:t>
            </w:r>
          </w:p>
        </w:tc>
        <w:tc>
          <w:tcPr>
            <w:tcW w:w="1030" w:type="pct"/>
            <w:tcBorders>
              <w:top w:val="nil"/>
              <w:left w:val="nil"/>
              <w:bottom w:val="nil"/>
              <w:right w:val="nil"/>
            </w:tcBorders>
          </w:tcPr>
          <w:p w14:paraId="3218B857" w14:textId="27517934" w:rsidR="00D23E39" w:rsidRPr="00FD0D8E" w:rsidRDefault="00D23E39" w:rsidP="00C74EB6">
            <w:pPr>
              <w:autoSpaceDE w:val="0"/>
              <w:autoSpaceDN w:val="0"/>
              <w:adjustRightInd w:val="0"/>
              <w:jc w:val="center"/>
              <w:rPr>
                <w:kern w:val="0"/>
                <w:szCs w:val="21"/>
              </w:rPr>
            </w:pPr>
            <w:r w:rsidRPr="00FD0D8E">
              <w:rPr>
                <w:kern w:val="0"/>
                <w:szCs w:val="21"/>
              </w:rPr>
              <w:t>0.130</w:t>
            </w:r>
            <w:r w:rsidRPr="00FD0D8E">
              <w:rPr>
                <w:kern w:val="0"/>
                <w:szCs w:val="21"/>
                <w:vertAlign w:val="superscript"/>
              </w:rPr>
              <w:t>***</w:t>
            </w:r>
          </w:p>
        </w:tc>
        <w:tc>
          <w:tcPr>
            <w:tcW w:w="1028" w:type="pct"/>
            <w:tcBorders>
              <w:top w:val="nil"/>
              <w:left w:val="nil"/>
              <w:bottom w:val="nil"/>
              <w:right w:val="nil"/>
            </w:tcBorders>
          </w:tcPr>
          <w:p w14:paraId="7964B7D8" w14:textId="1D8C70B0"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05</w:t>
            </w:r>
          </w:p>
        </w:tc>
      </w:tr>
      <w:tr w:rsidR="00D23E39" w:rsidRPr="00FD0D8E" w14:paraId="648075AA" w14:textId="77777777" w:rsidTr="006B1109">
        <w:tc>
          <w:tcPr>
            <w:tcW w:w="939" w:type="pct"/>
            <w:tcBorders>
              <w:top w:val="nil"/>
              <w:left w:val="nil"/>
              <w:bottom w:val="nil"/>
              <w:right w:val="nil"/>
            </w:tcBorders>
          </w:tcPr>
          <w:p w14:paraId="6B2908C7" w14:textId="77777777" w:rsidR="00D23E39" w:rsidRPr="00FD0D8E" w:rsidRDefault="00D23E39" w:rsidP="00C74EB6">
            <w:pPr>
              <w:autoSpaceDE w:val="0"/>
              <w:autoSpaceDN w:val="0"/>
              <w:adjustRightInd w:val="0"/>
              <w:rPr>
                <w:kern w:val="0"/>
                <w:szCs w:val="21"/>
              </w:rPr>
            </w:pPr>
          </w:p>
        </w:tc>
        <w:tc>
          <w:tcPr>
            <w:tcW w:w="973" w:type="pct"/>
            <w:tcBorders>
              <w:top w:val="nil"/>
              <w:left w:val="nil"/>
              <w:bottom w:val="nil"/>
              <w:right w:val="nil"/>
            </w:tcBorders>
          </w:tcPr>
          <w:p w14:paraId="2042AAD6" w14:textId="77777777" w:rsidR="00D23E39" w:rsidRPr="00FD0D8E" w:rsidRDefault="00D23E39" w:rsidP="00C74EB6">
            <w:pPr>
              <w:autoSpaceDE w:val="0"/>
              <w:autoSpaceDN w:val="0"/>
              <w:adjustRightInd w:val="0"/>
              <w:jc w:val="center"/>
              <w:rPr>
                <w:kern w:val="0"/>
                <w:szCs w:val="21"/>
              </w:rPr>
            </w:pPr>
            <w:r w:rsidRPr="00FD0D8E">
              <w:rPr>
                <w:kern w:val="0"/>
                <w:szCs w:val="21"/>
              </w:rPr>
              <w:t>(0.001)</w:t>
            </w:r>
          </w:p>
        </w:tc>
        <w:tc>
          <w:tcPr>
            <w:tcW w:w="1030" w:type="pct"/>
            <w:tcBorders>
              <w:top w:val="nil"/>
              <w:left w:val="nil"/>
              <w:bottom w:val="nil"/>
              <w:right w:val="nil"/>
            </w:tcBorders>
          </w:tcPr>
          <w:p w14:paraId="38A0A6FD" w14:textId="77777777" w:rsidR="00D23E39" w:rsidRPr="00FD0D8E" w:rsidRDefault="00D23E39" w:rsidP="00C74EB6">
            <w:pPr>
              <w:autoSpaceDE w:val="0"/>
              <w:autoSpaceDN w:val="0"/>
              <w:adjustRightInd w:val="0"/>
              <w:jc w:val="center"/>
              <w:rPr>
                <w:kern w:val="0"/>
                <w:szCs w:val="21"/>
              </w:rPr>
            </w:pPr>
            <w:r w:rsidRPr="00FD0D8E">
              <w:rPr>
                <w:kern w:val="0"/>
                <w:szCs w:val="21"/>
              </w:rPr>
              <w:t>(0.0</w:t>
            </w:r>
            <w:r w:rsidRPr="00FD0D8E">
              <w:rPr>
                <w:rFonts w:hint="eastAsia"/>
                <w:kern w:val="0"/>
                <w:szCs w:val="21"/>
              </w:rPr>
              <w:t>04</w:t>
            </w:r>
            <w:r w:rsidRPr="00FD0D8E">
              <w:rPr>
                <w:kern w:val="0"/>
                <w:szCs w:val="21"/>
              </w:rPr>
              <w:t>)</w:t>
            </w:r>
          </w:p>
        </w:tc>
        <w:tc>
          <w:tcPr>
            <w:tcW w:w="1030" w:type="pct"/>
            <w:tcBorders>
              <w:top w:val="nil"/>
              <w:left w:val="nil"/>
              <w:bottom w:val="nil"/>
              <w:right w:val="nil"/>
            </w:tcBorders>
          </w:tcPr>
          <w:p w14:paraId="06330A2F" w14:textId="4AFD72C2" w:rsidR="00D23E39" w:rsidRPr="00FD0D8E" w:rsidRDefault="00D23E39" w:rsidP="00C74EB6">
            <w:pPr>
              <w:autoSpaceDE w:val="0"/>
              <w:autoSpaceDN w:val="0"/>
              <w:adjustRightInd w:val="0"/>
              <w:jc w:val="center"/>
              <w:rPr>
                <w:kern w:val="0"/>
                <w:szCs w:val="21"/>
              </w:rPr>
            </w:pPr>
            <w:r w:rsidRPr="00FD0D8E">
              <w:rPr>
                <w:kern w:val="0"/>
                <w:szCs w:val="21"/>
              </w:rPr>
              <w:t>(0.014)</w:t>
            </w:r>
          </w:p>
        </w:tc>
        <w:tc>
          <w:tcPr>
            <w:tcW w:w="1028" w:type="pct"/>
            <w:tcBorders>
              <w:top w:val="nil"/>
              <w:left w:val="nil"/>
              <w:bottom w:val="nil"/>
              <w:right w:val="nil"/>
            </w:tcBorders>
          </w:tcPr>
          <w:p w14:paraId="6F1A717B" w14:textId="4B5246E0" w:rsidR="00D23E39" w:rsidRPr="00FD0D8E" w:rsidRDefault="00D23E39" w:rsidP="00C74EB6">
            <w:pPr>
              <w:autoSpaceDE w:val="0"/>
              <w:autoSpaceDN w:val="0"/>
              <w:adjustRightInd w:val="0"/>
              <w:jc w:val="center"/>
              <w:rPr>
                <w:kern w:val="0"/>
                <w:szCs w:val="21"/>
              </w:rPr>
            </w:pPr>
            <w:r w:rsidRPr="00FD0D8E">
              <w:rPr>
                <w:kern w:val="0"/>
                <w:szCs w:val="21"/>
              </w:rPr>
              <w:t>(0.0</w:t>
            </w:r>
            <w:r w:rsidR="00AC4838" w:rsidRPr="00FD0D8E">
              <w:rPr>
                <w:rFonts w:hint="eastAsia"/>
                <w:kern w:val="0"/>
                <w:szCs w:val="21"/>
              </w:rPr>
              <w:t>04</w:t>
            </w:r>
            <w:r w:rsidRPr="00FD0D8E">
              <w:rPr>
                <w:kern w:val="0"/>
                <w:szCs w:val="21"/>
              </w:rPr>
              <w:t>)</w:t>
            </w:r>
          </w:p>
        </w:tc>
      </w:tr>
      <w:tr w:rsidR="00D23E39" w:rsidRPr="00FD0D8E" w14:paraId="2C3EB81B" w14:textId="77777777" w:rsidTr="006B1109">
        <w:tc>
          <w:tcPr>
            <w:tcW w:w="939" w:type="pct"/>
            <w:tcBorders>
              <w:top w:val="nil"/>
              <w:left w:val="nil"/>
              <w:bottom w:val="nil"/>
              <w:right w:val="nil"/>
            </w:tcBorders>
          </w:tcPr>
          <w:p w14:paraId="35233348" w14:textId="77777777" w:rsidR="00D23E39" w:rsidRPr="00FD0D8E" w:rsidRDefault="00D23E39" w:rsidP="00C74EB6">
            <w:pPr>
              <w:autoSpaceDE w:val="0"/>
              <w:autoSpaceDN w:val="0"/>
              <w:adjustRightInd w:val="0"/>
              <w:rPr>
                <w:kern w:val="0"/>
                <w:szCs w:val="21"/>
              </w:rPr>
            </w:pPr>
            <w:r w:rsidRPr="00FD0D8E">
              <w:rPr>
                <w:rFonts w:hint="eastAsia"/>
                <w:kern w:val="0"/>
                <w:szCs w:val="21"/>
              </w:rPr>
              <w:t>行业</w:t>
            </w:r>
            <w:r w:rsidRPr="00FD0D8E">
              <w:rPr>
                <w:rFonts w:hint="eastAsia"/>
                <w:kern w:val="0"/>
                <w:szCs w:val="21"/>
              </w:rPr>
              <w:t>FE</w:t>
            </w:r>
          </w:p>
        </w:tc>
        <w:tc>
          <w:tcPr>
            <w:tcW w:w="973" w:type="pct"/>
            <w:tcBorders>
              <w:top w:val="nil"/>
              <w:left w:val="nil"/>
              <w:bottom w:val="nil"/>
              <w:right w:val="nil"/>
            </w:tcBorders>
          </w:tcPr>
          <w:p w14:paraId="22731EDC"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c>
          <w:tcPr>
            <w:tcW w:w="1030" w:type="pct"/>
            <w:tcBorders>
              <w:top w:val="nil"/>
              <w:left w:val="nil"/>
              <w:bottom w:val="nil"/>
              <w:right w:val="nil"/>
            </w:tcBorders>
          </w:tcPr>
          <w:p w14:paraId="35739F43"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c>
          <w:tcPr>
            <w:tcW w:w="1030" w:type="pct"/>
            <w:tcBorders>
              <w:top w:val="nil"/>
              <w:left w:val="nil"/>
              <w:bottom w:val="nil"/>
              <w:right w:val="nil"/>
            </w:tcBorders>
          </w:tcPr>
          <w:p w14:paraId="2FB18FCD"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c>
          <w:tcPr>
            <w:tcW w:w="1028" w:type="pct"/>
            <w:tcBorders>
              <w:top w:val="nil"/>
              <w:left w:val="nil"/>
              <w:bottom w:val="nil"/>
              <w:right w:val="nil"/>
            </w:tcBorders>
          </w:tcPr>
          <w:p w14:paraId="49E689BB"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r>
      <w:tr w:rsidR="00D23E39" w:rsidRPr="00FD0D8E" w14:paraId="54E5F7A2" w14:textId="77777777" w:rsidTr="006B1109">
        <w:tc>
          <w:tcPr>
            <w:tcW w:w="939" w:type="pct"/>
            <w:tcBorders>
              <w:top w:val="nil"/>
              <w:left w:val="nil"/>
              <w:bottom w:val="nil"/>
              <w:right w:val="nil"/>
            </w:tcBorders>
          </w:tcPr>
          <w:p w14:paraId="7D29B03B" w14:textId="77777777" w:rsidR="00D23E39" w:rsidRPr="00FD0D8E" w:rsidRDefault="00D23E39" w:rsidP="00C74EB6">
            <w:pPr>
              <w:autoSpaceDE w:val="0"/>
              <w:autoSpaceDN w:val="0"/>
              <w:adjustRightInd w:val="0"/>
              <w:rPr>
                <w:kern w:val="0"/>
                <w:szCs w:val="21"/>
              </w:rPr>
            </w:pPr>
            <w:r w:rsidRPr="00FD0D8E">
              <w:rPr>
                <w:rFonts w:hint="eastAsia"/>
                <w:kern w:val="0"/>
                <w:szCs w:val="21"/>
              </w:rPr>
              <w:t>年份</w:t>
            </w:r>
            <w:r w:rsidRPr="00FD0D8E">
              <w:rPr>
                <w:rFonts w:hint="eastAsia"/>
                <w:kern w:val="0"/>
                <w:szCs w:val="21"/>
              </w:rPr>
              <w:t>FE</w:t>
            </w:r>
          </w:p>
        </w:tc>
        <w:tc>
          <w:tcPr>
            <w:tcW w:w="973" w:type="pct"/>
            <w:tcBorders>
              <w:top w:val="nil"/>
              <w:left w:val="nil"/>
              <w:bottom w:val="nil"/>
              <w:right w:val="nil"/>
            </w:tcBorders>
          </w:tcPr>
          <w:p w14:paraId="435AD220"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c>
          <w:tcPr>
            <w:tcW w:w="1030" w:type="pct"/>
            <w:tcBorders>
              <w:top w:val="nil"/>
              <w:left w:val="nil"/>
              <w:bottom w:val="nil"/>
              <w:right w:val="nil"/>
            </w:tcBorders>
          </w:tcPr>
          <w:p w14:paraId="0E3BF7DC"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c>
          <w:tcPr>
            <w:tcW w:w="1030" w:type="pct"/>
            <w:tcBorders>
              <w:top w:val="nil"/>
              <w:left w:val="nil"/>
              <w:bottom w:val="nil"/>
              <w:right w:val="nil"/>
            </w:tcBorders>
          </w:tcPr>
          <w:p w14:paraId="2DA06B6B"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c>
          <w:tcPr>
            <w:tcW w:w="1028" w:type="pct"/>
            <w:tcBorders>
              <w:top w:val="nil"/>
              <w:left w:val="nil"/>
              <w:bottom w:val="nil"/>
              <w:right w:val="nil"/>
            </w:tcBorders>
          </w:tcPr>
          <w:p w14:paraId="7E45C00F" w14:textId="77777777" w:rsidR="00D23E39" w:rsidRPr="00FD0D8E" w:rsidRDefault="00D23E39" w:rsidP="00C74EB6">
            <w:pPr>
              <w:autoSpaceDE w:val="0"/>
              <w:autoSpaceDN w:val="0"/>
              <w:adjustRightInd w:val="0"/>
              <w:jc w:val="center"/>
              <w:rPr>
                <w:kern w:val="0"/>
                <w:szCs w:val="21"/>
              </w:rPr>
            </w:pPr>
            <w:r w:rsidRPr="00FD0D8E">
              <w:rPr>
                <w:rFonts w:hint="eastAsia"/>
                <w:kern w:val="0"/>
                <w:szCs w:val="21"/>
              </w:rPr>
              <w:t>控制</w:t>
            </w:r>
          </w:p>
        </w:tc>
      </w:tr>
      <w:tr w:rsidR="00D23E39" w:rsidRPr="00FD0D8E" w14:paraId="20458A28" w14:textId="77777777" w:rsidTr="0097042F">
        <w:tc>
          <w:tcPr>
            <w:tcW w:w="939" w:type="pct"/>
            <w:tcBorders>
              <w:top w:val="nil"/>
              <w:left w:val="nil"/>
              <w:bottom w:val="nil"/>
              <w:right w:val="nil"/>
            </w:tcBorders>
          </w:tcPr>
          <w:p w14:paraId="168ADB9C" w14:textId="40228A91" w:rsidR="00D23E39" w:rsidRPr="00FD0D8E" w:rsidRDefault="00D23E39" w:rsidP="00C74EB6">
            <w:pPr>
              <w:autoSpaceDE w:val="0"/>
              <w:autoSpaceDN w:val="0"/>
              <w:adjustRightInd w:val="0"/>
              <w:rPr>
                <w:kern w:val="0"/>
                <w:szCs w:val="21"/>
              </w:rPr>
            </w:pPr>
            <w:r w:rsidRPr="00FD0D8E">
              <w:rPr>
                <w:kern w:val="0"/>
                <w:szCs w:val="21"/>
              </w:rPr>
              <w:t>N</w:t>
            </w:r>
          </w:p>
        </w:tc>
        <w:tc>
          <w:tcPr>
            <w:tcW w:w="973" w:type="pct"/>
            <w:tcBorders>
              <w:top w:val="nil"/>
              <w:left w:val="nil"/>
              <w:bottom w:val="nil"/>
              <w:right w:val="nil"/>
            </w:tcBorders>
          </w:tcPr>
          <w:p w14:paraId="6817ABC3" w14:textId="082ABE89" w:rsidR="00D23E39" w:rsidRPr="00FD0D8E" w:rsidRDefault="00D23E39" w:rsidP="00C74EB6">
            <w:pPr>
              <w:autoSpaceDE w:val="0"/>
              <w:autoSpaceDN w:val="0"/>
              <w:adjustRightInd w:val="0"/>
              <w:jc w:val="center"/>
              <w:rPr>
                <w:kern w:val="0"/>
                <w:szCs w:val="21"/>
              </w:rPr>
            </w:pPr>
            <w:r w:rsidRPr="00FD0D8E">
              <w:rPr>
                <w:kern w:val="0"/>
                <w:szCs w:val="21"/>
              </w:rPr>
              <w:t>24133</w:t>
            </w:r>
          </w:p>
        </w:tc>
        <w:tc>
          <w:tcPr>
            <w:tcW w:w="1030" w:type="pct"/>
            <w:tcBorders>
              <w:top w:val="nil"/>
              <w:left w:val="nil"/>
              <w:bottom w:val="nil"/>
              <w:right w:val="nil"/>
            </w:tcBorders>
          </w:tcPr>
          <w:p w14:paraId="6F254B9A" w14:textId="6ADC49C9" w:rsidR="00D23E39" w:rsidRPr="00FD0D8E" w:rsidRDefault="00D23E39" w:rsidP="00C74EB6">
            <w:pPr>
              <w:autoSpaceDE w:val="0"/>
              <w:autoSpaceDN w:val="0"/>
              <w:adjustRightInd w:val="0"/>
              <w:jc w:val="center"/>
              <w:rPr>
                <w:kern w:val="0"/>
                <w:szCs w:val="21"/>
              </w:rPr>
            </w:pPr>
            <w:r w:rsidRPr="00FD0D8E">
              <w:rPr>
                <w:kern w:val="0"/>
                <w:szCs w:val="21"/>
              </w:rPr>
              <w:t>20620</w:t>
            </w:r>
          </w:p>
        </w:tc>
        <w:tc>
          <w:tcPr>
            <w:tcW w:w="1030" w:type="pct"/>
            <w:tcBorders>
              <w:top w:val="nil"/>
              <w:left w:val="nil"/>
              <w:bottom w:val="nil"/>
              <w:right w:val="nil"/>
            </w:tcBorders>
          </w:tcPr>
          <w:p w14:paraId="04D24524" w14:textId="200790D1" w:rsidR="00D23E39" w:rsidRPr="00FD0D8E" w:rsidRDefault="00D23E39" w:rsidP="00C74EB6">
            <w:pPr>
              <w:autoSpaceDE w:val="0"/>
              <w:autoSpaceDN w:val="0"/>
              <w:adjustRightInd w:val="0"/>
              <w:jc w:val="center"/>
              <w:rPr>
                <w:kern w:val="0"/>
                <w:szCs w:val="21"/>
              </w:rPr>
            </w:pPr>
            <w:r w:rsidRPr="00FD0D8E">
              <w:rPr>
                <w:kern w:val="0"/>
                <w:szCs w:val="21"/>
              </w:rPr>
              <w:t>24133</w:t>
            </w:r>
          </w:p>
        </w:tc>
        <w:tc>
          <w:tcPr>
            <w:tcW w:w="1028" w:type="pct"/>
            <w:tcBorders>
              <w:top w:val="nil"/>
              <w:left w:val="nil"/>
              <w:bottom w:val="nil"/>
              <w:right w:val="nil"/>
            </w:tcBorders>
          </w:tcPr>
          <w:p w14:paraId="11B322AA" w14:textId="5D4B71DF" w:rsidR="00D23E39" w:rsidRPr="00FD0D8E" w:rsidRDefault="00D23E39" w:rsidP="00C74EB6">
            <w:pPr>
              <w:autoSpaceDE w:val="0"/>
              <w:autoSpaceDN w:val="0"/>
              <w:adjustRightInd w:val="0"/>
              <w:jc w:val="center"/>
              <w:rPr>
                <w:kern w:val="0"/>
                <w:szCs w:val="21"/>
              </w:rPr>
            </w:pPr>
            <w:r w:rsidRPr="00FD0D8E">
              <w:rPr>
                <w:kern w:val="0"/>
                <w:szCs w:val="21"/>
              </w:rPr>
              <w:t>20620</w:t>
            </w:r>
          </w:p>
        </w:tc>
      </w:tr>
      <w:tr w:rsidR="00D23E39" w:rsidRPr="00FD0D8E" w14:paraId="2A0A5BA6" w14:textId="77777777" w:rsidTr="006B1109">
        <w:tc>
          <w:tcPr>
            <w:tcW w:w="939" w:type="pct"/>
            <w:tcBorders>
              <w:top w:val="nil"/>
              <w:left w:val="nil"/>
              <w:bottom w:val="nil"/>
              <w:right w:val="nil"/>
            </w:tcBorders>
            <w:vAlign w:val="center"/>
          </w:tcPr>
          <w:p w14:paraId="1B3B1DBF" w14:textId="4AF8EB05" w:rsidR="00D23E39" w:rsidRPr="00FD0D8E" w:rsidRDefault="00D23E39" w:rsidP="00C74EB6">
            <w:pPr>
              <w:autoSpaceDE w:val="0"/>
              <w:autoSpaceDN w:val="0"/>
              <w:adjustRightInd w:val="0"/>
              <w:rPr>
                <w:kern w:val="0"/>
                <w:szCs w:val="21"/>
              </w:rPr>
            </w:pPr>
            <w:r w:rsidRPr="00FD0D8E">
              <w:rPr>
                <w:rFonts w:hint="eastAsia"/>
                <w:kern w:val="0"/>
                <w:szCs w:val="21"/>
              </w:rPr>
              <w:t>Adj/</w:t>
            </w:r>
            <w:r w:rsidRPr="00FD0D8E">
              <w:rPr>
                <w:kern w:val="0"/>
                <w:szCs w:val="21"/>
              </w:rPr>
              <w:t>Pseudo R²</w:t>
            </w:r>
          </w:p>
        </w:tc>
        <w:tc>
          <w:tcPr>
            <w:tcW w:w="973" w:type="pct"/>
            <w:tcBorders>
              <w:top w:val="nil"/>
              <w:left w:val="nil"/>
              <w:bottom w:val="nil"/>
              <w:right w:val="nil"/>
            </w:tcBorders>
          </w:tcPr>
          <w:p w14:paraId="45F0DB90" w14:textId="2B4FCA8C" w:rsidR="00D23E39" w:rsidRPr="00FD0D8E" w:rsidRDefault="00D23E39" w:rsidP="00C74EB6">
            <w:pPr>
              <w:autoSpaceDE w:val="0"/>
              <w:autoSpaceDN w:val="0"/>
              <w:adjustRightInd w:val="0"/>
              <w:jc w:val="center"/>
              <w:rPr>
                <w:kern w:val="0"/>
                <w:szCs w:val="21"/>
              </w:rPr>
            </w:pPr>
            <w:r w:rsidRPr="00FD0D8E">
              <w:rPr>
                <w:rFonts w:hint="eastAsia"/>
                <w:kern w:val="0"/>
                <w:szCs w:val="21"/>
              </w:rPr>
              <w:t>0.62</w:t>
            </w:r>
          </w:p>
        </w:tc>
        <w:tc>
          <w:tcPr>
            <w:tcW w:w="1030" w:type="pct"/>
            <w:tcBorders>
              <w:top w:val="nil"/>
              <w:left w:val="nil"/>
              <w:bottom w:val="nil"/>
              <w:right w:val="nil"/>
            </w:tcBorders>
          </w:tcPr>
          <w:p w14:paraId="4423FF79" w14:textId="6979B886" w:rsidR="00D23E39" w:rsidRPr="00FD0D8E" w:rsidRDefault="00D23E39" w:rsidP="00C74EB6">
            <w:pPr>
              <w:autoSpaceDE w:val="0"/>
              <w:autoSpaceDN w:val="0"/>
              <w:adjustRightInd w:val="0"/>
              <w:jc w:val="center"/>
              <w:rPr>
                <w:kern w:val="0"/>
                <w:szCs w:val="21"/>
              </w:rPr>
            </w:pPr>
            <w:r w:rsidRPr="00FD0D8E">
              <w:rPr>
                <w:rFonts w:hint="eastAsia"/>
                <w:kern w:val="0"/>
                <w:szCs w:val="21"/>
              </w:rPr>
              <w:t>0.24</w:t>
            </w:r>
          </w:p>
        </w:tc>
        <w:tc>
          <w:tcPr>
            <w:tcW w:w="1030" w:type="pct"/>
            <w:tcBorders>
              <w:top w:val="nil"/>
              <w:left w:val="nil"/>
              <w:bottom w:val="nil"/>
              <w:right w:val="nil"/>
            </w:tcBorders>
          </w:tcPr>
          <w:p w14:paraId="340CAED5" w14:textId="5B9CB835" w:rsidR="00D23E39" w:rsidRPr="00FD0D8E" w:rsidRDefault="00D23E39" w:rsidP="00C74EB6">
            <w:pPr>
              <w:autoSpaceDE w:val="0"/>
              <w:autoSpaceDN w:val="0"/>
              <w:adjustRightInd w:val="0"/>
              <w:jc w:val="center"/>
              <w:rPr>
                <w:kern w:val="0"/>
                <w:szCs w:val="21"/>
              </w:rPr>
            </w:pPr>
            <w:r w:rsidRPr="00FD0D8E">
              <w:rPr>
                <w:rFonts w:hint="eastAsia"/>
                <w:kern w:val="0"/>
                <w:szCs w:val="21"/>
              </w:rPr>
              <w:t>0.62</w:t>
            </w:r>
          </w:p>
        </w:tc>
        <w:tc>
          <w:tcPr>
            <w:tcW w:w="1028" w:type="pct"/>
            <w:tcBorders>
              <w:top w:val="nil"/>
              <w:left w:val="nil"/>
              <w:bottom w:val="nil"/>
              <w:right w:val="nil"/>
            </w:tcBorders>
          </w:tcPr>
          <w:p w14:paraId="659BEE1A" w14:textId="52A81F92" w:rsidR="00D23E39" w:rsidRPr="00FD0D8E" w:rsidRDefault="00D23E39" w:rsidP="00C74EB6">
            <w:pPr>
              <w:autoSpaceDE w:val="0"/>
              <w:autoSpaceDN w:val="0"/>
              <w:adjustRightInd w:val="0"/>
              <w:jc w:val="center"/>
              <w:rPr>
                <w:kern w:val="0"/>
                <w:szCs w:val="21"/>
              </w:rPr>
            </w:pPr>
            <w:r w:rsidRPr="00FD0D8E">
              <w:rPr>
                <w:rFonts w:hint="eastAsia"/>
                <w:kern w:val="0"/>
                <w:szCs w:val="21"/>
              </w:rPr>
              <w:t>0.25</w:t>
            </w:r>
          </w:p>
        </w:tc>
      </w:tr>
      <w:tr w:rsidR="00D23E39" w:rsidRPr="00FD0D8E" w14:paraId="4A175F07" w14:textId="77777777" w:rsidTr="006B1109">
        <w:tc>
          <w:tcPr>
            <w:tcW w:w="939" w:type="pct"/>
            <w:tcBorders>
              <w:top w:val="nil"/>
              <w:left w:val="nil"/>
              <w:bottom w:val="nil"/>
              <w:right w:val="nil"/>
            </w:tcBorders>
            <w:vAlign w:val="center"/>
          </w:tcPr>
          <w:p w14:paraId="1559E92E" w14:textId="77777777" w:rsidR="00D23E39" w:rsidRPr="00FD0D8E" w:rsidRDefault="00D23E39" w:rsidP="00C74EB6">
            <w:pPr>
              <w:autoSpaceDE w:val="0"/>
              <w:autoSpaceDN w:val="0"/>
              <w:adjustRightInd w:val="0"/>
              <w:rPr>
                <w:kern w:val="0"/>
                <w:szCs w:val="21"/>
              </w:rPr>
            </w:pPr>
            <w:r w:rsidRPr="00FD0D8E">
              <w:rPr>
                <w:kern w:val="0"/>
                <w:szCs w:val="21"/>
              </w:rPr>
              <w:t>Wald test of exogeneity</w:t>
            </w:r>
          </w:p>
        </w:tc>
        <w:tc>
          <w:tcPr>
            <w:tcW w:w="973" w:type="pct"/>
            <w:tcBorders>
              <w:top w:val="nil"/>
              <w:left w:val="nil"/>
              <w:bottom w:val="nil"/>
              <w:right w:val="nil"/>
            </w:tcBorders>
          </w:tcPr>
          <w:p w14:paraId="35534FB2" w14:textId="4A1ACC9A" w:rsidR="00D23E39" w:rsidRPr="00FD0D8E" w:rsidRDefault="00D23E39" w:rsidP="00C74EB6">
            <w:pPr>
              <w:autoSpaceDE w:val="0"/>
              <w:autoSpaceDN w:val="0"/>
              <w:adjustRightInd w:val="0"/>
              <w:jc w:val="center"/>
              <w:rPr>
                <w:kern w:val="0"/>
                <w:szCs w:val="21"/>
              </w:rPr>
            </w:pPr>
            <w:r w:rsidRPr="00FD0D8E">
              <w:rPr>
                <w:rFonts w:hint="eastAsia"/>
                <w:kern w:val="0"/>
                <w:szCs w:val="21"/>
              </w:rPr>
              <w:t>26.65***</w:t>
            </w:r>
          </w:p>
        </w:tc>
        <w:tc>
          <w:tcPr>
            <w:tcW w:w="1030" w:type="pct"/>
            <w:tcBorders>
              <w:top w:val="nil"/>
              <w:left w:val="nil"/>
              <w:bottom w:val="nil"/>
              <w:right w:val="nil"/>
            </w:tcBorders>
          </w:tcPr>
          <w:p w14:paraId="58252C2A" w14:textId="77777777" w:rsidR="00D23E39" w:rsidRPr="00FD0D8E" w:rsidRDefault="00D23E39" w:rsidP="00C74EB6">
            <w:pPr>
              <w:autoSpaceDE w:val="0"/>
              <w:autoSpaceDN w:val="0"/>
              <w:adjustRightInd w:val="0"/>
              <w:jc w:val="center"/>
              <w:rPr>
                <w:kern w:val="0"/>
                <w:szCs w:val="21"/>
              </w:rPr>
            </w:pPr>
          </w:p>
        </w:tc>
        <w:tc>
          <w:tcPr>
            <w:tcW w:w="1030" w:type="pct"/>
            <w:tcBorders>
              <w:top w:val="nil"/>
              <w:left w:val="nil"/>
              <w:bottom w:val="nil"/>
              <w:right w:val="nil"/>
            </w:tcBorders>
          </w:tcPr>
          <w:p w14:paraId="251C328F" w14:textId="42BA7BFB" w:rsidR="00D23E39" w:rsidRPr="00FD0D8E" w:rsidRDefault="00D23E39" w:rsidP="00C74EB6">
            <w:pPr>
              <w:autoSpaceDE w:val="0"/>
              <w:autoSpaceDN w:val="0"/>
              <w:adjustRightInd w:val="0"/>
              <w:jc w:val="center"/>
              <w:rPr>
                <w:kern w:val="0"/>
                <w:szCs w:val="21"/>
              </w:rPr>
            </w:pPr>
            <w:r w:rsidRPr="00FD0D8E">
              <w:rPr>
                <w:rFonts w:hint="eastAsia"/>
                <w:kern w:val="0"/>
                <w:szCs w:val="21"/>
              </w:rPr>
              <w:t>31.4***</w:t>
            </w:r>
          </w:p>
        </w:tc>
        <w:tc>
          <w:tcPr>
            <w:tcW w:w="1028" w:type="pct"/>
            <w:tcBorders>
              <w:top w:val="nil"/>
              <w:left w:val="nil"/>
              <w:bottom w:val="nil"/>
              <w:right w:val="nil"/>
            </w:tcBorders>
          </w:tcPr>
          <w:p w14:paraId="45CC4F9F" w14:textId="77777777" w:rsidR="00D23E39" w:rsidRPr="00FD0D8E" w:rsidRDefault="00D23E39" w:rsidP="00C74EB6">
            <w:pPr>
              <w:autoSpaceDE w:val="0"/>
              <w:autoSpaceDN w:val="0"/>
              <w:adjustRightInd w:val="0"/>
              <w:jc w:val="center"/>
              <w:rPr>
                <w:kern w:val="0"/>
                <w:szCs w:val="21"/>
              </w:rPr>
            </w:pPr>
          </w:p>
        </w:tc>
      </w:tr>
      <w:tr w:rsidR="00D23E39" w:rsidRPr="00FD0D8E" w14:paraId="35E6D40B" w14:textId="77777777" w:rsidTr="006B1109">
        <w:tc>
          <w:tcPr>
            <w:tcW w:w="939" w:type="pct"/>
            <w:tcBorders>
              <w:top w:val="nil"/>
              <w:left w:val="nil"/>
              <w:bottom w:val="single" w:sz="4" w:space="0" w:color="auto"/>
              <w:right w:val="nil"/>
            </w:tcBorders>
            <w:vAlign w:val="center"/>
          </w:tcPr>
          <w:p w14:paraId="7DA56854" w14:textId="77777777" w:rsidR="00D23E39" w:rsidRPr="00FD0D8E" w:rsidRDefault="00D23E39" w:rsidP="00C74EB6">
            <w:pPr>
              <w:autoSpaceDE w:val="0"/>
              <w:autoSpaceDN w:val="0"/>
              <w:adjustRightInd w:val="0"/>
              <w:rPr>
                <w:kern w:val="0"/>
                <w:szCs w:val="21"/>
              </w:rPr>
            </w:pPr>
            <w:proofErr w:type="gramStart"/>
            <w:r w:rsidRPr="00FD0D8E">
              <w:rPr>
                <w:rFonts w:hint="eastAsia"/>
                <w:kern w:val="0"/>
                <w:szCs w:val="21"/>
              </w:rPr>
              <w:t>弱工具</w:t>
            </w:r>
            <w:proofErr w:type="gramEnd"/>
            <w:r w:rsidRPr="00FD0D8E">
              <w:rPr>
                <w:rFonts w:hint="eastAsia"/>
                <w:kern w:val="0"/>
                <w:szCs w:val="21"/>
              </w:rPr>
              <w:t>变量检验</w:t>
            </w:r>
            <w:r w:rsidRPr="00FD0D8E">
              <w:rPr>
                <w:rFonts w:hint="eastAsia"/>
                <w:kern w:val="0"/>
                <w:szCs w:val="21"/>
              </w:rPr>
              <w:t>Wald</w:t>
            </w:r>
            <w:r w:rsidRPr="00FD0D8E">
              <w:rPr>
                <w:rFonts w:hint="eastAsia"/>
                <w:kern w:val="0"/>
                <w:szCs w:val="21"/>
              </w:rPr>
              <w:t>值</w:t>
            </w:r>
          </w:p>
        </w:tc>
        <w:tc>
          <w:tcPr>
            <w:tcW w:w="973" w:type="pct"/>
            <w:tcBorders>
              <w:top w:val="nil"/>
              <w:left w:val="nil"/>
              <w:bottom w:val="single" w:sz="4" w:space="0" w:color="auto"/>
              <w:right w:val="nil"/>
            </w:tcBorders>
          </w:tcPr>
          <w:p w14:paraId="4DA06815" w14:textId="394FF33D" w:rsidR="00D23E39" w:rsidRPr="00FD0D8E" w:rsidRDefault="00D23E39" w:rsidP="00C74EB6">
            <w:pPr>
              <w:autoSpaceDE w:val="0"/>
              <w:autoSpaceDN w:val="0"/>
              <w:adjustRightInd w:val="0"/>
              <w:jc w:val="center"/>
              <w:rPr>
                <w:kern w:val="0"/>
                <w:szCs w:val="21"/>
              </w:rPr>
            </w:pPr>
            <w:r w:rsidRPr="00FD0D8E">
              <w:rPr>
                <w:rFonts w:hint="eastAsia"/>
                <w:kern w:val="0"/>
                <w:szCs w:val="21"/>
              </w:rPr>
              <w:t>225.25***</w:t>
            </w:r>
          </w:p>
        </w:tc>
        <w:tc>
          <w:tcPr>
            <w:tcW w:w="1030" w:type="pct"/>
            <w:tcBorders>
              <w:top w:val="nil"/>
              <w:left w:val="nil"/>
              <w:bottom w:val="single" w:sz="4" w:space="0" w:color="auto"/>
              <w:right w:val="nil"/>
            </w:tcBorders>
          </w:tcPr>
          <w:p w14:paraId="1DC5DA5A" w14:textId="77777777" w:rsidR="00D23E39" w:rsidRPr="00FD0D8E" w:rsidRDefault="00D23E39" w:rsidP="00C74EB6">
            <w:pPr>
              <w:autoSpaceDE w:val="0"/>
              <w:autoSpaceDN w:val="0"/>
              <w:adjustRightInd w:val="0"/>
              <w:jc w:val="center"/>
              <w:rPr>
                <w:kern w:val="0"/>
                <w:szCs w:val="21"/>
              </w:rPr>
            </w:pPr>
          </w:p>
        </w:tc>
        <w:tc>
          <w:tcPr>
            <w:tcW w:w="1030" w:type="pct"/>
            <w:tcBorders>
              <w:top w:val="nil"/>
              <w:left w:val="nil"/>
              <w:bottom w:val="single" w:sz="4" w:space="0" w:color="auto"/>
              <w:right w:val="nil"/>
            </w:tcBorders>
          </w:tcPr>
          <w:p w14:paraId="4A5677AD" w14:textId="1A9BA98B" w:rsidR="00D23E39" w:rsidRPr="00FD0D8E" w:rsidRDefault="00D23E39" w:rsidP="00C74EB6">
            <w:pPr>
              <w:autoSpaceDE w:val="0"/>
              <w:autoSpaceDN w:val="0"/>
              <w:adjustRightInd w:val="0"/>
              <w:jc w:val="center"/>
              <w:rPr>
                <w:kern w:val="0"/>
                <w:szCs w:val="21"/>
              </w:rPr>
            </w:pPr>
            <w:r w:rsidRPr="00FD0D8E">
              <w:rPr>
                <w:rFonts w:hint="eastAsia"/>
                <w:kern w:val="0"/>
                <w:szCs w:val="21"/>
              </w:rPr>
              <w:t>282.67***</w:t>
            </w:r>
          </w:p>
        </w:tc>
        <w:tc>
          <w:tcPr>
            <w:tcW w:w="1028" w:type="pct"/>
            <w:tcBorders>
              <w:top w:val="nil"/>
              <w:left w:val="nil"/>
              <w:bottom w:val="single" w:sz="4" w:space="0" w:color="auto"/>
              <w:right w:val="nil"/>
            </w:tcBorders>
          </w:tcPr>
          <w:p w14:paraId="7239FE89" w14:textId="77777777" w:rsidR="00D23E39" w:rsidRPr="00FD0D8E" w:rsidRDefault="00D23E39" w:rsidP="00C74EB6">
            <w:pPr>
              <w:autoSpaceDE w:val="0"/>
              <w:autoSpaceDN w:val="0"/>
              <w:adjustRightInd w:val="0"/>
              <w:jc w:val="center"/>
              <w:rPr>
                <w:kern w:val="0"/>
                <w:szCs w:val="21"/>
              </w:rPr>
            </w:pPr>
          </w:p>
        </w:tc>
      </w:tr>
    </w:tbl>
    <w:p w14:paraId="46AC9AFF" w14:textId="21EDB6C5" w:rsidR="00086241" w:rsidRDefault="004347C6" w:rsidP="001F35F2">
      <w:pPr>
        <w:autoSpaceDE w:val="0"/>
        <w:autoSpaceDN w:val="0"/>
        <w:adjustRightInd w:val="0"/>
        <w:ind w:firstLine="360"/>
        <w:rPr>
          <w:kern w:val="0"/>
          <w:sz w:val="18"/>
          <w:szCs w:val="18"/>
        </w:rPr>
      </w:pPr>
      <w:r w:rsidRPr="00086241">
        <w:rPr>
          <w:rFonts w:hint="eastAsia"/>
          <w:kern w:val="0"/>
          <w:sz w:val="18"/>
          <w:szCs w:val="18"/>
        </w:rPr>
        <w:t>注：表内列（</w:t>
      </w:r>
      <w:r w:rsidRPr="00086241">
        <w:rPr>
          <w:rFonts w:hint="eastAsia"/>
          <w:kern w:val="0"/>
          <w:sz w:val="18"/>
          <w:szCs w:val="18"/>
        </w:rPr>
        <w:t>2</w:t>
      </w:r>
      <w:r w:rsidRPr="00086241">
        <w:rPr>
          <w:rFonts w:hint="eastAsia"/>
          <w:kern w:val="0"/>
          <w:sz w:val="18"/>
          <w:szCs w:val="18"/>
        </w:rPr>
        <w:t>）、列（</w:t>
      </w:r>
      <w:r w:rsidRPr="00086241">
        <w:rPr>
          <w:rFonts w:hint="eastAsia"/>
          <w:kern w:val="0"/>
          <w:sz w:val="18"/>
          <w:szCs w:val="18"/>
        </w:rPr>
        <w:t>4</w:t>
      </w:r>
      <w:r w:rsidRPr="00086241">
        <w:rPr>
          <w:rFonts w:hint="eastAsia"/>
          <w:kern w:val="0"/>
          <w:sz w:val="18"/>
          <w:szCs w:val="18"/>
        </w:rPr>
        <w:t>）报告的是估计结果的边际效应；括号内代表聚类稳健标准误；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p>
    <w:p w14:paraId="5906FC26" w14:textId="77777777" w:rsidR="00687289" w:rsidRDefault="00687289" w:rsidP="001F35F2">
      <w:pPr>
        <w:autoSpaceDE w:val="0"/>
        <w:autoSpaceDN w:val="0"/>
        <w:adjustRightInd w:val="0"/>
        <w:ind w:firstLine="360"/>
        <w:rPr>
          <w:kern w:val="0"/>
          <w:sz w:val="18"/>
          <w:szCs w:val="18"/>
        </w:rPr>
      </w:pPr>
    </w:p>
    <w:p w14:paraId="42711154" w14:textId="77777777" w:rsidR="00687289" w:rsidRPr="001F35F2" w:rsidRDefault="00687289" w:rsidP="00B92969">
      <w:pPr>
        <w:autoSpaceDE w:val="0"/>
        <w:autoSpaceDN w:val="0"/>
        <w:adjustRightInd w:val="0"/>
        <w:rPr>
          <w:kern w:val="0"/>
          <w:sz w:val="18"/>
          <w:szCs w:val="18"/>
        </w:rPr>
      </w:pPr>
    </w:p>
    <w:p w14:paraId="638D651E" w14:textId="5DB4387D" w:rsidR="00086241" w:rsidRPr="00C74EB6" w:rsidRDefault="002A3505" w:rsidP="00C74EB6">
      <w:pPr>
        <w:pStyle w:val="3"/>
      </w:pPr>
      <w:bookmarkStart w:id="109" w:name="_Toc191420754"/>
      <w:bookmarkStart w:id="110" w:name="_Toc191574124"/>
      <w:bookmarkStart w:id="111" w:name="_Toc198286995"/>
      <w:r w:rsidRPr="00C74EB6">
        <w:rPr>
          <w:rFonts w:hint="eastAsia"/>
        </w:rPr>
        <w:lastRenderedPageBreak/>
        <w:t>Heckman</w:t>
      </w:r>
      <w:r w:rsidRPr="00C74EB6">
        <w:rPr>
          <w:rFonts w:hint="eastAsia"/>
        </w:rPr>
        <w:t>二阶段和</w:t>
      </w:r>
      <w:r w:rsidRPr="00C74EB6">
        <w:rPr>
          <w:rFonts w:hint="eastAsia"/>
        </w:rPr>
        <w:t>PSM</w:t>
      </w:r>
      <w:r w:rsidRPr="00C74EB6">
        <w:rPr>
          <w:rFonts w:hint="eastAsia"/>
        </w:rPr>
        <w:t>法</w:t>
      </w:r>
      <w:bookmarkEnd w:id="109"/>
      <w:bookmarkEnd w:id="110"/>
      <w:bookmarkEnd w:id="111"/>
    </w:p>
    <w:p w14:paraId="6953F771" w14:textId="100ED602" w:rsidR="004347C6" w:rsidRPr="00C74EB6" w:rsidRDefault="004347C6" w:rsidP="004347C6">
      <w:pPr>
        <w:spacing w:line="360" w:lineRule="auto"/>
        <w:ind w:firstLineChars="200" w:firstLine="480"/>
        <w:rPr>
          <w:sz w:val="24"/>
        </w:rPr>
      </w:pPr>
      <w:r w:rsidRPr="00C74EB6">
        <w:rPr>
          <w:rFonts w:hint="eastAsia"/>
          <w:sz w:val="24"/>
        </w:rPr>
        <w:t>研究可能存在</w:t>
      </w:r>
      <w:proofErr w:type="gramStart"/>
      <w:r w:rsidRPr="00C74EB6">
        <w:rPr>
          <w:rFonts w:hint="eastAsia"/>
          <w:sz w:val="24"/>
        </w:rPr>
        <w:t>自选择</w:t>
      </w:r>
      <w:proofErr w:type="gramEnd"/>
      <w:r w:rsidRPr="00C74EB6">
        <w:rPr>
          <w:rFonts w:hint="eastAsia"/>
          <w:sz w:val="24"/>
        </w:rPr>
        <w:t>偏误的问题，例如</w:t>
      </w:r>
      <w:r w:rsidR="00597A49" w:rsidRPr="00C74EB6">
        <w:rPr>
          <w:rFonts w:hint="eastAsia"/>
          <w:sz w:val="24"/>
        </w:rPr>
        <w:t>，只有</w:t>
      </w:r>
      <w:proofErr w:type="gramStart"/>
      <w:r w:rsidR="002A3505" w:rsidRPr="00C74EB6">
        <w:rPr>
          <w:rFonts w:hint="eastAsia"/>
          <w:sz w:val="24"/>
        </w:rPr>
        <w:t>高</w:t>
      </w:r>
      <w:r w:rsidRPr="00C74EB6">
        <w:rPr>
          <w:rFonts w:hint="eastAsia"/>
          <w:sz w:val="24"/>
        </w:rPr>
        <w:t>组织</w:t>
      </w:r>
      <w:proofErr w:type="gramEnd"/>
      <w:r w:rsidRPr="00C74EB6">
        <w:rPr>
          <w:rFonts w:hint="eastAsia"/>
          <w:sz w:val="24"/>
        </w:rPr>
        <w:t>资本的公司才会考虑购买保险，使得样本不是随机的。这可能是因为公司出于自身风险状况的考虑而配置保险</w:t>
      </w:r>
      <w:r w:rsidR="00C95A25">
        <w:rPr>
          <w:rFonts w:hint="eastAsia"/>
          <w:sz w:val="24"/>
        </w:rPr>
        <w:t>：</w:t>
      </w:r>
      <w:r w:rsidRPr="00C74EB6">
        <w:rPr>
          <w:rFonts w:hint="eastAsia"/>
          <w:sz w:val="24"/>
        </w:rPr>
        <w:t>在同行业、同年份、同盈利能力等条件下，</w:t>
      </w:r>
      <w:proofErr w:type="gramStart"/>
      <w:r w:rsidR="002A3505" w:rsidRPr="00C74EB6">
        <w:rPr>
          <w:rFonts w:hint="eastAsia"/>
          <w:sz w:val="24"/>
        </w:rPr>
        <w:t>高</w:t>
      </w:r>
      <w:r w:rsidRPr="00C74EB6">
        <w:rPr>
          <w:rFonts w:hint="eastAsia"/>
          <w:sz w:val="24"/>
        </w:rPr>
        <w:t>组织</w:t>
      </w:r>
      <w:proofErr w:type="gramEnd"/>
      <w:r w:rsidRPr="00C74EB6">
        <w:rPr>
          <w:rFonts w:hint="eastAsia"/>
          <w:sz w:val="24"/>
        </w:rPr>
        <w:t>资本</w:t>
      </w:r>
      <w:r w:rsidR="002A3505" w:rsidRPr="00C74EB6">
        <w:rPr>
          <w:rFonts w:hint="eastAsia"/>
          <w:sz w:val="24"/>
        </w:rPr>
        <w:t>的公司往往需要更加丰富的实践、更大力地投入研发和营销，与更广泛的利益相关者建立更深度的联结，面临的不确定性大，公司</w:t>
      </w:r>
      <w:r w:rsidRPr="00C74EB6">
        <w:rPr>
          <w:rFonts w:hint="eastAsia"/>
          <w:sz w:val="24"/>
        </w:rPr>
        <w:t>主动选择购买董</w:t>
      </w:r>
      <w:proofErr w:type="gramStart"/>
      <w:r w:rsidRPr="00C74EB6">
        <w:rPr>
          <w:rFonts w:hint="eastAsia"/>
          <w:sz w:val="24"/>
        </w:rPr>
        <w:t>监高责任险来</w:t>
      </w:r>
      <w:proofErr w:type="gramEnd"/>
      <w:r w:rsidRPr="00C74EB6">
        <w:rPr>
          <w:rFonts w:hint="eastAsia"/>
          <w:sz w:val="24"/>
        </w:rPr>
        <w:t>转移潜在的经济赔偿责任。</w:t>
      </w:r>
    </w:p>
    <w:p w14:paraId="1FF442B4" w14:textId="5B3CAAD7" w:rsidR="002A3505" w:rsidRPr="00C74EB6" w:rsidRDefault="002A3505" w:rsidP="002A3505">
      <w:pPr>
        <w:spacing w:line="360" w:lineRule="auto"/>
        <w:ind w:firstLineChars="200" w:firstLine="480"/>
        <w:rPr>
          <w:sz w:val="24"/>
        </w:rPr>
      </w:pPr>
      <w:r w:rsidRPr="00C74EB6">
        <w:rPr>
          <w:rFonts w:hint="eastAsia"/>
          <w:sz w:val="24"/>
        </w:rPr>
        <w:t>先使用</w:t>
      </w:r>
      <w:r w:rsidRPr="00C74EB6">
        <w:rPr>
          <w:rFonts w:hint="eastAsia"/>
          <w:sz w:val="24"/>
        </w:rPr>
        <w:t>Heckman</w:t>
      </w:r>
      <w:r w:rsidRPr="00C74EB6">
        <w:rPr>
          <w:rFonts w:hint="eastAsia"/>
          <w:sz w:val="24"/>
        </w:rPr>
        <w:t>二阶段方法。</w:t>
      </w:r>
      <w:r w:rsidRPr="00C74EB6">
        <w:rPr>
          <w:rFonts w:hint="eastAsia"/>
          <w:sz w:val="24"/>
        </w:rPr>
        <w:t>Heckman</w:t>
      </w:r>
      <w:r w:rsidRPr="00C74EB6">
        <w:rPr>
          <w:rFonts w:hint="eastAsia"/>
          <w:sz w:val="24"/>
        </w:rPr>
        <w:t>的估计需要额外的外生变量，即变量与组织资本有关，但与保险覆盖的可能性无关。</w:t>
      </w:r>
      <w:r w:rsidR="00F91CAD" w:rsidRPr="00C74EB6">
        <w:rPr>
          <w:rFonts w:hint="eastAsia"/>
          <w:sz w:val="24"/>
        </w:rPr>
        <w:t>结合上文分析，</w:t>
      </w:r>
      <w:r w:rsidRPr="00C74EB6">
        <w:rPr>
          <w:rFonts w:hint="eastAsia"/>
          <w:sz w:val="24"/>
        </w:rPr>
        <w:t>本文选择排除掉公司本身的行业组织资本中位数（</w:t>
      </w:r>
      <w:proofErr w:type="spellStart"/>
      <w:r w:rsidR="003523D8" w:rsidRPr="00C74EB6">
        <w:rPr>
          <w:rFonts w:hint="eastAsia"/>
          <w:sz w:val="24"/>
        </w:rPr>
        <w:t>OC_median</w:t>
      </w:r>
      <w:proofErr w:type="spellEnd"/>
      <w:r w:rsidRPr="00C74EB6">
        <w:rPr>
          <w:rFonts w:hint="eastAsia"/>
          <w:sz w:val="24"/>
        </w:rPr>
        <w:t>）作为工具变量。</w:t>
      </w:r>
    </w:p>
    <w:p w14:paraId="78AFC2D0" w14:textId="2ED9B884" w:rsidR="002A3505" w:rsidRPr="00C74EB6" w:rsidRDefault="002A3505" w:rsidP="002A3505">
      <w:pPr>
        <w:spacing w:line="360" w:lineRule="auto"/>
        <w:ind w:firstLineChars="200" w:firstLine="480"/>
        <w:rPr>
          <w:sz w:val="24"/>
        </w:rPr>
      </w:pPr>
      <w:r w:rsidRPr="00C74EB6">
        <w:rPr>
          <w:rFonts w:hint="eastAsia"/>
          <w:sz w:val="24"/>
        </w:rPr>
        <w:t>按照不同年份将公司分为组织资本高低两组，定义组织资本高（</w:t>
      </w:r>
      <w:proofErr w:type="spellStart"/>
      <w:r w:rsidR="00D9560C" w:rsidRPr="00C74EB6">
        <w:rPr>
          <w:kern w:val="0"/>
          <w:sz w:val="24"/>
          <w:szCs w:val="21"/>
        </w:rPr>
        <w:t>OC</w:t>
      </w:r>
      <w:r w:rsidR="00661998" w:rsidRPr="00C74EB6">
        <w:rPr>
          <w:kern w:val="0"/>
          <w:sz w:val="24"/>
          <w:szCs w:val="21"/>
        </w:rPr>
        <w:t>group</w:t>
      </w:r>
      <w:proofErr w:type="spellEnd"/>
      <w:r w:rsidRPr="00C74EB6">
        <w:rPr>
          <w:rFonts w:hint="eastAsia"/>
          <w:sz w:val="24"/>
        </w:rPr>
        <w:t xml:space="preserve"> = 1</w:t>
      </w:r>
      <w:r w:rsidRPr="00C74EB6">
        <w:rPr>
          <w:rFonts w:hint="eastAsia"/>
          <w:sz w:val="24"/>
        </w:rPr>
        <w:t>）和组织资本低（</w:t>
      </w:r>
      <w:proofErr w:type="spellStart"/>
      <w:r w:rsidR="00D9560C" w:rsidRPr="00C74EB6">
        <w:rPr>
          <w:kern w:val="0"/>
          <w:sz w:val="24"/>
          <w:szCs w:val="21"/>
        </w:rPr>
        <w:t>OC</w:t>
      </w:r>
      <w:r w:rsidR="00661998" w:rsidRPr="00C74EB6">
        <w:rPr>
          <w:kern w:val="0"/>
          <w:sz w:val="24"/>
          <w:szCs w:val="21"/>
        </w:rPr>
        <w:t>group</w:t>
      </w:r>
      <w:proofErr w:type="spellEnd"/>
      <w:r w:rsidRPr="00C74EB6">
        <w:rPr>
          <w:rFonts w:hint="eastAsia"/>
          <w:sz w:val="24"/>
        </w:rPr>
        <w:t xml:space="preserve"> = 0</w:t>
      </w:r>
      <w:r w:rsidRPr="00C74EB6">
        <w:rPr>
          <w:rFonts w:hint="eastAsia"/>
          <w:sz w:val="24"/>
        </w:rPr>
        <w:t>）的两组公司，</w:t>
      </w:r>
      <w:r w:rsidR="00C95A25">
        <w:rPr>
          <w:rFonts w:hint="eastAsia"/>
          <w:sz w:val="24"/>
        </w:rPr>
        <w:t>这</w:t>
      </w:r>
      <w:r w:rsidRPr="00C74EB6">
        <w:rPr>
          <w:rFonts w:hint="eastAsia"/>
          <w:sz w:val="24"/>
        </w:rPr>
        <w:t>相当于对样本选择过程的一种模拟。在第一阶段回归时，将</w:t>
      </w:r>
      <w:proofErr w:type="spellStart"/>
      <w:r w:rsidR="00D9560C" w:rsidRPr="00C74EB6">
        <w:rPr>
          <w:kern w:val="0"/>
          <w:sz w:val="24"/>
          <w:szCs w:val="21"/>
        </w:rPr>
        <w:t>OC</w:t>
      </w:r>
      <w:r w:rsidR="00661998" w:rsidRPr="00C74EB6">
        <w:rPr>
          <w:kern w:val="0"/>
          <w:sz w:val="24"/>
          <w:szCs w:val="21"/>
        </w:rPr>
        <w:t>group</w:t>
      </w:r>
      <w:proofErr w:type="spellEnd"/>
      <w:r w:rsidRPr="00C74EB6">
        <w:rPr>
          <w:rFonts w:hint="eastAsia"/>
          <w:sz w:val="24"/>
        </w:rPr>
        <w:t>对工具变量（</w:t>
      </w:r>
      <w:r w:rsidR="00661998" w:rsidRPr="00C74EB6">
        <w:rPr>
          <w:rFonts w:hint="eastAsia"/>
          <w:sz w:val="24"/>
        </w:rPr>
        <w:t>排除公司的</w:t>
      </w:r>
      <w:r w:rsidRPr="00C74EB6">
        <w:rPr>
          <w:rFonts w:hint="eastAsia"/>
          <w:sz w:val="24"/>
        </w:rPr>
        <w:t>行业</w:t>
      </w:r>
      <w:r w:rsidR="00661998" w:rsidRPr="00C74EB6">
        <w:rPr>
          <w:rFonts w:hint="eastAsia"/>
          <w:sz w:val="24"/>
        </w:rPr>
        <w:t>OC</w:t>
      </w:r>
      <w:r w:rsidRPr="00C74EB6">
        <w:rPr>
          <w:rFonts w:hint="eastAsia"/>
          <w:sz w:val="24"/>
        </w:rPr>
        <w:t>中位数）、所有控制变量回归，并纳入固定效应，</w:t>
      </w:r>
      <w:proofErr w:type="gramStart"/>
      <w:r w:rsidRPr="00C74EB6">
        <w:rPr>
          <w:rFonts w:hint="eastAsia"/>
          <w:sz w:val="24"/>
        </w:rPr>
        <w:t>以估计</w:t>
      </w:r>
      <w:proofErr w:type="gramEnd"/>
      <w:r w:rsidRPr="00C74EB6">
        <w:rPr>
          <w:rFonts w:hint="eastAsia"/>
          <w:sz w:val="24"/>
        </w:rPr>
        <w:t>公司属于</w:t>
      </w:r>
      <w:proofErr w:type="gramStart"/>
      <w:r w:rsidRPr="00C74EB6">
        <w:rPr>
          <w:rFonts w:hint="eastAsia"/>
          <w:sz w:val="24"/>
        </w:rPr>
        <w:t>高组织</w:t>
      </w:r>
      <w:proofErr w:type="gramEnd"/>
      <w:r w:rsidRPr="00C74EB6">
        <w:rPr>
          <w:rFonts w:hint="eastAsia"/>
          <w:sz w:val="24"/>
        </w:rPr>
        <w:t>资本组的概率，进而计算</w:t>
      </w:r>
      <w:proofErr w:type="gramStart"/>
      <w:r w:rsidRPr="00C74EB6">
        <w:rPr>
          <w:rFonts w:hint="eastAsia"/>
          <w:sz w:val="24"/>
        </w:rPr>
        <w:t>出逆米尔</w:t>
      </w:r>
      <w:proofErr w:type="gramEnd"/>
      <w:r w:rsidRPr="00C74EB6">
        <w:rPr>
          <w:rFonts w:hint="eastAsia"/>
          <w:sz w:val="24"/>
        </w:rPr>
        <w:t>斯比率（</w:t>
      </w:r>
      <w:proofErr w:type="spellStart"/>
      <w:r w:rsidRPr="00C74EB6">
        <w:rPr>
          <w:rFonts w:hint="eastAsia"/>
          <w:sz w:val="24"/>
        </w:rPr>
        <w:t>imr</w:t>
      </w:r>
      <w:proofErr w:type="spellEnd"/>
      <w:r w:rsidRPr="00C74EB6">
        <w:rPr>
          <w:rFonts w:hint="eastAsia"/>
          <w:sz w:val="24"/>
        </w:rPr>
        <w:t>），</w:t>
      </w:r>
      <w:r w:rsidR="00F91CAD" w:rsidRPr="00C74EB6">
        <w:rPr>
          <w:rFonts w:hint="eastAsia"/>
          <w:sz w:val="24"/>
        </w:rPr>
        <w:t>以涵盖</w:t>
      </w:r>
      <w:r w:rsidRPr="00C74EB6">
        <w:rPr>
          <w:rFonts w:hint="eastAsia"/>
          <w:sz w:val="24"/>
        </w:rPr>
        <w:t>样本选择过程的信息。</w:t>
      </w:r>
    </w:p>
    <w:p w14:paraId="2950E880" w14:textId="6157DD31" w:rsidR="002A3505" w:rsidRPr="00C74EB6" w:rsidRDefault="002A3505" w:rsidP="00661998">
      <w:pPr>
        <w:spacing w:line="360" w:lineRule="auto"/>
        <w:ind w:firstLineChars="200" w:firstLine="480"/>
        <w:rPr>
          <w:sz w:val="24"/>
        </w:rPr>
      </w:pPr>
      <w:r w:rsidRPr="00C74EB6">
        <w:rPr>
          <w:rFonts w:hint="eastAsia"/>
          <w:sz w:val="24"/>
        </w:rPr>
        <w:t>第二阶段</w:t>
      </w:r>
      <w:proofErr w:type="gramStart"/>
      <w:r w:rsidRPr="00C74EB6">
        <w:rPr>
          <w:rFonts w:hint="eastAsia"/>
          <w:sz w:val="24"/>
        </w:rPr>
        <w:t>将逆米尔</w:t>
      </w:r>
      <w:proofErr w:type="gramEnd"/>
      <w:r w:rsidRPr="00C74EB6">
        <w:rPr>
          <w:rFonts w:hint="eastAsia"/>
          <w:sz w:val="24"/>
        </w:rPr>
        <w:t>斯比率纳入</w:t>
      </w:r>
      <w:proofErr w:type="gramStart"/>
      <w:r w:rsidRPr="00C74EB6">
        <w:rPr>
          <w:rFonts w:hint="eastAsia"/>
          <w:sz w:val="24"/>
        </w:rPr>
        <w:t>主回归</w:t>
      </w:r>
      <w:proofErr w:type="gramEnd"/>
      <w:r w:rsidRPr="00C74EB6">
        <w:rPr>
          <w:rFonts w:hint="eastAsia"/>
          <w:sz w:val="24"/>
        </w:rPr>
        <w:t>中，同样控制固定效应。如</w:t>
      </w:r>
      <w:r w:rsidR="00601DA8">
        <w:rPr>
          <w:sz w:val="24"/>
        </w:rPr>
        <w:fldChar w:fldCharType="begin"/>
      </w:r>
      <w:r w:rsidR="00601DA8">
        <w:rPr>
          <w:sz w:val="24"/>
        </w:rPr>
        <w:instrText xml:space="preserve"> </w:instrText>
      </w:r>
      <w:r w:rsidR="00601DA8">
        <w:rPr>
          <w:rFonts w:hint="eastAsia"/>
          <w:sz w:val="24"/>
        </w:rPr>
        <w:instrText>REF _Ref191582121 \h</w:instrText>
      </w:r>
      <w:r w:rsidR="00601DA8">
        <w:rPr>
          <w:sz w:val="24"/>
        </w:rPr>
        <w:instrText xml:space="preserve">  \* MERGEFORMAT </w:instrText>
      </w:r>
      <w:r w:rsidR="00601DA8">
        <w:rPr>
          <w:sz w:val="24"/>
        </w:rPr>
      </w:r>
      <w:r w:rsidR="00601DA8">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5</w:t>
      </w:r>
      <w:r w:rsidR="00601DA8">
        <w:rPr>
          <w:sz w:val="24"/>
        </w:rPr>
        <w:fldChar w:fldCharType="end"/>
      </w:r>
      <w:r w:rsidRPr="00C74EB6">
        <w:rPr>
          <w:rFonts w:hint="eastAsia"/>
          <w:sz w:val="24"/>
        </w:rPr>
        <w:t>列（</w:t>
      </w:r>
      <w:r w:rsidR="00661998" w:rsidRPr="00C74EB6">
        <w:rPr>
          <w:rFonts w:hint="eastAsia"/>
          <w:sz w:val="24"/>
        </w:rPr>
        <w:t>2</w:t>
      </w:r>
      <w:r w:rsidRPr="00C74EB6">
        <w:rPr>
          <w:rFonts w:hint="eastAsia"/>
          <w:sz w:val="24"/>
        </w:rPr>
        <w:t>）所示，在</w:t>
      </w:r>
      <w:proofErr w:type="gramStart"/>
      <w:r w:rsidR="003523D8" w:rsidRPr="00C74EB6">
        <w:rPr>
          <w:rFonts w:hint="eastAsia"/>
          <w:sz w:val="24"/>
        </w:rPr>
        <w:t>高</w:t>
      </w:r>
      <w:r w:rsidRPr="00C74EB6">
        <w:rPr>
          <w:rFonts w:hint="eastAsia"/>
          <w:sz w:val="24"/>
        </w:rPr>
        <w:t>组织</w:t>
      </w:r>
      <w:proofErr w:type="gramEnd"/>
      <w:r w:rsidRPr="00C74EB6">
        <w:rPr>
          <w:rFonts w:hint="eastAsia"/>
          <w:sz w:val="24"/>
        </w:rPr>
        <w:t>资本组中回归并</w:t>
      </w:r>
      <w:proofErr w:type="gramStart"/>
      <w:r w:rsidRPr="00C74EB6">
        <w:rPr>
          <w:rFonts w:hint="eastAsia"/>
          <w:sz w:val="24"/>
        </w:rPr>
        <w:t>纳入逆米尔</w:t>
      </w:r>
      <w:proofErr w:type="gramEnd"/>
      <w:r w:rsidRPr="00C74EB6">
        <w:rPr>
          <w:rFonts w:hint="eastAsia"/>
          <w:sz w:val="24"/>
        </w:rPr>
        <w:t>斯比率，</w:t>
      </w:r>
      <w:proofErr w:type="gramStart"/>
      <w:r w:rsidRPr="00C74EB6">
        <w:rPr>
          <w:rFonts w:hint="eastAsia"/>
          <w:sz w:val="24"/>
        </w:rPr>
        <w:t>发现逆米尔</w:t>
      </w:r>
      <w:proofErr w:type="gramEnd"/>
      <w:r w:rsidRPr="00C74EB6">
        <w:rPr>
          <w:rFonts w:hint="eastAsia"/>
          <w:sz w:val="24"/>
        </w:rPr>
        <w:t>斯比率显著，说明样本存在自选则偏误问题。在</w:t>
      </w:r>
      <w:r w:rsidRPr="00C74EB6">
        <w:rPr>
          <w:rFonts w:hint="eastAsia"/>
          <w:sz w:val="24"/>
        </w:rPr>
        <w:t>Heckman</w:t>
      </w:r>
      <w:r w:rsidRPr="00C74EB6">
        <w:rPr>
          <w:rFonts w:hint="eastAsia"/>
          <w:sz w:val="24"/>
        </w:rPr>
        <w:t>二阶段处理后，组织资本对董</w:t>
      </w:r>
      <w:proofErr w:type="gramStart"/>
      <w:r w:rsidRPr="00C74EB6">
        <w:rPr>
          <w:rFonts w:hint="eastAsia"/>
          <w:sz w:val="24"/>
        </w:rPr>
        <w:t>监高责任</w:t>
      </w:r>
      <w:proofErr w:type="gramEnd"/>
      <w:r w:rsidRPr="00C74EB6">
        <w:rPr>
          <w:rFonts w:hint="eastAsia"/>
          <w:sz w:val="24"/>
        </w:rPr>
        <w:t>险</w:t>
      </w:r>
      <w:r w:rsidR="00D473F8" w:rsidRPr="00C74EB6">
        <w:rPr>
          <w:rFonts w:hint="eastAsia"/>
          <w:sz w:val="24"/>
        </w:rPr>
        <w:t>投保意向</w:t>
      </w:r>
      <w:r w:rsidRPr="00C74EB6">
        <w:rPr>
          <w:rFonts w:hint="eastAsia"/>
          <w:sz w:val="24"/>
        </w:rPr>
        <w:t>的影响仍显著为</w:t>
      </w:r>
      <w:r w:rsidR="00A37415" w:rsidRPr="00C74EB6">
        <w:rPr>
          <w:rFonts w:hint="eastAsia"/>
          <w:sz w:val="24"/>
        </w:rPr>
        <w:t>正</w:t>
      </w:r>
      <w:r w:rsidRPr="00C74EB6">
        <w:rPr>
          <w:rFonts w:hint="eastAsia"/>
          <w:sz w:val="24"/>
        </w:rPr>
        <w:t>，边际效应为</w:t>
      </w:r>
      <w:r w:rsidR="00661998" w:rsidRPr="00C74EB6">
        <w:rPr>
          <w:rFonts w:hint="eastAsia"/>
          <w:sz w:val="24"/>
        </w:rPr>
        <w:t>12.9</w:t>
      </w:r>
      <w:r w:rsidRPr="00C74EB6">
        <w:rPr>
          <w:rFonts w:hint="eastAsia"/>
          <w:sz w:val="24"/>
        </w:rPr>
        <w:t>%</w:t>
      </w:r>
      <w:r w:rsidRPr="00C74EB6">
        <w:rPr>
          <w:rFonts w:hint="eastAsia"/>
          <w:sz w:val="24"/>
        </w:rPr>
        <w:t>，即组织资本每提升一个单位，公司</w:t>
      </w:r>
      <w:r w:rsidR="001F35F2" w:rsidRPr="00C74EB6">
        <w:rPr>
          <w:rFonts w:hint="eastAsia"/>
          <w:sz w:val="24"/>
        </w:rPr>
        <w:t>拟</w:t>
      </w:r>
      <w:r w:rsidR="00E30576" w:rsidRPr="00C74EB6">
        <w:rPr>
          <w:rFonts w:hint="eastAsia"/>
          <w:sz w:val="24"/>
        </w:rPr>
        <w:t>购买董</w:t>
      </w:r>
      <w:proofErr w:type="gramStart"/>
      <w:r w:rsidR="00E30576" w:rsidRPr="00C74EB6">
        <w:rPr>
          <w:rFonts w:hint="eastAsia"/>
          <w:sz w:val="24"/>
        </w:rPr>
        <w:t>监高责任</w:t>
      </w:r>
      <w:proofErr w:type="gramEnd"/>
      <w:r w:rsidR="00E30576" w:rsidRPr="00C74EB6">
        <w:rPr>
          <w:rFonts w:hint="eastAsia"/>
          <w:sz w:val="24"/>
        </w:rPr>
        <w:t>险</w:t>
      </w:r>
      <w:r w:rsidRPr="00C74EB6">
        <w:rPr>
          <w:rFonts w:hint="eastAsia"/>
          <w:sz w:val="24"/>
        </w:rPr>
        <w:t>的概率提升</w:t>
      </w:r>
      <w:r w:rsidR="00661998" w:rsidRPr="00C74EB6">
        <w:rPr>
          <w:rFonts w:hint="eastAsia"/>
          <w:sz w:val="24"/>
        </w:rPr>
        <w:t>约</w:t>
      </w:r>
      <w:r w:rsidR="00661998" w:rsidRPr="00C74EB6">
        <w:rPr>
          <w:rFonts w:hint="eastAsia"/>
          <w:sz w:val="24"/>
        </w:rPr>
        <w:t>13</w:t>
      </w:r>
      <w:r w:rsidRPr="00C74EB6">
        <w:rPr>
          <w:rFonts w:hint="eastAsia"/>
          <w:sz w:val="24"/>
        </w:rPr>
        <w:t>%</w:t>
      </w:r>
      <w:r w:rsidRPr="00C74EB6">
        <w:rPr>
          <w:rFonts w:hint="eastAsia"/>
          <w:sz w:val="24"/>
        </w:rPr>
        <w:t>。</w:t>
      </w:r>
    </w:p>
    <w:p w14:paraId="5548A276" w14:textId="7C6AEFAC" w:rsidR="004347C6" w:rsidRPr="00C74EB6" w:rsidRDefault="00661998" w:rsidP="004347C6">
      <w:pPr>
        <w:spacing w:line="360" w:lineRule="auto"/>
        <w:ind w:firstLineChars="200" w:firstLine="480"/>
        <w:rPr>
          <w:sz w:val="24"/>
        </w:rPr>
      </w:pPr>
      <w:r w:rsidRPr="00C74EB6">
        <w:rPr>
          <w:rFonts w:hint="eastAsia"/>
          <w:sz w:val="24"/>
        </w:rPr>
        <w:t>再</w:t>
      </w:r>
      <w:r w:rsidR="004347C6" w:rsidRPr="00C74EB6">
        <w:rPr>
          <w:rFonts w:hint="eastAsia"/>
          <w:sz w:val="24"/>
        </w:rPr>
        <w:t>使用</w:t>
      </w:r>
      <w:r w:rsidR="004347C6" w:rsidRPr="00C74EB6">
        <w:rPr>
          <w:rFonts w:hint="eastAsia"/>
          <w:sz w:val="24"/>
        </w:rPr>
        <w:t>PSM</w:t>
      </w:r>
      <w:r w:rsidR="004347C6" w:rsidRPr="00C74EB6">
        <w:rPr>
          <w:rFonts w:hint="eastAsia"/>
          <w:sz w:val="24"/>
        </w:rPr>
        <w:t>方法解决样本选择偏差导致的内生性问题。分年份和行业求得组织资本中位数并进行分组，组织资本高于中位数的企业被设为“处理组”，将剩余样本与处理组中的公司匹配，以</w:t>
      </w:r>
      <w:r w:rsidR="004347C6" w:rsidRPr="00C74EB6">
        <w:rPr>
          <w:rFonts w:hint="eastAsia"/>
          <w:sz w:val="24"/>
        </w:rPr>
        <w:t>1</w:t>
      </w:r>
      <w:r w:rsidR="004347C6" w:rsidRPr="00C74EB6">
        <w:rPr>
          <w:rFonts w:hint="eastAsia"/>
          <w:sz w:val="24"/>
        </w:rPr>
        <w:t>：</w:t>
      </w:r>
      <w:r w:rsidR="004347C6" w:rsidRPr="00C74EB6">
        <w:rPr>
          <w:rFonts w:hint="eastAsia"/>
          <w:sz w:val="24"/>
        </w:rPr>
        <w:t>1</w:t>
      </w:r>
      <w:r w:rsidR="004347C6" w:rsidRPr="00C74EB6">
        <w:rPr>
          <w:rFonts w:hint="eastAsia"/>
          <w:sz w:val="24"/>
        </w:rPr>
        <w:t>的最近邻比例作为对照组。根据</w:t>
      </w:r>
      <w:r w:rsidR="004347C6" w:rsidRPr="00C74EB6">
        <w:rPr>
          <w:rFonts w:hint="eastAsia"/>
          <w:sz w:val="24"/>
        </w:rPr>
        <w:t>Cui</w:t>
      </w:r>
      <w:r w:rsidR="004347C6" w:rsidRPr="00C74EB6">
        <w:rPr>
          <w:rFonts w:hint="eastAsia"/>
          <w:sz w:val="24"/>
        </w:rPr>
        <w:t>等（</w:t>
      </w:r>
      <w:r w:rsidR="004347C6" w:rsidRPr="00C74EB6">
        <w:rPr>
          <w:rFonts w:hint="eastAsia"/>
          <w:sz w:val="24"/>
        </w:rPr>
        <w:t>2021</w:t>
      </w:r>
      <w:r w:rsidR="004347C6" w:rsidRPr="00C74EB6">
        <w:rPr>
          <w:rFonts w:hint="eastAsia"/>
          <w:sz w:val="24"/>
        </w:rPr>
        <w:t>）的研究，本文选取</w:t>
      </w:r>
      <w:r w:rsidRPr="00C74EB6">
        <w:rPr>
          <w:rFonts w:hint="eastAsia"/>
          <w:sz w:val="24"/>
        </w:rPr>
        <w:t>是否交叉上市、四大审计、杠杆率、</w:t>
      </w:r>
      <w:r w:rsidRPr="00C74EB6">
        <w:rPr>
          <w:rFonts w:hint="eastAsia"/>
          <w:sz w:val="24"/>
        </w:rPr>
        <w:t>PB</w:t>
      </w:r>
      <w:r w:rsidRPr="00C74EB6">
        <w:rPr>
          <w:rFonts w:hint="eastAsia"/>
          <w:sz w:val="24"/>
        </w:rPr>
        <w:t>、</w:t>
      </w:r>
      <w:r w:rsidRPr="00C74EB6">
        <w:rPr>
          <w:rFonts w:hint="eastAsia"/>
          <w:sz w:val="24"/>
        </w:rPr>
        <w:t>ROA</w:t>
      </w:r>
      <w:r w:rsidRPr="00C74EB6">
        <w:rPr>
          <w:rFonts w:hint="eastAsia"/>
          <w:sz w:val="24"/>
        </w:rPr>
        <w:t>、企业规模、产权性质等</w:t>
      </w:r>
      <w:r w:rsidR="00C95A25">
        <w:rPr>
          <w:rFonts w:hint="eastAsia"/>
          <w:sz w:val="24"/>
        </w:rPr>
        <w:t>作为</w:t>
      </w:r>
      <w:r w:rsidR="004347C6" w:rsidRPr="00C74EB6">
        <w:rPr>
          <w:rFonts w:hint="eastAsia"/>
          <w:sz w:val="24"/>
        </w:rPr>
        <w:t>第一阶段的协变量；然后在组织资本高和组织资本低的公司之间进行匹配，使得处理组和对照组尽可能相似，进而减少样本选择偏差。据</w:t>
      </w:r>
      <w:r w:rsidR="00734874" w:rsidRPr="00C74EB6">
        <w:rPr>
          <w:sz w:val="24"/>
        </w:rPr>
        <w:fldChar w:fldCharType="begin"/>
      </w:r>
      <w:r w:rsidR="00734874" w:rsidRPr="00C74EB6">
        <w:rPr>
          <w:sz w:val="24"/>
        </w:rPr>
        <w:instrText xml:space="preserve"> </w:instrText>
      </w:r>
      <w:r w:rsidR="00734874" w:rsidRPr="00C74EB6">
        <w:rPr>
          <w:rFonts w:hint="eastAsia"/>
          <w:sz w:val="24"/>
        </w:rPr>
        <w:instrText>REF _Ref190768627 \h</w:instrText>
      </w:r>
      <w:r w:rsidR="00734874" w:rsidRPr="00C74EB6">
        <w:rPr>
          <w:sz w:val="24"/>
        </w:rPr>
        <w:instrText xml:space="preserve">  \* MERGEFORMAT </w:instrText>
      </w:r>
      <w:r w:rsidR="00734874" w:rsidRPr="00C74EB6">
        <w:rPr>
          <w:sz w:val="24"/>
        </w:rPr>
      </w:r>
      <w:r w:rsidR="00734874"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6</w:t>
      </w:r>
      <w:r w:rsidR="00734874" w:rsidRPr="00C74EB6">
        <w:rPr>
          <w:sz w:val="24"/>
        </w:rPr>
        <w:fldChar w:fldCharType="end"/>
      </w:r>
      <w:r w:rsidR="004347C6" w:rsidRPr="00C74EB6">
        <w:rPr>
          <w:rFonts w:hint="eastAsia"/>
          <w:sz w:val="24"/>
        </w:rPr>
        <w:t>列（</w:t>
      </w:r>
      <w:r w:rsidR="00601DA8">
        <w:rPr>
          <w:rFonts w:hint="eastAsia"/>
          <w:sz w:val="24"/>
        </w:rPr>
        <w:t>2</w:t>
      </w:r>
      <w:r w:rsidR="004347C6" w:rsidRPr="00C74EB6">
        <w:rPr>
          <w:rFonts w:hint="eastAsia"/>
          <w:sz w:val="24"/>
        </w:rPr>
        <w:t>）显示，使用</w:t>
      </w:r>
      <w:r w:rsidR="004347C6" w:rsidRPr="00C74EB6">
        <w:rPr>
          <w:rFonts w:hint="eastAsia"/>
          <w:sz w:val="24"/>
        </w:rPr>
        <w:t>PSM</w:t>
      </w:r>
      <w:r w:rsidR="004347C6" w:rsidRPr="00C74EB6">
        <w:rPr>
          <w:rFonts w:hint="eastAsia"/>
          <w:sz w:val="24"/>
        </w:rPr>
        <w:t>方法后，组织资本仍显著</w:t>
      </w:r>
      <w:r w:rsidRPr="00C74EB6">
        <w:rPr>
          <w:rFonts w:hint="eastAsia"/>
          <w:sz w:val="24"/>
        </w:rPr>
        <w:t>提升</w:t>
      </w:r>
      <w:r w:rsidR="004347C6" w:rsidRPr="00C74EB6">
        <w:rPr>
          <w:rFonts w:hint="eastAsia"/>
          <w:sz w:val="24"/>
        </w:rPr>
        <w:t>董</w:t>
      </w:r>
      <w:proofErr w:type="gramStart"/>
      <w:r w:rsidR="004347C6" w:rsidRPr="00C74EB6">
        <w:rPr>
          <w:rFonts w:hint="eastAsia"/>
          <w:sz w:val="24"/>
        </w:rPr>
        <w:t>监高责任</w:t>
      </w:r>
      <w:proofErr w:type="gramEnd"/>
      <w:r w:rsidR="004347C6" w:rsidRPr="00C74EB6">
        <w:rPr>
          <w:rFonts w:hint="eastAsia"/>
          <w:sz w:val="24"/>
        </w:rPr>
        <w:t>险的</w:t>
      </w:r>
      <w:r w:rsidR="001F35F2" w:rsidRPr="00C74EB6">
        <w:rPr>
          <w:rFonts w:hint="eastAsia"/>
          <w:sz w:val="24"/>
        </w:rPr>
        <w:t>拟</w:t>
      </w:r>
      <w:r w:rsidR="00A37415" w:rsidRPr="00C74EB6">
        <w:rPr>
          <w:rFonts w:hint="eastAsia"/>
          <w:sz w:val="24"/>
        </w:rPr>
        <w:t>购买概</w:t>
      </w:r>
      <w:r w:rsidRPr="00C74EB6">
        <w:rPr>
          <w:rFonts w:hint="eastAsia"/>
          <w:sz w:val="24"/>
        </w:rPr>
        <w:t>率</w:t>
      </w:r>
      <w:r w:rsidR="004347C6" w:rsidRPr="00C74EB6">
        <w:rPr>
          <w:rFonts w:hint="eastAsia"/>
          <w:sz w:val="24"/>
        </w:rPr>
        <w:t>，边际效应为</w:t>
      </w:r>
      <w:r w:rsidRPr="00C74EB6">
        <w:rPr>
          <w:rFonts w:hint="eastAsia"/>
          <w:sz w:val="24"/>
        </w:rPr>
        <w:t>0.13</w:t>
      </w:r>
      <w:r w:rsidR="004347C6" w:rsidRPr="00C74EB6">
        <w:rPr>
          <w:rFonts w:hint="eastAsia"/>
          <w:sz w:val="24"/>
        </w:rPr>
        <w:t>。</w:t>
      </w:r>
    </w:p>
    <w:p w14:paraId="28841974" w14:textId="77777777" w:rsidR="00601DA8" w:rsidRPr="00C74EB6" w:rsidRDefault="00601DA8" w:rsidP="00C95A25">
      <w:pPr>
        <w:spacing w:line="360" w:lineRule="auto"/>
        <w:rPr>
          <w:sz w:val="24"/>
        </w:rPr>
      </w:pPr>
    </w:p>
    <w:p w14:paraId="6B994AE8" w14:textId="77777777" w:rsidR="00597A49" w:rsidRDefault="00597A49" w:rsidP="00C74EB6">
      <w:pPr>
        <w:spacing w:line="360" w:lineRule="auto"/>
        <w:rPr>
          <w:sz w:val="24"/>
        </w:rPr>
      </w:pPr>
    </w:p>
    <w:p w14:paraId="5922A94E" w14:textId="77777777" w:rsidR="00B92969" w:rsidRDefault="00B92969" w:rsidP="00C74EB6">
      <w:pPr>
        <w:spacing w:line="360" w:lineRule="auto"/>
        <w:rPr>
          <w:sz w:val="24"/>
        </w:rPr>
      </w:pPr>
    </w:p>
    <w:p w14:paraId="6BF9BDF9" w14:textId="27022A2D" w:rsidR="00597A49" w:rsidRPr="003523D8" w:rsidRDefault="003523D8" w:rsidP="003523D8">
      <w:pPr>
        <w:pStyle w:val="af5"/>
        <w:ind w:firstLine="482"/>
        <w:rPr>
          <w:rFonts w:ascii="Times New Roman" w:hAnsi="Times New Roman"/>
        </w:rPr>
      </w:pPr>
      <w:bookmarkStart w:id="112" w:name="_Ref191582121"/>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5</w:t>
      </w:r>
      <w:r w:rsidRPr="00734874">
        <w:rPr>
          <w:rFonts w:ascii="Times New Roman" w:hAnsi="Times New Roman" w:hint="eastAsia"/>
        </w:rPr>
        <w:fldChar w:fldCharType="end"/>
      </w:r>
      <w:bookmarkEnd w:id="112"/>
      <w:r w:rsidRPr="00734874">
        <w:rPr>
          <w:rFonts w:ascii="Times New Roman" w:hAnsi="Times New Roman"/>
        </w:rPr>
        <w:t>：</w:t>
      </w:r>
      <w:r w:rsidRPr="00734874">
        <w:rPr>
          <w:rFonts w:ascii="Times New Roman" w:hAnsi="Times New Roman" w:hint="eastAsia"/>
        </w:rPr>
        <w:t>Heckman</w:t>
      </w:r>
      <w:r w:rsidRPr="00734874">
        <w:rPr>
          <w:rFonts w:ascii="Times New Roman" w:hAnsi="Times New Roman" w:hint="eastAsia"/>
        </w:rPr>
        <w:t>二阶段处理内生性问题</w:t>
      </w:r>
    </w:p>
    <w:tbl>
      <w:tblPr>
        <w:tblW w:w="5000" w:type="pct"/>
        <w:tblLook w:val="0000" w:firstRow="0" w:lastRow="0" w:firstColumn="0" w:lastColumn="0" w:noHBand="0" w:noVBand="0"/>
      </w:tblPr>
      <w:tblGrid>
        <w:gridCol w:w="2487"/>
        <w:gridCol w:w="2910"/>
        <w:gridCol w:w="2909"/>
      </w:tblGrid>
      <w:tr w:rsidR="003523D8" w:rsidRPr="00FD0D8E" w14:paraId="14A50E23" w14:textId="77777777" w:rsidTr="003523D8">
        <w:tc>
          <w:tcPr>
            <w:tcW w:w="1497" w:type="pct"/>
            <w:tcBorders>
              <w:top w:val="single" w:sz="4" w:space="0" w:color="auto"/>
              <w:left w:val="nil"/>
              <w:bottom w:val="nil"/>
              <w:right w:val="nil"/>
            </w:tcBorders>
          </w:tcPr>
          <w:p w14:paraId="31A8D9E3" w14:textId="77777777" w:rsidR="003523D8" w:rsidRPr="00FD0D8E" w:rsidRDefault="003523D8" w:rsidP="00C74EB6">
            <w:pPr>
              <w:autoSpaceDE w:val="0"/>
              <w:autoSpaceDN w:val="0"/>
              <w:adjustRightInd w:val="0"/>
              <w:rPr>
                <w:kern w:val="0"/>
                <w:szCs w:val="21"/>
              </w:rPr>
            </w:pPr>
          </w:p>
        </w:tc>
        <w:tc>
          <w:tcPr>
            <w:tcW w:w="1752" w:type="pct"/>
            <w:tcBorders>
              <w:top w:val="single" w:sz="4" w:space="0" w:color="auto"/>
              <w:left w:val="nil"/>
              <w:bottom w:val="nil"/>
              <w:right w:val="nil"/>
            </w:tcBorders>
          </w:tcPr>
          <w:p w14:paraId="35BBAE23" w14:textId="77777777" w:rsidR="003523D8" w:rsidRPr="00FD0D8E" w:rsidRDefault="003523D8" w:rsidP="00C74EB6">
            <w:pPr>
              <w:autoSpaceDE w:val="0"/>
              <w:autoSpaceDN w:val="0"/>
              <w:adjustRightInd w:val="0"/>
              <w:jc w:val="center"/>
              <w:rPr>
                <w:kern w:val="0"/>
                <w:szCs w:val="21"/>
              </w:rPr>
            </w:pPr>
            <w:r w:rsidRPr="00FD0D8E">
              <w:rPr>
                <w:kern w:val="0"/>
                <w:szCs w:val="21"/>
              </w:rPr>
              <w:t>(1)</w:t>
            </w:r>
          </w:p>
        </w:tc>
        <w:tc>
          <w:tcPr>
            <w:tcW w:w="1751" w:type="pct"/>
            <w:tcBorders>
              <w:top w:val="single" w:sz="4" w:space="0" w:color="auto"/>
              <w:left w:val="nil"/>
              <w:bottom w:val="nil"/>
              <w:right w:val="nil"/>
            </w:tcBorders>
          </w:tcPr>
          <w:p w14:paraId="7C1431EE" w14:textId="77777777" w:rsidR="003523D8" w:rsidRPr="00FD0D8E" w:rsidRDefault="003523D8" w:rsidP="00C74EB6">
            <w:pPr>
              <w:autoSpaceDE w:val="0"/>
              <w:autoSpaceDN w:val="0"/>
              <w:adjustRightInd w:val="0"/>
              <w:jc w:val="center"/>
              <w:rPr>
                <w:kern w:val="0"/>
                <w:szCs w:val="21"/>
              </w:rPr>
            </w:pPr>
            <w:r w:rsidRPr="00FD0D8E">
              <w:rPr>
                <w:kern w:val="0"/>
                <w:szCs w:val="21"/>
              </w:rPr>
              <w:t>(2)</w:t>
            </w:r>
          </w:p>
        </w:tc>
      </w:tr>
      <w:tr w:rsidR="003523D8" w:rsidRPr="00FD0D8E" w14:paraId="4B7300AD" w14:textId="77777777" w:rsidTr="003523D8">
        <w:tc>
          <w:tcPr>
            <w:tcW w:w="1497" w:type="pct"/>
            <w:tcBorders>
              <w:top w:val="nil"/>
              <w:left w:val="nil"/>
              <w:bottom w:val="nil"/>
              <w:right w:val="nil"/>
            </w:tcBorders>
          </w:tcPr>
          <w:p w14:paraId="4F74686E"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3FD714F5" w14:textId="77777777" w:rsidR="003523D8" w:rsidRPr="00FD0D8E" w:rsidRDefault="003523D8" w:rsidP="00C74EB6">
            <w:pPr>
              <w:autoSpaceDE w:val="0"/>
              <w:autoSpaceDN w:val="0"/>
              <w:adjustRightInd w:val="0"/>
              <w:jc w:val="center"/>
              <w:rPr>
                <w:kern w:val="0"/>
                <w:szCs w:val="21"/>
              </w:rPr>
            </w:pPr>
            <w:proofErr w:type="spellStart"/>
            <w:r w:rsidRPr="00FD0D8E">
              <w:rPr>
                <w:kern w:val="0"/>
                <w:szCs w:val="21"/>
              </w:rPr>
              <w:t>OCgroup</w:t>
            </w:r>
            <w:proofErr w:type="spellEnd"/>
          </w:p>
        </w:tc>
        <w:tc>
          <w:tcPr>
            <w:tcW w:w="1751" w:type="pct"/>
            <w:tcBorders>
              <w:top w:val="nil"/>
              <w:left w:val="nil"/>
              <w:bottom w:val="nil"/>
              <w:right w:val="nil"/>
            </w:tcBorders>
          </w:tcPr>
          <w:p w14:paraId="394BE268" w14:textId="77777777" w:rsidR="003523D8" w:rsidRPr="00FD0D8E" w:rsidRDefault="003523D8" w:rsidP="00C74EB6">
            <w:pPr>
              <w:autoSpaceDE w:val="0"/>
              <w:autoSpaceDN w:val="0"/>
              <w:adjustRightInd w:val="0"/>
              <w:jc w:val="center"/>
              <w:rPr>
                <w:kern w:val="0"/>
                <w:szCs w:val="21"/>
              </w:rPr>
            </w:pPr>
            <w:r w:rsidRPr="00FD0D8E">
              <w:rPr>
                <w:kern w:val="0"/>
                <w:szCs w:val="21"/>
              </w:rPr>
              <w:t>DO</w:t>
            </w:r>
            <w:r w:rsidRPr="00FD0D8E">
              <w:rPr>
                <w:kern w:val="0"/>
                <w:szCs w:val="21"/>
                <w:vertAlign w:val="subscript"/>
              </w:rPr>
              <w:t>t+1</w:t>
            </w:r>
          </w:p>
        </w:tc>
      </w:tr>
      <w:tr w:rsidR="003523D8" w:rsidRPr="00FD0D8E" w14:paraId="09EC8E36" w14:textId="77777777" w:rsidTr="003523D8">
        <w:tc>
          <w:tcPr>
            <w:tcW w:w="1497" w:type="pct"/>
            <w:tcBorders>
              <w:top w:val="single" w:sz="4" w:space="0" w:color="auto"/>
              <w:left w:val="nil"/>
              <w:bottom w:val="nil"/>
              <w:right w:val="nil"/>
            </w:tcBorders>
          </w:tcPr>
          <w:p w14:paraId="15EDD886" w14:textId="23A4E74E" w:rsidR="003523D8" w:rsidRPr="00FD0D8E" w:rsidRDefault="003523D8" w:rsidP="00C74EB6">
            <w:pPr>
              <w:autoSpaceDE w:val="0"/>
              <w:autoSpaceDN w:val="0"/>
              <w:adjustRightInd w:val="0"/>
              <w:rPr>
                <w:kern w:val="0"/>
                <w:szCs w:val="21"/>
              </w:rPr>
            </w:pPr>
            <w:proofErr w:type="spellStart"/>
            <w:r w:rsidRPr="00FD0D8E">
              <w:rPr>
                <w:rFonts w:hint="eastAsia"/>
                <w:kern w:val="0"/>
                <w:szCs w:val="21"/>
              </w:rPr>
              <w:t>OC_median</w:t>
            </w:r>
            <w:proofErr w:type="spellEnd"/>
          </w:p>
        </w:tc>
        <w:tc>
          <w:tcPr>
            <w:tcW w:w="1752" w:type="pct"/>
            <w:tcBorders>
              <w:top w:val="single" w:sz="4" w:space="0" w:color="auto"/>
              <w:left w:val="nil"/>
              <w:bottom w:val="nil"/>
              <w:right w:val="nil"/>
            </w:tcBorders>
          </w:tcPr>
          <w:p w14:paraId="609840D4" w14:textId="77777777" w:rsidR="003523D8" w:rsidRPr="00FD0D8E" w:rsidRDefault="003523D8" w:rsidP="00C74EB6">
            <w:pPr>
              <w:autoSpaceDE w:val="0"/>
              <w:autoSpaceDN w:val="0"/>
              <w:adjustRightInd w:val="0"/>
              <w:jc w:val="center"/>
              <w:rPr>
                <w:kern w:val="0"/>
                <w:szCs w:val="21"/>
              </w:rPr>
            </w:pPr>
            <w:r w:rsidRPr="00FD0D8E">
              <w:rPr>
                <w:kern w:val="0"/>
                <w:szCs w:val="21"/>
              </w:rPr>
              <w:t>0.723</w:t>
            </w:r>
            <w:r w:rsidRPr="00FD0D8E">
              <w:rPr>
                <w:kern w:val="0"/>
                <w:szCs w:val="21"/>
                <w:vertAlign w:val="superscript"/>
              </w:rPr>
              <w:t>***</w:t>
            </w:r>
          </w:p>
        </w:tc>
        <w:tc>
          <w:tcPr>
            <w:tcW w:w="1751" w:type="pct"/>
            <w:tcBorders>
              <w:top w:val="single" w:sz="4" w:space="0" w:color="auto"/>
              <w:left w:val="nil"/>
              <w:bottom w:val="nil"/>
              <w:right w:val="nil"/>
            </w:tcBorders>
          </w:tcPr>
          <w:p w14:paraId="4BFBEF0A" w14:textId="77777777" w:rsidR="003523D8" w:rsidRPr="00FD0D8E" w:rsidRDefault="003523D8" w:rsidP="00C74EB6">
            <w:pPr>
              <w:autoSpaceDE w:val="0"/>
              <w:autoSpaceDN w:val="0"/>
              <w:adjustRightInd w:val="0"/>
              <w:jc w:val="center"/>
              <w:rPr>
                <w:kern w:val="0"/>
                <w:szCs w:val="21"/>
              </w:rPr>
            </w:pPr>
          </w:p>
        </w:tc>
      </w:tr>
      <w:tr w:rsidR="003523D8" w:rsidRPr="00FD0D8E" w14:paraId="2518F1C3" w14:textId="77777777" w:rsidTr="003523D8">
        <w:tc>
          <w:tcPr>
            <w:tcW w:w="1497" w:type="pct"/>
            <w:tcBorders>
              <w:top w:val="nil"/>
              <w:left w:val="nil"/>
              <w:bottom w:val="nil"/>
              <w:right w:val="nil"/>
            </w:tcBorders>
          </w:tcPr>
          <w:p w14:paraId="531859AD"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68351431" w14:textId="77777777" w:rsidR="003523D8" w:rsidRPr="00FD0D8E" w:rsidRDefault="003523D8" w:rsidP="00C74EB6">
            <w:pPr>
              <w:autoSpaceDE w:val="0"/>
              <w:autoSpaceDN w:val="0"/>
              <w:adjustRightInd w:val="0"/>
              <w:jc w:val="center"/>
              <w:rPr>
                <w:kern w:val="0"/>
                <w:szCs w:val="21"/>
              </w:rPr>
            </w:pPr>
            <w:r w:rsidRPr="00FD0D8E">
              <w:rPr>
                <w:kern w:val="0"/>
                <w:szCs w:val="21"/>
              </w:rPr>
              <w:t>(0.158)</w:t>
            </w:r>
          </w:p>
        </w:tc>
        <w:tc>
          <w:tcPr>
            <w:tcW w:w="1751" w:type="pct"/>
            <w:tcBorders>
              <w:top w:val="nil"/>
              <w:left w:val="nil"/>
              <w:bottom w:val="nil"/>
              <w:right w:val="nil"/>
            </w:tcBorders>
          </w:tcPr>
          <w:p w14:paraId="57548D8A" w14:textId="77777777" w:rsidR="003523D8" w:rsidRPr="00FD0D8E" w:rsidRDefault="003523D8" w:rsidP="00C74EB6">
            <w:pPr>
              <w:autoSpaceDE w:val="0"/>
              <w:autoSpaceDN w:val="0"/>
              <w:adjustRightInd w:val="0"/>
              <w:jc w:val="center"/>
              <w:rPr>
                <w:kern w:val="0"/>
                <w:szCs w:val="21"/>
              </w:rPr>
            </w:pPr>
          </w:p>
        </w:tc>
      </w:tr>
      <w:tr w:rsidR="003523D8" w:rsidRPr="00FD0D8E" w14:paraId="32B3EA54" w14:textId="77777777" w:rsidTr="003523D8">
        <w:tc>
          <w:tcPr>
            <w:tcW w:w="1497" w:type="pct"/>
            <w:tcBorders>
              <w:top w:val="nil"/>
              <w:left w:val="nil"/>
              <w:bottom w:val="nil"/>
              <w:right w:val="nil"/>
            </w:tcBorders>
          </w:tcPr>
          <w:p w14:paraId="48FF987C" w14:textId="77777777" w:rsidR="003523D8" w:rsidRPr="00FD0D8E" w:rsidRDefault="003523D8" w:rsidP="00C74EB6">
            <w:pPr>
              <w:autoSpaceDE w:val="0"/>
              <w:autoSpaceDN w:val="0"/>
              <w:adjustRightInd w:val="0"/>
              <w:rPr>
                <w:kern w:val="0"/>
                <w:szCs w:val="21"/>
              </w:rPr>
            </w:pPr>
            <w:proofErr w:type="spellStart"/>
            <w:r w:rsidRPr="00FD0D8E">
              <w:rPr>
                <w:kern w:val="0"/>
                <w:szCs w:val="21"/>
              </w:rPr>
              <w:t>imr</w:t>
            </w:r>
            <w:proofErr w:type="spellEnd"/>
          </w:p>
        </w:tc>
        <w:tc>
          <w:tcPr>
            <w:tcW w:w="1752" w:type="pct"/>
            <w:tcBorders>
              <w:top w:val="nil"/>
              <w:left w:val="nil"/>
              <w:bottom w:val="nil"/>
              <w:right w:val="nil"/>
            </w:tcBorders>
          </w:tcPr>
          <w:p w14:paraId="1089B44D" w14:textId="7777777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0DD6ACFE" w14:textId="77777777" w:rsidR="003523D8" w:rsidRPr="00FD0D8E" w:rsidRDefault="003523D8" w:rsidP="00C74EB6">
            <w:pPr>
              <w:autoSpaceDE w:val="0"/>
              <w:autoSpaceDN w:val="0"/>
              <w:adjustRightInd w:val="0"/>
              <w:jc w:val="center"/>
              <w:rPr>
                <w:kern w:val="0"/>
                <w:szCs w:val="21"/>
              </w:rPr>
            </w:pPr>
            <w:r w:rsidRPr="00FD0D8E">
              <w:rPr>
                <w:kern w:val="0"/>
                <w:szCs w:val="21"/>
              </w:rPr>
              <w:t>0.077</w:t>
            </w:r>
            <w:r w:rsidRPr="00FD0D8E">
              <w:rPr>
                <w:kern w:val="0"/>
                <w:szCs w:val="21"/>
                <w:vertAlign w:val="superscript"/>
              </w:rPr>
              <w:t>***</w:t>
            </w:r>
          </w:p>
        </w:tc>
      </w:tr>
      <w:tr w:rsidR="003523D8" w:rsidRPr="00FD0D8E" w14:paraId="0AEFA63E" w14:textId="77777777" w:rsidTr="003523D8">
        <w:tc>
          <w:tcPr>
            <w:tcW w:w="1497" w:type="pct"/>
            <w:tcBorders>
              <w:top w:val="nil"/>
              <w:left w:val="nil"/>
              <w:bottom w:val="nil"/>
              <w:right w:val="nil"/>
            </w:tcBorders>
          </w:tcPr>
          <w:p w14:paraId="3B317A26"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7427D147" w14:textId="7777777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69489F4" w14:textId="77777777" w:rsidR="003523D8" w:rsidRPr="00FD0D8E" w:rsidRDefault="003523D8" w:rsidP="00C74EB6">
            <w:pPr>
              <w:autoSpaceDE w:val="0"/>
              <w:autoSpaceDN w:val="0"/>
              <w:adjustRightInd w:val="0"/>
              <w:jc w:val="center"/>
              <w:rPr>
                <w:kern w:val="0"/>
                <w:szCs w:val="21"/>
              </w:rPr>
            </w:pPr>
            <w:r w:rsidRPr="00FD0D8E">
              <w:rPr>
                <w:kern w:val="0"/>
                <w:szCs w:val="21"/>
              </w:rPr>
              <w:t>(0.024)</w:t>
            </w:r>
          </w:p>
        </w:tc>
      </w:tr>
      <w:tr w:rsidR="003523D8" w:rsidRPr="00FD0D8E" w14:paraId="6EB204B4" w14:textId="77777777" w:rsidTr="003523D8">
        <w:tc>
          <w:tcPr>
            <w:tcW w:w="1497" w:type="pct"/>
            <w:tcBorders>
              <w:top w:val="nil"/>
              <w:left w:val="nil"/>
              <w:bottom w:val="nil"/>
              <w:right w:val="nil"/>
            </w:tcBorders>
          </w:tcPr>
          <w:p w14:paraId="26C93F6A" w14:textId="77777777" w:rsidR="003523D8" w:rsidRPr="00FD0D8E" w:rsidRDefault="003523D8" w:rsidP="00C74EB6">
            <w:pPr>
              <w:autoSpaceDE w:val="0"/>
              <w:autoSpaceDN w:val="0"/>
              <w:adjustRightInd w:val="0"/>
              <w:rPr>
                <w:kern w:val="0"/>
                <w:szCs w:val="21"/>
              </w:rPr>
            </w:pPr>
            <w:r w:rsidRPr="00FD0D8E">
              <w:rPr>
                <w:kern w:val="0"/>
                <w:szCs w:val="21"/>
              </w:rPr>
              <w:t>OC</w:t>
            </w:r>
          </w:p>
        </w:tc>
        <w:tc>
          <w:tcPr>
            <w:tcW w:w="1752" w:type="pct"/>
            <w:tcBorders>
              <w:top w:val="nil"/>
              <w:left w:val="nil"/>
              <w:bottom w:val="nil"/>
              <w:right w:val="nil"/>
            </w:tcBorders>
          </w:tcPr>
          <w:p w14:paraId="11928367" w14:textId="7777777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CC7BB3E" w14:textId="77777777" w:rsidR="003523D8" w:rsidRPr="00FD0D8E" w:rsidRDefault="003523D8" w:rsidP="00C74EB6">
            <w:pPr>
              <w:autoSpaceDE w:val="0"/>
              <w:autoSpaceDN w:val="0"/>
              <w:adjustRightInd w:val="0"/>
              <w:jc w:val="center"/>
              <w:rPr>
                <w:kern w:val="0"/>
                <w:szCs w:val="21"/>
              </w:rPr>
            </w:pPr>
            <w:r w:rsidRPr="00FD0D8E">
              <w:rPr>
                <w:kern w:val="0"/>
                <w:szCs w:val="21"/>
              </w:rPr>
              <w:t>0.129</w:t>
            </w:r>
            <w:r w:rsidRPr="00FD0D8E">
              <w:rPr>
                <w:kern w:val="0"/>
                <w:szCs w:val="21"/>
                <w:vertAlign w:val="superscript"/>
              </w:rPr>
              <w:t>***</w:t>
            </w:r>
          </w:p>
        </w:tc>
      </w:tr>
      <w:tr w:rsidR="003523D8" w:rsidRPr="00FD0D8E" w14:paraId="65E2E136" w14:textId="77777777" w:rsidTr="003523D8">
        <w:tc>
          <w:tcPr>
            <w:tcW w:w="1497" w:type="pct"/>
            <w:tcBorders>
              <w:top w:val="nil"/>
              <w:left w:val="nil"/>
              <w:bottom w:val="nil"/>
              <w:right w:val="nil"/>
            </w:tcBorders>
          </w:tcPr>
          <w:p w14:paraId="3E6B68B9"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399D5A73" w14:textId="7777777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64A3AE10" w14:textId="77777777" w:rsidR="003523D8" w:rsidRPr="00FD0D8E" w:rsidRDefault="003523D8" w:rsidP="00C74EB6">
            <w:pPr>
              <w:autoSpaceDE w:val="0"/>
              <w:autoSpaceDN w:val="0"/>
              <w:adjustRightInd w:val="0"/>
              <w:jc w:val="center"/>
              <w:rPr>
                <w:kern w:val="0"/>
                <w:szCs w:val="21"/>
              </w:rPr>
            </w:pPr>
            <w:r w:rsidRPr="00FD0D8E">
              <w:rPr>
                <w:kern w:val="0"/>
                <w:szCs w:val="21"/>
              </w:rPr>
              <w:t>(0.048)</w:t>
            </w:r>
          </w:p>
        </w:tc>
      </w:tr>
      <w:tr w:rsidR="003523D8" w:rsidRPr="00FD0D8E" w14:paraId="471AD876" w14:textId="77777777" w:rsidTr="003523D8">
        <w:tc>
          <w:tcPr>
            <w:tcW w:w="1497" w:type="pct"/>
            <w:tcBorders>
              <w:top w:val="nil"/>
              <w:left w:val="nil"/>
              <w:bottom w:val="nil"/>
              <w:right w:val="nil"/>
            </w:tcBorders>
          </w:tcPr>
          <w:p w14:paraId="4BE6BC8B" w14:textId="77777777" w:rsidR="003523D8" w:rsidRPr="00FD0D8E" w:rsidRDefault="003523D8" w:rsidP="00C74EB6">
            <w:pPr>
              <w:autoSpaceDE w:val="0"/>
              <w:autoSpaceDN w:val="0"/>
              <w:adjustRightInd w:val="0"/>
              <w:rPr>
                <w:kern w:val="0"/>
                <w:szCs w:val="21"/>
              </w:rPr>
            </w:pPr>
            <w:r w:rsidRPr="00FD0D8E">
              <w:rPr>
                <w:kern w:val="0"/>
                <w:szCs w:val="21"/>
              </w:rPr>
              <w:t>BH</w:t>
            </w:r>
          </w:p>
        </w:tc>
        <w:tc>
          <w:tcPr>
            <w:tcW w:w="1752" w:type="pct"/>
            <w:tcBorders>
              <w:top w:val="nil"/>
              <w:left w:val="nil"/>
              <w:bottom w:val="nil"/>
              <w:right w:val="nil"/>
            </w:tcBorders>
          </w:tcPr>
          <w:p w14:paraId="6DDBF7DC" w14:textId="77777777" w:rsidR="003523D8" w:rsidRPr="00FD0D8E" w:rsidRDefault="003523D8" w:rsidP="00C74EB6">
            <w:pPr>
              <w:autoSpaceDE w:val="0"/>
              <w:autoSpaceDN w:val="0"/>
              <w:adjustRightInd w:val="0"/>
              <w:jc w:val="center"/>
              <w:rPr>
                <w:kern w:val="0"/>
                <w:szCs w:val="21"/>
              </w:rPr>
            </w:pPr>
            <w:r w:rsidRPr="00FD0D8E">
              <w:rPr>
                <w:kern w:val="0"/>
                <w:szCs w:val="21"/>
              </w:rPr>
              <w:t>0.028</w:t>
            </w:r>
            <w:r w:rsidRPr="00FD0D8E">
              <w:rPr>
                <w:kern w:val="0"/>
                <w:szCs w:val="21"/>
                <w:vertAlign w:val="superscript"/>
              </w:rPr>
              <w:t>*</w:t>
            </w:r>
          </w:p>
        </w:tc>
        <w:tc>
          <w:tcPr>
            <w:tcW w:w="1751" w:type="pct"/>
            <w:tcBorders>
              <w:top w:val="nil"/>
              <w:left w:val="nil"/>
              <w:bottom w:val="nil"/>
              <w:right w:val="nil"/>
            </w:tcBorders>
          </w:tcPr>
          <w:p w14:paraId="2AC0AB2F" w14:textId="77777777" w:rsidR="003523D8" w:rsidRPr="00FD0D8E" w:rsidRDefault="003523D8" w:rsidP="00C74EB6">
            <w:pPr>
              <w:autoSpaceDE w:val="0"/>
              <w:autoSpaceDN w:val="0"/>
              <w:adjustRightInd w:val="0"/>
              <w:jc w:val="center"/>
              <w:rPr>
                <w:kern w:val="0"/>
                <w:szCs w:val="21"/>
              </w:rPr>
            </w:pPr>
            <w:r w:rsidRPr="00FD0D8E">
              <w:rPr>
                <w:kern w:val="0"/>
                <w:szCs w:val="21"/>
              </w:rPr>
              <w:t>0.156</w:t>
            </w:r>
            <w:r w:rsidRPr="00FD0D8E">
              <w:rPr>
                <w:kern w:val="0"/>
                <w:szCs w:val="21"/>
                <w:vertAlign w:val="superscript"/>
              </w:rPr>
              <w:t>***</w:t>
            </w:r>
          </w:p>
        </w:tc>
      </w:tr>
      <w:tr w:rsidR="003523D8" w:rsidRPr="00FD0D8E" w14:paraId="4629B91E" w14:textId="77777777" w:rsidTr="003523D8">
        <w:tc>
          <w:tcPr>
            <w:tcW w:w="1497" w:type="pct"/>
            <w:tcBorders>
              <w:top w:val="nil"/>
              <w:left w:val="nil"/>
              <w:bottom w:val="nil"/>
              <w:right w:val="nil"/>
            </w:tcBorders>
          </w:tcPr>
          <w:p w14:paraId="6BEEEF9F"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486B8EE9" w14:textId="77777777" w:rsidR="003523D8" w:rsidRPr="00FD0D8E" w:rsidRDefault="003523D8" w:rsidP="00C74EB6">
            <w:pPr>
              <w:autoSpaceDE w:val="0"/>
              <w:autoSpaceDN w:val="0"/>
              <w:adjustRightInd w:val="0"/>
              <w:jc w:val="center"/>
              <w:rPr>
                <w:kern w:val="0"/>
                <w:szCs w:val="21"/>
              </w:rPr>
            </w:pPr>
            <w:r w:rsidRPr="00FD0D8E">
              <w:rPr>
                <w:kern w:val="0"/>
                <w:szCs w:val="21"/>
              </w:rPr>
              <w:t>(0.015)</w:t>
            </w:r>
          </w:p>
        </w:tc>
        <w:tc>
          <w:tcPr>
            <w:tcW w:w="1751" w:type="pct"/>
            <w:tcBorders>
              <w:top w:val="nil"/>
              <w:left w:val="nil"/>
              <w:bottom w:val="nil"/>
              <w:right w:val="nil"/>
            </w:tcBorders>
          </w:tcPr>
          <w:p w14:paraId="61566D10" w14:textId="77777777" w:rsidR="003523D8" w:rsidRPr="00FD0D8E" w:rsidRDefault="003523D8" w:rsidP="00C74EB6">
            <w:pPr>
              <w:autoSpaceDE w:val="0"/>
              <w:autoSpaceDN w:val="0"/>
              <w:adjustRightInd w:val="0"/>
              <w:jc w:val="center"/>
              <w:rPr>
                <w:kern w:val="0"/>
                <w:szCs w:val="21"/>
              </w:rPr>
            </w:pPr>
            <w:r w:rsidRPr="00FD0D8E">
              <w:rPr>
                <w:kern w:val="0"/>
                <w:szCs w:val="21"/>
              </w:rPr>
              <w:t>(0.010)</w:t>
            </w:r>
          </w:p>
        </w:tc>
      </w:tr>
      <w:tr w:rsidR="003523D8" w:rsidRPr="00FD0D8E" w14:paraId="4D272240" w14:textId="77777777" w:rsidTr="003523D8">
        <w:tc>
          <w:tcPr>
            <w:tcW w:w="1497" w:type="pct"/>
            <w:tcBorders>
              <w:top w:val="nil"/>
              <w:left w:val="nil"/>
              <w:bottom w:val="nil"/>
              <w:right w:val="nil"/>
            </w:tcBorders>
          </w:tcPr>
          <w:p w14:paraId="49AF924F" w14:textId="77777777" w:rsidR="003523D8" w:rsidRPr="00FD0D8E" w:rsidRDefault="003523D8" w:rsidP="00C74EB6">
            <w:pPr>
              <w:autoSpaceDE w:val="0"/>
              <w:autoSpaceDN w:val="0"/>
              <w:adjustRightInd w:val="0"/>
              <w:rPr>
                <w:kern w:val="0"/>
                <w:szCs w:val="21"/>
              </w:rPr>
            </w:pPr>
            <w:r w:rsidRPr="00FD0D8E">
              <w:rPr>
                <w:kern w:val="0"/>
                <w:szCs w:val="21"/>
              </w:rPr>
              <w:t>Big4</w:t>
            </w:r>
          </w:p>
        </w:tc>
        <w:tc>
          <w:tcPr>
            <w:tcW w:w="1752" w:type="pct"/>
            <w:tcBorders>
              <w:top w:val="nil"/>
              <w:left w:val="nil"/>
              <w:bottom w:val="nil"/>
              <w:right w:val="nil"/>
            </w:tcBorders>
          </w:tcPr>
          <w:p w14:paraId="6F8CB571" w14:textId="77777777" w:rsidR="003523D8" w:rsidRPr="00FD0D8E" w:rsidRDefault="003523D8" w:rsidP="00C74EB6">
            <w:pPr>
              <w:autoSpaceDE w:val="0"/>
              <w:autoSpaceDN w:val="0"/>
              <w:adjustRightInd w:val="0"/>
              <w:jc w:val="center"/>
              <w:rPr>
                <w:kern w:val="0"/>
                <w:szCs w:val="21"/>
              </w:rPr>
            </w:pPr>
            <w:r w:rsidRPr="00FD0D8E">
              <w:rPr>
                <w:kern w:val="0"/>
                <w:szCs w:val="21"/>
              </w:rPr>
              <w:t>0.154</w:t>
            </w:r>
            <w:r w:rsidRPr="00FD0D8E">
              <w:rPr>
                <w:kern w:val="0"/>
                <w:szCs w:val="21"/>
                <w:vertAlign w:val="superscript"/>
              </w:rPr>
              <w:t>***</w:t>
            </w:r>
          </w:p>
        </w:tc>
        <w:tc>
          <w:tcPr>
            <w:tcW w:w="1751" w:type="pct"/>
            <w:tcBorders>
              <w:top w:val="nil"/>
              <w:left w:val="nil"/>
              <w:bottom w:val="nil"/>
              <w:right w:val="nil"/>
            </w:tcBorders>
          </w:tcPr>
          <w:p w14:paraId="04199A9A" w14:textId="77777777" w:rsidR="003523D8" w:rsidRPr="00FD0D8E" w:rsidRDefault="003523D8" w:rsidP="00C74EB6">
            <w:pPr>
              <w:autoSpaceDE w:val="0"/>
              <w:autoSpaceDN w:val="0"/>
              <w:adjustRightInd w:val="0"/>
              <w:jc w:val="center"/>
              <w:rPr>
                <w:kern w:val="0"/>
                <w:szCs w:val="21"/>
              </w:rPr>
            </w:pPr>
            <w:r w:rsidRPr="00FD0D8E">
              <w:rPr>
                <w:kern w:val="0"/>
                <w:szCs w:val="21"/>
              </w:rPr>
              <w:t>0.089</w:t>
            </w:r>
            <w:r w:rsidRPr="00FD0D8E">
              <w:rPr>
                <w:kern w:val="0"/>
                <w:szCs w:val="21"/>
                <w:vertAlign w:val="superscript"/>
              </w:rPr>
              <w:t>***</w:t>
            </w:r>
          </w:p>
        </w:tc>
      </w:tr>
      <w:tr w:rsidR="003523D8" w:rsidRPr="00FD0D8E" w14:paraId="6066FB45" w14:textId="77777777" w:rsidTr="003523D8">
        <w:tc>
          <w:tcPr>
            <w:tcW w:w="1497" w:type="pct"/>
            <w:tcBorders>
              <w:top w:val="nil"/>
              <w:left w:val="nil"/>
              <w:bottom w:val="nil"/>
              <w:right w:val="nil"/>
            </w:tcBorders>
          </w:tcPr>
          <w:p w14:paraId="7159BE0C"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1ADCD988" w14:textId="77777777" w:rsidR="003523D8" w:rsidRPr="00FD0D8E" w:rsidRDefault="003523D8" w:rsidP="00C74EB6">
            <w:pPr>
              <w:autoSpaceDE w:val="0"/>
              <w:autoSpaceDN w:val="0"/>
              <w:adjustRightInd w:val="0"/>
              <w:jc w:val="center"/>
              <w:rPr>
                <w:kern w:val="0"/>
                <w:szCs w:val="21"/>
              </w:rPr>
            </w:pPr>
            <w:r w:rsidRPr="00FD0D8E">
              <w:rPr>
                <w:kern w:val="0"/>
                <w:szCs w:val="21"/>
              </w:rPr>
              <w:t>(0.012)</w:t>
            </w:r>
          </w:p>
        </w:tc>
        <w:tc>
          <w:tcPr>
            <w:tcW w:w="1751" w:type="pct"/>
            <w:tcBorders>
              <w:top w:val="nil"/>
              <w:left w:val="nil"/>
              <w:bottom w:val="nil"/>
              <w:right w:val="nil"/>
            </w:tcBorders>
          </w:tcPr>
          <w:p w14:paraId="259203F5" w14:textId="77777777" w:rsidR="003523D8" w:rsidRPr="00FD0D8E" w:rsidRDefault="003523D8" w:rsidP="00C74EB6">
            <w:pPr>
              <w:autoSpaceDE w:val="0"/>
              <w:autoSpaceDN w:val="0"/>
              <w:adjustRightInd w:val="0"/>
              <w:jc w:val="center"/>
              <w:rPr>
                <w:kern w:val="0"/>
                <w:szCs w:val="21"/>
              </w:rPr>
            </w:pPr>
            <w:r w:rsidRPr="00FD0D8E">
              <w:rPr>
                <w:kern w:val="0"/>
                <w:szCs w:val="21"/>
              </w:rPr>
              <w:t>(0.007)</w:t>
            </w:r>
          </w:p>
        </w:tc>
      </w:tr>
      <w:tr w:rsidR="003523D8" w:rsidRPr="00FD0D8E" w14:paraId="2905038F" w14:textId="77777777" w:rsidTr="003523D8">
        <w:tc>
          <w:tcPr>
            <w:tcW w:w="1497" w:type="pct"/>
            <w:tcBorders>
              <w:top w:val="nil"/>
              <w:left w:val="nil"/>
              <w:bottom w:val="nil"/>
              <w:right w:val="nil"/>
            </w:tcBorders>
          </w:tcPr>
          <w:p w14:paraId="69C263A6" w14:textId="77777777" w:rsidR="003523D8" w:rsidRPr="00FD0D8E" w:rsidRDefault="003523D8" w:rsidP="00C74EB6">
            <w:pPr>
              <w:autoSpaceDE w:val="0"/>
              <w:autoSpaceDN w:val="0"/>
              <w:adjustRightInd w:val="0"/>
              <w:rPr>
                <w:kern w:val="0"/>
                <w:szCs w:val="21"/>
              </w:rPr>
            </w:pPr>
            <w:r w:rsidRPr="00FD0D8E">
              <w:rPr>
                <w:kern w:val="0"/>
                <w:szCs w:val="21"/>
              </w:rPr>
              <w:t>Lev</w:t>
            </w:r>
          </w:p>
        </w:tc>
        <w:tc>
          <w:tcPr>
            <w:tcW w:w="1752" w:type="pct"/>
            <w:tcBorders>
              <w:top w:val="nil"/>
              <w:left w:val="nil"/>
              <w:bottom w:val="nil"/>
              <w:right w:val="nil"/>
            </w:tcBorders>
          </w:tcPr>
          <w:p w14:paraId="6175D27C" w14:textId="77777777" w:rsidR="003523D8" w:rsidRPr="00FD0D8E" w:rsidRDefault="003523D8" w:rsidP="00C74EB6">
            <w:pPr>
              <w:autoSpaceDE w:val="0"/>
              <w:autoSpaceDN w:val="0"/>
              <w:adjustRightInd w:val="0"/>
              <w:jc w:val="center"/>
              <w:rPr>
                <w:kern w:val="0"/>
                <w:szCs w:val="21"/>
              </w:rPr>
            </w:pPr>
            <w:r w:rsidRPr="00FD0D8E">
              <w:rPr>
                <w:kern w:val="0"/>
                <w:szCs w:val="21"/>
              </w:rPr>
              <w:t>0.468</w:t>
            </w:r>
            <w:r w:rsidRPr="00FD0D8E">
              <w:rPr>
                <w:kern w:val="0"/>
                <w:szCs w:val="21"/>
                <w:vertAlign w:val="superscript"/>
              </w:rPr>
              <w:t>***</w:t>
            </w:r>
          </w:p>
        </w:tc>
        <w:tc>
          <w:tcPr>
            <w:tcW w:w="1751" w:type="pct"/>
            <w:tcBorders>
              <w:top w:val="nil"/>
              <w:left w:val="nil"/>
              <w:bottom w:val="nil"/>
              <w:right w:val="nil"/>
            </w:tcBorders>
          </w:tcPr>
          <w:p w14:paraId="0018D091" w14:textId="77777777" w:rsidR="003523D8" w:rsidRPr="00FD0D8E" w:rsidRDefault="003523D8" w:rsidP="00C74EB6">
            <w:pPr>
              <w:autoSpaceDE w:val="0"/>
              <w:autoSpaceDN w:val="0"/>
              <w:adjustRightInd w:val="0"/>
              <w:jc w:val="center"/>
              <w:rPr>
                <w:kern w:val="0"/>
                <w:szCs w:val="21"/>
              </w:rPr>
            </w:pPr>
            <w:r w:rsidRPr="00FD0D8E">
              <w:rPr>
                <w:kern w:val="0"/>
                <w:szCs w:val="21"/>
              </w:rPr>
              <w:t>0.141</w:t>
            </w:r>
            <w:r w:rsidRPr="00FD0D8E">
              <w:rPr>
                <w:kern w:val="0"/>
                <w:szCs w:val="21"/>
                <w:vertAlign w:val="superscript"/>
              </w:rPr>
              <w:t>***</w:t>
            </w:r>
          </w:p>
        </w:tc>
      </w:tr>
      <w:tr w:rsidR="003523D8" w:rsidRPr="00FD0D8E" w14:paraId="2737F5E3" w14:textId="77777777" w:rsidTr="003523D8">
        <w:tc>
          <w:tcPr>
            <w:tcW w:w="1497" w:type="pct"/>
            <w:tcBorders>
              <w:top w:val="nil"/>
              <w:left w:val="nil"/>
              <w:bottom w:val="nil"/>
              <w:right w:val="nil"/>
            </w:tcBorders>
          </w:tcPr>
          <w:p w14:paraId="40663DBF"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2D5B9617" w14:textId="77777777" w:rsidR="003523D8" w:rsidRPr="00FD0D8E" w:rsidRDefault="003523D8" w:rsidP="00C74EB6">
            <w:pPr>
              <w:autoSpaceDE w:val="0"/>
              <w:autoSpaceDN w:val="0"/>
              <w:adjustRightInd w:val="0"/>
              <w:jc w:val="center"/>
              <w:rPr>
                <w:kern w:val="0"/>
                <w:szCs w:val="21"/>
              </w:rPr>
            </w:pPr>
            <w:r w:rsidRPr="00FD0D8E">
              <w:rPr>
                <w:kern w:val="0"/>
                <w:szCs w:val="21"/>
              </w:rPr>
              <w:t>(0.017)</w:t>
            </w:r>
          </w:p>
        </w:tc>
        <w:tc>
          <w:tcPr>
            <w:tcW w:w="1751" w:type="pct"/>
            <w:tcBorders>
              <w:top w:val="nil"/>
              <w:left w:val="nil"/>
              <w:bottom w:val="nil"/>
              <w:right w:val="nil"/>
            </w:tcBorders>
          </w:tcPr>
          <w:p w14:paraId="2D99B1B2" w14:textId="77777777" w:rsidR="003523D8" w:rsidRPr="00FD0D8E" w:rsidRDefault="003523D8" w:rsidP="00C74EB6">
            <w:pPr>
              <w:autoSpaceDE w:val="0"/>
              <w:autoSpaceDN w:val="0"/>
              <w:adjustRightInd w:val="0"/>
              <w:jc w:val="center"/>
              <w:rPr>
                <w:kern w:val="0"/>
                <w:szCs w:val="21"/>
              </w:rPr>
            </w:pPr>
            <w:r w:rsidRPr="00FD0D8E">
              <w:rPr>
                <w:kern w:val="0"/>
                <w:szCs w:val="21"/>
              </w:rPr>
              <w:t>(0.042)</w:t>
            </w:r>
          </w:p>
        </w:tc>
      </w:tr>
      <w:tr w:rsidR="003523D8" w:rsidRPr="00FD0D8E" w14:paraId="542EFE64" w14:textId="77777777" w:rsidTr="003523D8">
        <w:tc>
          <w:tcPr>
            <w:tcW w:w="1497" w:type="pct"/>
            <w:tcBorders>
              <w:top w:val="nil"/>
              <w:left w:val="nil"/>
              <w:bottom w:val="nil"/>
              <w:right w:val="nil"/>
            </w:tcBorders>
          </w:tcPr>
          <w:p w14:paraId="28E0CC6C" w14:textId="77777777" w:rsidR="003523D8" w:rsidRPr="00FD0D8E" w:rsidRDefault="003523D8" w:rsidP="00C74EB6">
            <w:pPr>
              <w:autoSpaceDE w:val="0"/>
              <w:autoSpaceDN w:val="0"/>
              <w:adjustRightInd w:val="0"/>
              <w:rPr>
                <w:kern w:val="0"/>
                <w:szCs w:val="21"/>
              </w:rPr>
            </w:pPr>
            <w:r w:rsidRPr="00FD0D8E">
              <w:rPr>
                <w:kern w:val="0"/>
                <w:szCs w:val="21"/>
              </w:rPr>
              <w:t>FTA</w:t>
            </w:r>
          </w:p>
        </w:tc>
        <w:tc>
          <w:tcPr>
            <w:tcW w:w="1752" w:type="pct"/>
            <w:tcBorders>
              <w:top w:val="nil"/>
              <w:left w:val="nil"/>
              <w:bottom w:val="nil"/>
              <w:right w:val="nil"/>
            </w:tcBorders>
          </w:tcPr>
          <w:p w14:paraId="530F2599" w14:textId="77777777" w:rsidR="003523D8" w:rsidRPr="00FD0D8E" w:rsidRDefault="003523D8" w:rsidP="00C74EB6">
            <w:pPr>
              <w:autoSpaceDE w:val="0"/>
              <w:autoSpaceDN w:val="0"/>
              <w:adjustRightInd w:val="0"/>
              <w:jc w:val="center"/>
              <w:rPr>
                <w:kern w:val="0"/>
                <w:szCs w:val="21"/>
              </w:rPr>
            </w:pPr>
            <w:r w:rsidRPr="00FD0D8E">
              <w:rPr>
                <w:kern w:val="0"/>
                <w:szCs w:val="21"/>
              </w:rPr>
              <w:t>-0.053</w:t>
            </w:r>
            <w:r w:rsidRPr="00FD0D8E">
              <w:rPr>
                <w:kern w:val="0"/>
                <w:szCs w:val="21"/>
                <w:vertAlign w:val="superscript"/>
              </w:rPr>
              <w:t>**</w:t>
            </w:r>
          </w:p>
        </w:tc>
        <w:tc>
          <w:tcPr>
            <w:tcW w:w="1751" w:type="pct"/>
            <w:tcBorders>
              <w:top w:val="nil"/>
              <w:left w:val="nil"/>
              <w:bottom w:val="nil"/>
              <w:right w:val="nil"/>
            </w:tcBorders>
          </w:tcPr>
          <w:p w14:paraId="07223AAC" w14:textId="77777777" w:rsidR="003523D8" w:rsidRPr="00FD0D8E" w:rsidRDefault="003523D8" w:rsidP="00C74EB6">
            <w:pPr>
              <w:autoSpaceDE w:val="0"/>
              <w:autoSpaceDN w:val="0"/>
              <w:adjustRightInd w:val="0"/>
              <w:jc w:val="center"/>
              <w:rPr>
                <w:kern w:val="0"/>
                <w:szCs w:val="21"/>
              </w:rPr>
            </w:pPr>
            <w:r w:rsidRPr="00FD0D8E">
              <w:rPr>
                <w:kern w:val="0"/>
                <w:szCs w:val="21"/>
              </w:rPr>
              <w:t>-0.065</w:t>
            </w:r>
            <w:r w:rsidRPr="00FD0D8E">
              <w:rPr>
                <w:kern w:val="0"/>
                <w:szCs w:val="21"/>
                <w:vertAlign w:val="superscript"/>
              </w:rPr>
              <w:t>***</w:t>
            </w:r>
          </w:p>
        </w:tc>
      </w:tr>
      <w:tr w:rsidR="003523D8" w:rsidRPr="00FD0D8E" w14:paraId="4CFE65F5" w14:textId="77777777" w:rsidTr="003523D8">
        <w:tc>
          <w:tcPr>
            <w:tcW w:w="1497" w:type="pct"/>
            <w:tcBorders>
              <w:top w:val="nil"/>
              <w:left w:val="nil"/>
              <w:bottom w:val="nil"/>
              <w:right w:val="nil"/>
            </w:tcBorders>
          </w:tcPr>
          <w:p w14:paraId="29E21BCB"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62510FF0" w14:textId="77777777" w:rsidR="003523D8" w:rsidRPr="00FD0D8E" w:rsidRDefault="003523D8" w:rsidP="00C74EB6">
            <w:pPr>
              <w:autoSpaceDE w:val="0"/>
              <w:autoSpaceDN w:val="0"/>
              <w:adjustRightInd w:val="0"/>
              <w:jc w:val="center"/>
              <w:rPr>
                <w:kern w:val="0"/>
                <w:szCs w:val="21"/>
              </w:rPr>
            </w:pPr>
            <w:r w:rsidRPr="00FD0D8E">
              <w:rPr>
                <w:kern w:val="0"/>
                <w:szCs w:val="21"/>
              </w:rPr>
              <w:t>(0.021)</w:t>
            </w:r>
          </w:p>
        </w:tc>
        <w:tc>
          <w:tcPr>
            <w:tcW w:w="1751" w:type="pct"/>
            <w:tcBorders>
              <w:top w:val="nil"/>
              <w:left w:val="nil"/>
              <w:bottom w:val="nil"/>
              <w:right w:val="nil"/>
            </w:tcBorders>
          </w:tcPr>
          <w:p w14:paraId="5ADD582E" w14:textId="77777777" w:rsidR="003523D8" w:rsidRPr="00FD0D8E" w:rsidRDefault="003523D8" w:rsidP="00C74EB6">
            <w:pPr>
              <w:autoSpaceDE w:val="0"/>
              <w:autoSpaceDN w:val="0"/>
              <w:adjustRightInd w:val="0"/>
              <w:jc w:val="center"/>
              <w:rPr>
                <w:kern w:val="0"/>
                <w:szCs w:val="21"/>
              </w:rPr>
            </w:pPr>
            <w:r w:rsidRPr="00FD0D8E">
              <w:rPr>
                <w:kern w:val="0"/>
                <w:szCs w:val="21"/>
              </w:rPr>
              <w:t>(0.009)</w:t>
            </w:r>
          </w:p>
        </w:tc>
      </w:tr>
      <w:tr w:rsidR="003523D8" w:rsidRPr="00FD0D8E" w14:paraId="25522DFB" w14:textId="77777777" w:rsidTr="003523D8">
        <w:tc>
          <w:tcPr>
            <w:tcW w:w="1497" w:type="pct"/>
            <w:tcBorders>
              <w:top w:val="nil"/>
              <w:left w:val="nil"/>
              <w:bottom w:val="nil"/>
              <w:right w:val="nil"/>
            </w:tcBorders>
          </w:tcPr>
          <w:p w14:paraId="569A4E6E" w14:textId="77777777" w:rsidR="003523D8" w:rsidRPr="00FD0D8E" w:rsidRDefault="003523D8" w:rsidP="00C74EB6">
            <w:pPr>
              <w:autoSpaceDE w:val="0"/>
              <w:autoSpaceDN w:val="0"/>
              <w:adjustRightInd w:val="0"/>
              <w:rPr>
                <w:kern w:val="0"/>
                <w:szCs w:val="21"/>
              </w:rPr>
            </w:pPr>
            <w:r w:rsidRPr="00FD0D8E">
              <w:rPr>
                <w:kern w:val="0"/>
                <w:szCs w:val="21"/>
              </w:rPr>
              <w:t>Cash</w:t>
            </w:r>
          </w:p>
        </w:tc>
        <w:tc>
          <w:tcPr>
            <w:tcW w:w="1752" w:type="pct"/>
            <w:tcBorders>
              <w:top w:val="nil"/>
              <w:left w:val="nil"/>
              <w:bottom w:val="nil"/>
              <w:right w:val="nil"/>
            </w:tcBorders>
          </w:tcPr>
          <w:p w14:paraId="78BFB769" w14:textId="77777777" w:rsidR="003523D8" w:rsidRPr="00FD0D8E" w:rsidRDefault="003523D8" w:rsidP="00C74EB6">
            <w:pPr>
              <w:autoSpaceDE w:val="0"/>
              <w:autoSpaceDN w:val="0"/>
              <w:adjustRightInd w:val="0"/>
              <w:jc w:val="center"/>
              <w:rPr>
                <w:kern w:val="0"/>
                <w:szCs w:val="21"/>
              </w:rPr>
            </w:pPr>
            <w:r w:rsidRPr="00FD0D8E">
              <w:rPr>
                <w:kern w:val="0"/>
                <w:szCs w:val="21"/>
              </w:rPr>
              <w:t>0.202</w:t>
            </w:r>
            <w:r w:rsidRPr="00FD0D8E">
              <w:rPr>
                <w:kern w:val="0"/>
                <w:szCs w:val="21"/>
                <w:vertAlign w:val="superscript"/>
              </w:rPr>
              <w:t>***</w:t>
            </w:r>
          </w:p>
        </w:tc>
        <w:tc>
          <w:tcPr>
            <w:tcW w:w="1751" w:type="pct"/>
            <w:tcBorders>
              <w:top w:val="nil"/>
              <w:left w:val="nil"/>
              <w:bottom w:val="nil"/>
              <w:right w:val="nil"/>
            </w:tcBorders>
          </w:tcPr>
          <w:p w14:paraId="6DEC3519" w14:textId="77777777" w:rsidR="003523D8" w:rsidRPr="00FD0D8E" w:rsidRDefault="003523D8" w:rsidP="00C74EB6">
            <w:pPr>
              <w:autoSpaceDE w:val="0"/>
              <w:autoSpaceDN w:val="0"/>
              <w:adjustRightInd w:val="0"/>
              <w:jc w:val="center"/>
              <w:rPr>
                <w:kern w:val="0"/>
                <w:szCs w:val="21"/>
              </w:rPr>
            </w:pPr>
            <w:r w:rsidRPr="00FD0D8E">
              <w:rPr>
                <w:kern w:val="0"/>
                <w:szCs w:val="21"/>
              </w:rPr>
              <w:t>0.071</w:t>
            </w:r>
            <w:r w:rsidRPr="00FD0D8E">
              <w:rPr>
                <w:kern w:val="0"/>
                <w:szCs w:val="21"/>
                <w:vertAlign w:val="superscript"/>
              </w:rPr>
              <w:t>**</w:t>
            </w:r>
          </w:p>
        </w:tc>
      </w:tr>
      <w:tr w:rsidR="003523D8" w:rsidRPr="00FD0D8E" w14:paraId="288A0514" w14:textId="77777777" w:rsidTr="003523D8">
        <w:tc>
          <w:tcPr>
            <w:tcW w:w="1497" w:type="pct"/>
            <w:tcBorders>
              <w:top w:val="nil"/>
              <w:left w:val="nil"/>
              <w:bottom w:val="nil"/>
              <w:right w:val="nil"/>
            </w:tcBorders>
          </w:tcPr>
          <w:p w14:paraId="5CBABC04"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02CBCA63" w14:textId="77777777" w:rsidR="003523D8" w:rsidRPr="00FD0D8E" w:rsidRDefault="003523D8" w:rsidP="00C74EB6">
            <w:pPr>
              <w:autoSpaceDE w:val="0"/>
              <w:autoSpaceDN w:val="0"/>
              <w:adjustRightInd w:val="0"/>
              <w:jc w:val="center"/>
              <w:rPr>
                <w:kern w:val="0"/>
                <w:szCs w:val="21"/>
              </w:rPr>
            </w:pPr>
            <w:r w:rsidRPr="00FD0D8E">
              <w:rPr>
                <w:kern w:val="0"/>
                <w:szCs w:val="21"/>
              </w:rPr>
              <w:t>(0.023)</w:t>
            </w:r>
          </w:p>
        </w:tc>
        <w:tc>
          <w:tcPr>
            <w:tcW w:w="1751" w:type="pct"/>
            <w:tcBorders>
              <w:top w:val="nil"/>
              <w:left w:val="nil"/>
              <w:bottom w:val="nil"/>
              <w:right w:val="nil"/>
            </w:tcBorders>
          </w:tcPr>
          <w:p w14:paraId="5F1FDEC7" w14:textId="77777777" w:rsidR="003523D8" w:rsidRPr="00FD0D8E" w:rsidRDefault="003523D8" w:rsidP="00C74EB6">
            <w:pPr>
              <w:autoSpaceDE w:val="0"/>
              <w:autoSpaceDN w:val="0"/>
              <w:adjustRightInd w:val="0"/>
              <w:jc w:val="center"/>
              <w:rPr>
                <w:kern w:val="0"/>
                <w:szCs w:val="21"/>
              </w:rPr>
            </w:pPr>
            <w:r w:rsidRPr="00FD0D8E">
              <w:rPr>
                <w:kern w:val="0"/>
                <w:szCs w:val="21"/>
              </w:rPr>
              <w:t>(0.035)</w:t>
            </w:r>
          </w:p>
        </w:tc>
      </w:tr>
      <w:tr w:rsidR="003523D8" w:rsidRPr="00FD0D8E" w14:paraId="17FF70F3" w14:textId="77777777" w:rsidTr="003523D8">
        <w:tc>
          <w:tcPr>
            <w:tcW w:w="1497" w:type="pct"/>
            <w:tcBorders>
              <w:top w:val="nil"/>
              <w:left w:val="nil"/>
              <w:bottom w:val="nil"/>
              <w:right w:val="nil"/>
            </w:tcBorders>
          </w:tcPr>
          <w:p w14:paraId="51F1A2D6" w14:textId="77777777" w:rsidR="003523D8" w:rsidRPr="00FD0D8E" w:rsidRDefault="003523D8" w:rsidP="00C74EB6">
            <w:pPr>
              <w:autoSpaceDE w:val="0"/>
              <w:autoSpaceDN w:val="0"/>
              <w:adjustRightInd w:val="0"/>
              <w:rPr>
                <w:kern w:val="0"/>
                <w:szCs w:val="21"/>
              </w:rPr>
            </w:pPr>
            <w:r w:rsidRPr="00FD0D8E">
              <w:rPr>
                <w:kern w:val="0"/>
                <w:szCs w:val="21"/>
              </w:rPr>
              <w:t>Volatility</w:t>
            </w:r>
          </w:p>
        </w:tc>
        <w:tc>
          <w:tcPr>
            <w:tcW w:w="1752" w:type="pct"/>
            <w:tcBorders>
              <w:top w:val="nil"/>
              <w:left w:val="nil"/>
              <w:bottom w:val="nil"/>
              <w:right w:val="nil"/>
            </w:tcBorders>
          </w:tcPr>
          <w:p w14:paraId="3E00CC07" w14:textId="77777777" w:rsidR="003523D8" w:rsidRPr="00FD0D8E" w:rsidRDefault="003523D8" w:rsidP="00C74EB6">
            <w:pPr>
              <w:autoSpaceDE w:val="0"/>
              <w:autoSpaceDN w:val="0"/>
              <w:adjustRightInd w:val="0"/>
              <w:jc w:val="center"/>
              <w:rPr>
                <w:kern w:val="0"/>
                <w:szCs w:val="21"/>
              </w:rPr>
            </w:pPr>
            <w:r w:rsidRPr="00FD0D8E">
              <w:rPr>
                <w:kern w:val="0"/>
                <w:szCs w:val="21"/>
              </w:rPr>
              <w:t>-0.360</w:t>
            </w:r>
            <w:r w:rsidRPr="00FD0D8E">
              <w:rPr>
                <w:kern w:val="0"/>
                <w:szCs w:val="21"/>
                <w:vertAlign w:val="superscript"/>
              </w:rPr>
              <w:t>***</w:t>
            </w:r>
          </w:p>
        </w:tc>
        <w:tc>
          <w:tcPr>
            <w:tcW w:w="1751" w:type="pct"/>
            <w:tcBorders>
              <w:top w:val="nil"/>
              <w:left w:val="nil"/>
              <w:bottom w:val="nil"/>
              <w:right w:val="nil"/>
            </w:tcBorders>
          </w:tcPr>
          <w:p w14:paraId="3F9FEBAE" w14:textId="77777777" w:rsidR="003523D8" w:rsidRPr="00FD0D8E" w:rsidRDefault="003523D8" w:rsidP="00C74EB6">
            <w:pPr>
              <w:autoSpaceDE w:val="0"/>
              <w:autoSpaceDN w:val="0"/>
              <w:adjustRightInd w:val="0"/>
              <w:jc w:val="center"/>
              <w:rPr>
                <w:kern w:val="0"/>
                <w:szCs w:val="21"/>
              </w:rPr>
            </w:pPr>
            <w:r w:rsidRPr="00FD0D8E">
              <w:rPr>
                <w:kern w:val="0"/>
                <w:szCs w:val="21"/>
              </w:rPr>
              <w:t>0.053</w:t>
            </w:r>
          </w:p>
        </w:tc>
      </w:tr>
      <w:tr w:rsidR="003523D8" w:rsidRPr="00FD0D8E" w14:paraId="0B80A07C" w14:textId="77777777" w:rsidTr="003523D8">
        <w:tc>
          <w:tcPr>
            <w:tcW w:w="1497" w:type="pct"/>
            <w:tcBorders>
              <w:top w:val="nil"/>
              <w:left w:val="nil"/>
              <w:bottom w:val="nil"/>
              <w:right w:val="nil"/>
            </w:tcBorders>
          </w:tcPr>
          <w:p w14:paraId="3D9CEA3A"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47D285A4" w14:textId="77777777" w:rsidR="003523D8" w:rsidRPr="00FD0D8E" w:rsidRDefault="003523D8" w:rsidP="00C74EB6">
            <w:pPr>
              <w:autoSpaceDE w:val="0"/>
              <w:autoSpaceDN w:val="0"/>
              <w:adjustRightInd w:val="0"/>
              <w:jc w:val="center"/>
              <w:rPr>
                <w:kern w:val="0"/>
                <w:szCs w:val="21"/>
              </w:rPr>
            </w:pPr>
            <w:r w:rsidRPr="00FD0D8E">
              <w:rPr>
                <w:kern w:val="0"/>
                <w:szCs w:val="21"/>
              </w:rPr>
              <w:t>(0.039)</w:t>
            </w:r>
          </w:p>
        </w:tc>
        <w:tc>
          <w:tcPr>
            <w:tcW w:w="1751" w:type="pct"/>
            <w:tcBorders>
              <w:top w:val="nil"/>
              <w:left w:val="nil"/>
              <w:bottom w:val="nil"/>
              <w:right w:val="nil"/>
            </w:tcBorders>
          </w:tcPr>
          <w:p w14:paraId="725DC4DC" w14:textId="77777777" w:rsidR="003523D8" w:rsidRPr="00FD0D8E" w:rsidRDefault="003523D8" w:rsidP="00C74EB6">
            <w:pPr>
              <w:autoSpaceDE w:val="0"/>
              <w:autoSpaceDN w:val="0"/>
              <w:adjustRightInd w:val="0"/>
              <w:jc w:val="center"/>
              <w:rPr>
                <w:kern w:val="0"/>
                <w:szCs w:val="21"/>
              </w:rPr>
            </w:pPr>
            <w:r w:rsidRPr="00FD0D8E">
              <w:rPr>
                <w:kern w:val="0"/>
                <w:szCs w:val="21"/>
              </w:rPr>
              <w:t>(0.092)</w:t>
            </w:r>
          </w:p>
        </w:tc>
      </w:tr>
      <w:tr w:rsidR="003523D8" w:rsidRPr="00FD0D8E" w14:paraId="3927E892" w14:textId="77777777" w:rsidTr="003523D8">
        <w:tc>
          <w:tcPr>
            <w:tcW w:w="1497" w:type="pct"/>
            <w:tcBorders>
              <w:top w:val="nil"/>
              <w:left w:val="nil"/>
              <w:bottom w:val="nil"/>
              <w:right w:val="nil"/>
            </w:tcBorders>
          </w:tcPr>
          <w:p w14:paraId="60997D20" w14:textId="77777777" w:rsidR="003523D8" w:rsidRPr="00FD0D8E" w:rsidRDefault="003523D8" w:rsidP="00C74EB6">
            <w:pPr>
              <w:autoSpaceDE w:val="0"/>
              <w:autoSpaceDN w:val="0"/>
              <w:adjustRightInd w:val="0"/>
              <w:rPr>
                <w:kern w:val="0"/>
                <w:szCs w:val="21"/>
              </w:rPr>
            </w:pPr>
            <w:r w:rsidRPr="00FD0D8E">
              <w:rPr>
                <w:kern w:val="0"/>
                <w:szCs w:val="21"/>
              </w:rPr>
              <w:t>PB</w:t>
            </w:r>
          </w:p>
        </w:tc>
        <w:tc>
          <w:tcPr>
            <w:tcW w:w="1752" w:type="pct"/>
            <w:tcBorders>
              <w:top w:val="nil"/>
              <w:left w:val="nil"/>
              <w:bottom w:val="nil"/>
              <w:right w:val="nil"/>
            </w:tcBorders>
          </w:tcPr>
          <w:p w14:paraId="7B622AC9" w14:textId="77777777" w:rsidR="003523D8" w:rsidRPr="00FD0D8E" w:rsidRDefault="003523D8" w:rsidP="00C74EB6">
            <w:pPr>
              <w:autoSpaceDE w:val="0"/>
              <w:autoSpaceDN w:val="0"/>
              <w:adjustRightInd w:val="0"/>
              <w:jc w:val="center"/>
              <w:rPr>
                <w:kern w:val="0"/>
                <w:szCs w:val="21"/>
              </w:rPr>
            </w:pPr>
            <w:r w:rsidRPr="00FD0D8E">
              <w:rPr>
                <w:kern w:val="0"/>
                <w:szCs w:val="21"/>
              </w:rPr>
              <w:t>-0.007</w:t>
            </w:r>
            <w:r w:rsidRPr="00FD0D8E">
              <w:rPr>
                <w:kern w:val="0"/>
                <w:szCs w:val="21"/>
                <w:vertAlign w:val="superscript"/>
              </w:rPr>
              <w:t>***</w:t>
            </w:r>
          </w:p>
        </w:tc>
        <w:tc>
          <w:tcPr>
            <w:tcW w:w="1751" w:type="pct"/>
            <w:tcBorders>
              <w:top w:val="nil"/>
              <w:left w:val="nil"/>
              <w:bottom w:val="nil"/>
              <w:right w:val="nil"/>
            </w:tcBorders>
          </w:tcPr>
          <w:p w14:paraId="00104C05"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r>
      <w:tr w:rsidR="003523D8" w:rsidRPr="00FD0D8E" w14:paraId="03A2D3DF" w14:textId="77777777" w:rsidTr="003523D8">
        <w:tc>
          <w:tcPr>
            <w:tcW w:w="1497" w:type="pct"/>
            <w:tcBorders>
              <w:top w:val="nil"/>
              <w:left w:val="nil"/>
              <w:bottom w:val="nil"/>
              <w:right w:val="nil"/>
            </w:tcBorders>
          </w:tcPr>
          <w:p w14:paraId="4B120DFC"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0EAF6839"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c>
          <w:tcPr>
            <w:tcW w:w="1751" w:type="pct"/>
            <w:tcBorders>
              <w:top w:val="nil"/>
              <w:left w:val="nil"/>
              <w:bottom w:val="nil"/>
              <w:right w:val="nil"/>
            </w:tcBorders>
          </w:tcPr>
          <w:p w14:paraId="7A3E06DB"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r>
      <w:tr w:rsidR="003523D8" w:rsidRPr="00FD0D8E" w14:paraId="0F62877B" w14:textId="77777777" w:rsidTr="003523D8">
        <w:tc>
          <w:tcPr>
            <w:tcW w:w="1497" w:type="pct"/>
            <w:tcBorders>
              <w:top w:val="nil"/>
              <w:left w:val="nil"/>
              <w:bottom w:val="nil"/>
              <w:right w:val="nil"/>
            </w:tcBorders>
          </w:tcPr>
          <w:p w14:paraId="18A6C437" w14:textId="77777777" w:rsidR="003523D8" w:rsidRPr="00FD0D8E" w:rsidRDefault="003523D8" w:rsidP="00C74EB6">
            <w:pPr>
              <w:autoSpaceDE w:val="0"/>
              <w:autoSpaceDN w:val="0"/>
              <w:adjustRightInd w:val="0"/>
              <w:rPr>
                <w:kern w:val="0"/>
                <w:szCs w:val="21"/>
              </w:rPr>
            </w:pPr>
            <w:proofErr w:type="spellStart"/>
            <w:r w:rsidRPr="00FD0D8E">
              <w:rPr>
                <w:kern w:val="0"/>
                <w:szCs w:val="21"/>
              </w:rPr>
              <w:t>GrowthRev</w:t>
            </w:r>
            <w:proofErr w:type="spellEnd"/>
          </w:p>
        </w:tc>
        <w:tc>
          <w:tcPr>
            <w:tcW w:w="1752" w:type="pct"/>
            <w:tcBorders>
              <w:top w:val="nil"/>
              <w:left w:val="nil"/>
              <w:bottom w:val="nil"/>
              <w:right w:val="nil"/>
            </w:tcBorders>
          </w:tcPr>
          <w:p w14:paraId="50C24048" w14:textId="77777777" w:rsidR="003523D8" w:rsidRPr="00FD0D8E" w:rsidRDefault="003523D8" w:rsidP="00C74EB6">
            <w:pPr>
              <w:autoSpaceDE w:val="0"/>
              <w:autoSpaceDN w:val="0"/>
              <w:adjustRightInd w:val="0"/>
              <w:jc w:val="center"/>
              <w:rPr>
                <w:kern w:val="0"/>
                <w:szCs w:val="21"/>
              </w:rPr>
            </w:pPr>
            <w:r w:rsidRPr="00FD0D8E">
              <w:rPr>
                <w:kern w:val="0"/>
                <w:szCs w:val="21"/>
              </w:rPr>
              <w:t>-0.100</w:t>
            </w:r>
            <w:r w:rsidRPr="00FD0D8E">
              <w:rPr>
                <w:kern w:val="0"/>
                <w:szCs w:val="21"/>
                <w:vertAlign w:val="superscript"/>
              </w:rPr>
              <w:t>***</w:t>
            </w:r>
          </w:p>
        </w:tc>
        <w:tc>
          <w:tcPr>
            <w:tcW w:w="1751" w:type="pct"/>
            <w:tcBorders>
              <w:top w:val="nil"/>
              <w:left w:val="nil"/>
              <w:bottom w:val="nil"/>
              <w:right w:val="nil"/>
            </w:tcBorders>
          </w:tcPr>
          <w:p w14:paraId="4728DCE1" w14:textId="77777777" w:rsidR="003523D8" w:rsidRPr="00FD0D8E" w:rsidRDefault="003523D8" w:rsidP="00C74EB6">
            <w:pPr>
              <w:autoSpaceDE w:val="0"/>
              <w:autoSpaceDN w:val="0"/>
              <w:adjustRightInd w:val="0"/>
              <w:jc w:val="center"/>
              <w:rPr>
                <w:kern w:val="0"/>
                <w:szCs w:val="21"/>
              </w:rPr>
            </w:pPr>
            <w:r w:rsidRPr="00FD0D8E">
              <w:rPr>
                <w:kern w:val="0"/>
                <w:szCs w:val="21"/>
              </w:rPr>
              <w:t>-0.004</w:t>
            </w:r>
          </w:p>
        </w:tc>
      </w:tr>
      <w:tr w:rsidR="003523D8" w:rsidRPr="00FD0D8E" w14:paraId="4A5566A1" w14:textId="77777777" w:rsidTr="003523D8">
        <w:tc>
          <w:tcPr>
            <w:tcW w:w="1497" w:type="pct"/>
            <w:tcBorders>
              <w:top w:val="nil"/>
              <w:left w:val="nil"/>
              <w:bottom w:val="nil"/>
              <w:right w:val="nil"/>
            </w:tcBorders>
          </w:tcPr>
          <w:p w14:paraId="51F42451"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1E221ED4" w14:textId="77777777" w:rsidR="003523D8" w:rsidRPr="00FD0D8E" w:rsidRDefault="003523D8" w:rsidP="00C74EB6">
            <w:pPr>
              <w:autoSpaceDE w:val="0"/>
              <w:autoSpaceDN w:val="0"/>
              <w:adjustRightInd w:val="0"/>
              <w:jc w:val="center"/>
              <w:rPr>
                <w:kern w:val="0"/>
                <w:szCs w:val="21"/>
              </w:rPr>
            </w:pPr>
            <w:r w:rsidRPr="00FD0D8E">
              <w:rPr>
                <w:kern w:val="0"/>
                <w:szCs w:val="21"/>
              </w:rPr>
              <w:t>(0.008)</w:t>
            </w:r>
          </w:p>
        </w:tc>
        <w:tc>
          <w:tcPr>
            <w:tcW w:w="1751" w:type="pct"/>
            <w:tcBorders>
              <w:top w:val="nil"/>
              <w:left w:val="nil"/>
              <w:bottom w:val="nil"/>
              <w:right w:val="nil"/>
            </w:tcBorders>
          </w:tcPr>
          <w:p w14:paraId="1E0577F8" w14:textId="77777777" w:rsidR="003523D8" w:rsidRPr="00FD0D8E" w:rsidRDefault="003523D8" w:rsidP="00C74EB6">
            <w:pPr>
              <w:autoSpaceDE w:val="0"/>
              <w:autoSpaceDN w:val="0"/>
              <w:adjustRightInd w:val="0"/>
              <w:jc w:val="center"/>
              <w:rPr>
                <w:kern w:val="0"/>
                <w:szCs w:val="21"/>
              </w:rPr>
            </w:pPr>
            <w:r w:rsidRPr="00FD0D8E">
              <w:rPr>
                <w:kern w:val="0"/>
                <w:szCs w:val="21"/>
              </w:rPr>
              <w:t>(0.014)</w:t>
            </w:r>
          </w:p>
        </w:tc>
      </w:tr>
      <w:tr w:rsidR="003523D8" w:rsidRPr="00FD0D8E" w14:paraId="1661396B" w14:textId="77777777" w:rsidTr="003523D8">
        <w:tc>
          <w:tcPr>
            <w:tcW w:w="1497" w:type="pct"/>
            <w:tcBorders>
              <w:top w:val="nil"/>
              <w:left w:val="nil"/>
              <w:bottom w:val="nil"/>
              <w:right w:val="nil"/>
            </w:tcBorders>
          </w:tcPr>
          <w:p w14:paraId="494F0900" w14:textId="77777777" w:rsidR="003523D8" w:rsidRPr="00FD0D8E" w:rsidRDefault="003523D8" w:rsidP="00C74EB6">
            <w:pPr>
              <w:autoSpaceDE w:val="0"/>
              <w:autoSpaceDN w:val="0"/>
              <w:adjustRightInd w:val="0"/>
              <w:rPr>
                <w:kern w:val="0"/>
                <w:szCs w:val="21"/>
              </w:rPr>
            </w:pPr>
            <w:r w:rsidRPr="00FD0D8E">
              <w:rPr>
                <w:kern w:val="0"/>
                <w:szCs w:val="21"/>
              </w:rPr>
              <w:t>ROA</w:t>
            </w:r>
          </w:p>
        </w:tc>
        <w:tc>
          <w:tcPr>
            <w:tcW w:w="1752" w:type="pct"/>
            <w:tcBorders>
              <w:top w:val="nil"/>
              <w:left w:val="nil"/>
              <w:bottom w:val="nil"/>
              <w:right w:val="nil"/>
            </w:tcBorders>
          </w:tcPr>
          <w:p w14:paraId="78192F05" w14:textId="77777777" w:rsidR="003523D8" w:rsidRPr="00FD0D8E" w:rsidRDefault="003523D8" w:rsidP="00C74EB6">
            <w:pPr>
              <w:autoSpaceDE w:val="0"/>
              <w:autoSpaceDN w:val="0"/>
              <w:adjustRightInd w:val="0"/>
              <w:jc w:val="center"/>
              <w:rPr>
                <w:kern w:val="0"/>
                <w:szCs w:val="21"/>
              </w:rPr>
            </w:pPr>
            <w:r w:rsidRPr="00FD0D8E">
              <w:rPr>
                <w:kern w:val="0"/>
                <w:szCs w:val="21"/>
              </w:rPr>
              <w:t>0.854</w:t>
            </w:r>
            <w:r w:rsidRPr="00FD0D8E">
              <w:rPr>
                <w:kern w:val="0"/>
                <w:szCs w:val="21"/>
                <w:vertAlign w:val="superscript"/>
              </w:rPr>
              <w:t>***</w:t>
            </w:r>
          </w:p>
        </w:tc>
        <w:tc>
          <w:tcPr>
            <w:tcW w:w="1751" w:type="pct"/>
            <w:tcBorders>
              <w:top w:val="nil"/>
              <w:left w:val="nil"/>
              <w:bottom w:val="nil"/>
              <w:right w:val="nil"/>
            </w:tcBorders>
          </w:tcPr>
          <w:p w14:paraId="792DD3D7" w14:textId="77777777" w:rsidR="003523D8" w:rsidRPr="00FD0D8E" w:rsidRDefault="003523D8" w:rsidP="00C74EB6">
            <w:pPr>
              <w:autoSpaceDE w:val="0"/>
              <w:autoSpaceDN w:val="0"/>
              <w:adjustRightInd w:val="0"/>
              <w:jc w:val="center"/>
              <w:rPr>
                <w:kern w:val="0"/>
                <w:szCs w:val="21"/>
              </w:rPr>
            </w:pPr>
            <w:r w:rsidRPr="00FD0D8E">
              <w:rPr>
                <w:kern w:val="0"/>
                <w:szCs w:val="21"/>
              </w:rPr>
              <w:t>0.041</w:t>
            </w:r>
          </w:p>
        </w:tc>
      </w:tr>
      <w:tr w:rsidR="003523D8" w:rsidRPr="00FD0D8E" w14:paraId="3D2E108E" w14:textId="77777777" w:rsidTr="003523D8">
        <w:tc>
          <w:tcPr>
            <w:tcW w:w="1497" w:type="pct"/>
            <w:tcBorders>
              <w:top w:val="nil"/>
              <w:left w:val="nil"/>
              <w:bottom w:val="nil"/>
              <w:right w:val="nil"/>
            </w:tcBorders>
          </w:tcPr>
          <w:p w14:paraId="2AE468A8"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178FC402" w14:textId="77777777" w:rsidR="003523D8" w:rsidRPr="00FD0D8E" w:rsidRDefault="003523D8" w:rsidP="00C74EB6">
            <w:pPr>
              <w:autoSpaceDE w:val="0"/>
              <w:autoSpaceDN w:val="0"/>
              <w:adjustRightInd w:val="0"/>
              <w:jc w:val="center"/>
              <w:rPr>
                <w:kern w:val="0"/>
                <w:szCs w:val="21"/>
              </w:rPr>
            </w:pPr>
            <w:r w:rsidRPr="00FD0D8E">
              <w:rPr>
                <w:kern w:val="0"/>
                <w:szCs w:val="21"/>
              </w:rPr>
              <w:t>(0.057)</w:t>
            </w:r>
          </w:p>
        </w:tc>
        <w:tc>
          <w:tcPr>
            <w:tcW w:w="1751" w:type="pct"/>
            <w:tcBorders>
              <w:top w:val="nil"/>
              <w:left w:val="nil"/>
              <w:bottom w:val="nil"/>
              <w:right w:val="nil"/>
            </w:tcBorders>
          </w:tcPr>
          <w:p w14:paraId="015F4571" w14:textId="77777777" w:rsidR="003523D8" w:rsidRPr="00FD0D8E" w:rsidRDefault="003523D8" w:rsidP="00C74EB6">
            <w:pPr>
              <w:autoSpaceDE w:val="0"/>
              <w:autoSpaceDN w:val="0"/>
              <w:adjustRightInd w:val="0"/>
              <w:jc w:val="center"/>
              <w:rPr>
                <w:kern w:val="0"/>
                <w:szCs w:val="21"/>
              </w:rPr>
            </w:pPr>
            <w:r w:rsidRPr="00FD0D8E">
              <w:rPr>
                <w:kern w:val="0"/>
                <w:szCs w:val="21"/>
              </w:rPr>
              <w:t>(0.068)</w:t>
            </w:r>
          </w:p>
        </w:tc>
      </w:tr>
      <w:tr w:rsidR="003523D8" w:rsidRPr="00FD0D8E" w14:paraId="2C119571" w14:textId="77777777" w:rsidTr="003523D8">
        <w:tc>
          <w:tcPr>
            <w:tcW w:w="1497" w:type="pct"/>
            <w:tcBorders>
              <w:top w:val="nil"/>
              <w:left w:val="nil"/>
              <w:bottom w:val="nil"/>
              <w:right w:val="nil"/>
            </w:tcBorders>
          </w:tcPr>
          <w:p w14:paraId="2B3DFAB8" w14:textId="77777777" w:rsidR="003523D8" w:rsidRPr="00FD0D8E" w:rsidRDefault="003523D8" w:rsidP="00C74EB6">
            <w:pPr>
              <w:autoSpaceDE w:val="0"/>
              <w:autoSpaceDN w:val="0"/>
              <w:adjustRightInd w:val="0"/>
              <w:rPr>
                <w:kern w:val="0"/>
                <w:szCs w:val="21"/>
              </w:rPr>
            </w:pPr>
            <w:r w:rsidRPr="00FD0D8E">
              <w:rPr>
                <w:kern w:val="0"/>
                <w:szCs w:val="21"/>
              </w:rPr>
              <w:t>Penalty</w:t>
            </w:r>
          </w:p>
        </w:tc>
        <w:tc>
          <w:tcPr>
            <w:tcW w:w="1752" w:type="pct"/>
            <w:tcBorders>
              <w:top w:val="nil"/>
              <w:left w:val="nil"/>
              <w:bottom w:val="nil"/>
              <w:right w:val="nil"/>
            </w:tcBorders>
          </w:tcPr>
          <w:p w14:paraId="03C8243D"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c>
          <w:tcPr>
            <w:tcW w:w="1751" w:type="pct"/>
            <w:tcBorders>
              <w:top w:val="nil"/>
              <w:left w:val="nil"/>
              <w:bottom w:val="nil"/>
              <w:right w:val="nil"/>
            </w:tcBorders>
          </w:tcPr>
          <w:p w14:paraId="3022DEE6" w14:textId="77777777" w:rsidR="003523D8" w:rsidRPr="00FD0D8E" w:rsidRDefault="003523D8" w:rsidP="00C74EB6">
            <w:pPr>
              <w:autoSpaceDE w:val="0"/>
              <w:autoSpaceDN w:val="0"/>
              <w:adjustRightInd w:val="0"/>
              <w:jc w:val="center"/>
              <w:rPr>
                <w:kern w:val="0"/>
                <w:szCs w:val="21"/>
              </w:rPr>
            </w:pPr>
            <w:r w:rsidRPr="00FD0D8E">
              <w:rPr>
                <w:kern w:val="0"/>
                <w:szCs w:val="21"/>
              </w:rPr>
              <w:t>0.003</w:t>
            </w:r>
          </w:p>
        </w:tc>
      </w:tr>
      <w:tr w:rsidR="003523D8" w:rsidRPr="00FD0D8E" w14:paraId="279BF9DA" w14:textId="77777777" w:rsidTr="003523D8">
        <w:tc>
          <w:tcPr>
            <w:tcW w:w="1497" w:type="pct"/>
            <w:tcBorders>
              <w:top w:val="nil"/>
              <w:left w:val="nil"/>
              <w:bottom w:val="nil"/>
              <w:right w:val="nil"/>
            </w:tcBorders>
          </w:tcPr>
          <w:p w14:paraId="399EEB50"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20B63F0C" w14:textId="77777777" w:rsidR="003523D8" w:rsidRPr="00FD0D8E" w:rsidRDefault="003523D8" w:rsidP="00C74EB6">
            <w:pPr>
              <w:autoSpaceDE w:val="0"/>
              <w:autoSpaceDN w:val="0"/>
              <w:adjustRightInd w:val="0"/>
              <w:jc w:val="center"/>
              <w:rPr>
                <w:kern w:val="0"/>
                <w:szCs w:val="21"/>
              </w:rPr>
            </w:pPr>
            <w:r w:rsidRPr="00FD0D8E">
              <w:rPr>
                <w:kern w:val="0"/>
                <w:szCs w:val="21"/>
              </w:rPr>
              <w:t>(0.011)</w:t>
            </w:r>
          </w:p>
        </w:tc>
        <w:tc>
          <w:tcPr>
            <w:tcW w:w="1751" w:type="pct"/>
            <w:tcBorders>
              <w:top w:val="nil"/>
              <w:left w:val="nil"/>
              <w:bottom w:val="nil"/>
              <w:right w:val="nil"/>
            </w:tcBorders>
          </w:tcPr>
          <w:p w14:paraId="0A9D60D1" w14:textId="77777777" w:rsidR="003523D8" w:rsidRPr="00FD0D8E" w:rsidRDefault="003523D8" w:rsidP="00C74EB6">
            <w:pPr>
              <w:autoSpaceDE w:val="0"/>
              <w:autoSpaceDN w:val="0"/>
              <w:adjustRightInd w:val="0"/>
              <w:jc w:val="center"/>
              <w:rPr>
                <w:kern w:val="0"/>
                <w:szCs w:val="21"/>
              </w:rPr>
            </w:pPr>
            <w:r w:rsidRPr="00FD0D8E">
              <w:rPr>
                <w:kern w:val="0"/>
                <w:szCs w:val="21"/>
              </w:rPr>
              <w:t>(0.013)</w:t>
            </w:r>
          </w:p>
        </w:tc>
      </w:tr>
      <w:tr w:rsidR="003523D8" w:rsidRPr="00FD0D8E" w14:paraId="10B2160A" w14:textId="77777777" w:rsidTr="003523D8">
        <w:tc>
          <w:tcPr>
            <w:tcW w:w="1497" w:type="pct"/>
            <w:tcBorders>
              <w:top w:val="nil"/>
              <w:left w:val="nil"/>
              <w:bottom w:val="nil"/>
              <w:right w:val="nil"/>
            </w:tcBorders>
          </w:tcPr>
          <w:p w14:paraId="25CCE44F" w14:textId="77777777" w:rsidR="003523D8" w:rsidRPr="00FD0D8E" w:rsidRDefault="003523D8" w:rsidP="00C74EB6">
            <w:pPr>
              <w:autoSpaceDE w:val="0"/>
              <w:autoSpaceDN w:val="0"/>
              <w:adjustRightInd w:val="0"/>
              <w:rPr>
                <w:kern w:val="0"/>
                <w:szCs w:val="21"/>
              </w:rPr>
            </w:pPr>
            <w:proofErr w:type="spellStart"/>
            <w:r w:rsidRPr="00FD0D8E">
              <w:rPr>
                <w:kern w:val="0"/>
                <w:szCs w:val="21"/>
              </w:rPr>
              <w:t>IndepR</w:t>
            </w:r>
            <w:proofErr w:type="spellEnd"/>
          </w:p>
        </w:tc>
        <w:tc>
          <w:tcPr>
            <w:tcW w:w="1752" w:type="pct"/>
            <w:tcBorders>
              <w:top w:val="nil"/>
              <w:left w:val="nil"/>
              <w:bottom w:val="nil"/>
              <w:right w:val="nil"/>
            </w:tcBorders>
          </w:tcPr>
          <w:p w14:paraId="405F6272" w14:textId="77777777" w:rsidR="003523D8" w:rsidRPr="00FD0D8E" w:rsidRDefault="003523D8" w:rsidP="00C74EB6">
            <w:pPr>
              <w:autoSpaceDE w:val="0"/>
              <w:autoSpaceDN w:val="0"/>
              <w:adjustRightInd w:val="0"/>
              <w:jc w:val="center"/>
              <w:rPr>
                <w:kern w:val="0"/>
                <w:szCs w:val="21"/>
              </w:rPr>
            </w:pPr>
            <w:r w:rsidRPr="00FD0D8E">
              <w:rPr>
                <w:kern w:val="0"/>
                <w:szCs w:val="21"/>
              </w:rPr>
              <w:t>0.041</w:t>
            </w:r>
          </w:p>
        </w:tc>
        <w:tc>
          <w:tcPr>
            <w:tcW w:w="1751" w:type="pct"/>
            <w:tcBorders>
              <w:top w:val="nil"/>
              <w:left w:val="nil"/>
              <w:bottom w:val="nil"/>
              <w:right w:val="nil"/>
            </w:tcBorders>
          </w:tcPr>
          <w:p w14:paraId="26508EA6" w14:textId="77777777" w:rsidR="003523D8" w:rsidRPr="00FD0D8E" w:rsidRDefault="003523D8" w:rsidP="00C74EB6">
            <w:pPr>
              <w:autoSpaceDE w:val="0"/>
              <w:autoSpaceDN w:val="0"/>
              <w:adjustRightInd w:val="0"/>
              <w:jc w:val="center"/>
              <w:rPr>
                <w:kern w:val="0"/>
                <w:szCs w:val="21"/>
              </w:rPr>
            </w:pPr>
            <w:r w:rsidRPr="00FD0D8E">
              <w:rPr>
                <w:kern w:val="0"/>
                <w:szCs w:val="21"/>
              </w:rPr>
              <w:t>0.145</w:t>
            </w:r>
            <w:r w:rsidRPr="00FD0D8E">
              <w:rPr>
                <w:kern w:val="0"/>
                <w:szCs w:val="21"/>
                <w:vertAlign w:val="superscript"/>
              </w:rPr>
              <w:t>***</w:t>
            </w:r>
          </w:p>
        </w:tc>
      </w:tr>
      <w:tr w:rsidR="003523D8" w:rsidRPr="00FD0D8E" w14:paraId="056FF893" w14:textId="77777777" w:rsidTr="003523D8">
        <w:tc>
          <w:tcPr>
            <w:tcW w:w="1497" w:type="pct"/>
            <w:tcBorders>
              <w:top w:val="nil"/>
              <w:left w:val="nil"/>
              <w:bottom w:val="nil"/>
              <w:right w:val="nil"/>
            </w:tcBorders>
          </w:tcPr>
          <w:p w14:paraId="1B04408C"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0D2CF635" w14:textId="77777777" w:rsidR="003523D8" w:rsidRPr="00FD0D8E" w:rsidRDefault="003523D8" w:rsidP="00C74EB6">
            <w:pPr>
              <w:autoSpaceDE w:val="0"/>
              <w:autoSpaceDN w:val="0"/>
              <w:adjustRightInd w:val="0"/>
              <w:jc w:val="center"/>
              <w:rPr>
                <w:kern w:val="0"/>
                <w:szCs w:val="21"/>
              </w:rPr>
            </w:pPr>
            <w:r w:rsidRPr="00FD0D8E">
              <w:rPr>
                <w:kern w:val="0"/>
                <w:szCs w:val="21"/>
              </w:rPr>
              <w:t>(0.038)</w:t>
            </w:r>
          </w:p>
        </w:tc>
        <w:tc>
          <w:tcPr>
            <w:tcW w:w="1751" w:type="pct"/>
            <w:tcBorders>
              <w:top w:val="nil"/>
              <w:left w:val="nil"/>
              <w:bottom w:val="nil"/>
              <w:right w:val="nil"/>
            </w:tcBorders>
          </w:tcPr>
          <w:p w14:paraId="10EDFD57" w14:textId="77777777" w:rsidR="003523D8" w:rsidRPr="00FD0D8E" w:rsidRDefault="003523D8" w:rsidP="00C74EB6">
            <w:pPr>
              <w:autoSpaceDE w:val="0"/>
              <w:autoSpaceDN w:val="0"/>
              <w:adjustRightInd w:val="0"/>
              <w:jc w:val="center"/>
              <w:rPr>
                <w:kern w:val="0"/>
                <w:szCs w:val="21"/>
              </w:rPr>
            </w:pPr>
            <w:r w:rsidRPr="00FD0D8E">
              <w:rPr>
                <w:kern w:val="0"/>
                <w:szCs w:val="21"/>
              </w:rPr>
              <w:t>(0.030)</w:t>
            </w:r>
          </w:p>
        </w:tc>
      </w:tr>
      <w:tr w:rsidR="003523D8" w:rsidRPr="00FD0D8E" w14:paraId="64657948" w14:textId="77777777" w:rsidTr="003523D8">
        <w:tc>
          <w:tcPr>
            <w:tcW w:w="1497" w:type="pct"/>
            <w:tcBorders>
              <w:top w:val="nil"/>
              <w:left w:val="nil"/>
              <w:bottom w:val="nil"/>
              <w:right w:val="nil"/>
            </w:tcBorders>
          </w:tcPr>
          <w:p w14:paraId="339FD2A8" w14:textId="77777777" w:rsidR="003523D8" w:rsidRPr="00FD0D8E" w:rsidRDefault="003523D8" w:rsidP="00C74EB6">
            <w:pPr>
              <w:autoSpaceDE w:val="0"/>
              <w:autoSpaceDN w:val="0"/>
              <w:adjustRightInd w:val="0"/>
              <w:rPr>
                <w:kern w:val="0"/>
                <w:szCs w:val="21"/>
              </w:rPr>
            </w:pPr>
            <w:proofErr w:type="spellStart"/>
            <w:r w:rsidRPr="00FD0D8E">
              <w:rPr>
                <w:kern w:val="0"/>
                <w:szCs w:val="21"/>
              </w:rPr>
              <w:t>DSize</w:t>
            </w:r>
            <w:proofErr w:type="spellEnd"/>
          </w:p>
        </w:tc>
        <w:tc>
          <w:tcPr>
            <w:tcW w:w="1752" w:type="pct"/>
            <w:tcBorders>
              <w:top w:val="nil"/>
              <w:left w:val="nil"/>
              <w:bottom w:val="nil"/>
              <w:right w:val="nil"/>
            </w:tcBorders>
          </w:tcPr>
          <w:p w14:paraId="156133CD" w14:textId="77777777" w:rsidR="003523D8" w:rsidRPr="00FD0D8E" w:rsidRDefault="003523D8" w:rsidP="00C74EB6">
            <w:pPr>
              <w:autoSpaceDE w:val="0"/>
              <w:autoSpaceDN w:val="0"/>
              <w:adjustRightInd w:val="0"/>
              <w:jc w:val="center"/>
              <w:rPr>
                <w:kern w:val="0"/>
                <w:szCs w:val="21"/>
              </w:rPr>
            </w:pPr>
            <w:r w:rsidRPr="00FD0D8E">
              <w:rPr>
                <w:kern w:val="0"/>
                <w:szCs w:val="21"/>
              </w:rPr>
              <w:t>0.006</w:t>
            </w:r>
            <w:r w:rsidRPr="00FD0D8E">
              <w:rPr>
                <w:kern w:val="0"/>
                <w:szCs w:val="21"/>
                <w:vertAlign w:val="superscript"/>
              </w:rPr>
              <w:t>***</w:t>
            </w:r>
          </w:p>
        </w:tc>
        <w:tc>
          <w:tcPr>
            <w:tcW w:w="1751" w:type="pct"/>
            <w:tcBorders>
              <w:top w:val="nil"/>
              <w:left w:val="nil"/>
              <w:bottom w:val="nil"/>
              <w:right w:val="nil"/>
            </w:tcBorders>
          </w:tcPr>
          <w:p w14:paraId="4D0CFEDD" w14:textId="77777777" w:rsidR="003523D8" w:rsidRPr="00FD0D8E" w:rsidRDefault="003523D8" w:rsidP="00C74EB6">
            <w:pPr>
              <w:autoSpaceDE w:val="0"/>
              <w:autoSpaceDN w:val="0"/>
              <w:adjustRightInd w:val="0"/>
              <w:jc w:val="center"/>
              <w:rPr>
                <w:kern w:val="0"/>
                <w:szCs w:val="21"/>
              </w:rPr>
            </w:pPr>
            <w:r w:rsidRPr="00FD0D8E">
              <w:rPr>
                <w:kern w:val="0"/>
                <w:szCs w:val="21"/>
              </w:rPr>
              <w:t>0.002</w:t>
            </w:r>
          </w:p>
        </w:tc>
      </w:tr>
      <w:tr w:rsidR="003523D8" w:rsidRPr="00FD0D8E" w14:paraId="2E385EFC" w14:textId="77777777" w:rsidTr="003523D8">
        <w:tc>
          <w:tcPr>
            <w:tcW w:w="1497" w:type="pct"/>
            <w:tcBorders>
              <w:top w:val="nil"/>
              <w:left w:val="nil"/>
              <w:bottom w:val="nil"/>
              <w:right w:val="nil"/>
            </w:tcBorders>
          </w:tcPr>
          <w:p w14:paraId="23EAA297"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7B6C2FC0"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c>
          <w:tcPr>
            <w:tcW w:w="1751" w:type="pct"/>
            <w:tcBorders>
              <w:top w:val="nil"/>
              <w:left w:val="nil"/>
              <w:bottom w:val="nil"/>
              <w:right w:val="nil"/>
            </w:tcBorders>
          </w:tcPr>
          <w:p w14:paraId="0070E219"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r>
      <w:tr w:rsidR="003523D8" w:rsidRPr="00FD0D8E" w14:paraId="5DF7FFE4" w14:textId="77777777" w:rsidTr="003523D8">
        <w:tc>
          <w:tcPr>
            <w:tcW w:w="1497" w:type="pct"/>
            <w:tcBorders>
              <w:top w:val="nil"/>
              <w:left w:val="nil"/>
              <w:bottom w:val="nil"/>
              <w:right w:val="nil"/>
            </w:tcBorders>
          </w:tcPr>
          <w:p w14:paraId="43A0C67E" w14:textId="77777777" w:rsidR="003523D8" w:rsidRPr="00FD0D8E" w:rsidRDefault="003523D8" w:rsidP="00C74EB6">
            <w:pPr>
              <w:autoSpaceDE w:val="0"/>
              <w:autoSpaceDN w:val="0"/>
              <w:adjustRightInd w:val="0"/>
              <w:rPr>
                <w:kern w:val="0"/>
                <w:szCs w:val="21"/>
              </w:rPr>
            </w:pPr>
            <w:r w:rsidRPr="00FD0D8E">
              <w:rPr>
                <w:kern w:val="0"/>
                <w:szCs w:val="21"/>
              </w:rPr>
              <w:t>Duality</w:t>
            </w:r>
          </w:p>
        </w:tc>
        <w:tc>
          <w:tcPr>
            <w:tcW w:w="1752" w:type="pct"/>
            <w:tcBorders>
              <w:top w:val="nil"/>
              <w:left w:val="nil"/>
              <w:bottom w:val="nil"/>
              <w:right w:val="nil"/>
            </w:tcBorders>
          </w:tcPr>
          <w:p w14:paraId="09EB9B44" w14:textId="77777777" w:rsidR="003523D8" w:rsidRPr="00FD0D8E" w:rsidRDefault="003523D8" w:rsidP="00C74EB6">
            <w:pPr>
              <w:autoSpaceDE w:val="0"/>
              <w:autoSpaceDN w:val="0"/>
              <w:adjustRightInd w:val="0"/>
              <w:jc w:val="center"/>
              <w:rPr>
                <w:kern w:val="0"/>
                <w:szCs w:val="21"/>
              </w:rPr>
            </w:pPr>
            <w:r w:rsidRPr="00FD0D8E">
              <w:rPr>
                <w:kern w:val="0"/>
                <w:szCs w:val="21"/>
              </w:rPr>
              <w:t>-0.022</w:t>
            </w:r>
            <w:r w:rsidRPr="00FD0D8E">
              <w:rPr>
                <w:kern w:val="0"/>
                <w:szCs w:val="21"/>
                <w:vertAlign w:val="superscript"/>
              </w:rPr>
              <w:t>***</w:t>
            </w:r>
          </w:p>
        </w:tc>
        <w:tc>
          <w:tcPr>
            <w:tcW w:w="1751" w:type="pct"/>
            <w:tcBorders>
              <w:top w:val="nil"/>
              <w:left w:val="nil"/>
              <w:bottom w:val="nil"/>
              <w:right w:val="nil"/>
            </w:tcBorders>
          </w:tcPr>
          <w:p w14:paraId="2EB04670" w14:textId="77777777" w:rsidR="003523D8" w:rsidRPr="00FD0D8E" w:rsidRDefault="003523D8" w:rsidP="00C74EB6">
            <w:pPr>
              <w:autoSpaceDE w:val="0"/>
              <w:autoSpaceDN w:val="0"/>
              <w:adjustRightInd w:val="0"/>
              <w:jc w:val="center"/>
              <w:rPr>
                <w:kern w:val="0"/>
                <w:szCs w:val="21"/>
              </w:rPr>
            </w:pPr>
            <w:r w:rsidRPr="00FD0D8E">
              <w:rPr>
                <w:kern w:val="0"/>
                <w:szCs w:val="21"/>
              </w:rPr>
              <w:t>-0.025</w:t>
            </w:r>
            <w:r w:rsidRPr="00FD0D8E">
              <w:rPr>
                <w:kern w:val="0"/>
                <w:szCs w:val="21"/>
                <w:vertAlign w:val="superscript"/>
              </w:rPr>
              <w:t>***</w:t>
            </w:r>
          </w:p>
        </w:tc>
      </w:tr>
      <w:tr w:rsidR="003523D8" w:rsidRPr="00FD0D8E" w14:paraId="5DEC2B6A" w14:textId="77777777" w:rsidTr="003523D8">
        <w:tc>
          <w:tcPr>
            <w:tcW w:w="1497" w:type="pct"/>
            <w:tcBorders>
              <w:top w:val="nil"/>
              <w:left w:val="nil"/>
              <w:bottom w:val="nil"/>
              <w:right w:val="nil"/>
            </w:tcBorders>
          </w:tcPr>
          <w:p w14:paraId="0E20AF9D"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16FDCF16" w14:textId="77777777" w:rsidR="003523D8" w:rsidRPr="00FD0D8E" w:rsidRDefault="003523D8" w:rsidP="00C74EB6">
            <w:pPr>
              <w:autoSpaceDE w:val="0"/>
              <w:autoSpaceDN w:val="0"/>
              <w:adjustRightInd w:val="0"/>
              <w:jc w:val="center"/>
              <w:rPr>
                <w:kern w:val="0"/>
                <w:szCs w:val="21"/>
              </w:rPr>
            </w:pPr>
            <w:r w:rsidRPr="00FD0D8E">
              <w:rPr>
                <w:kern w:val="0"/>
                <w:szCs w:val="21"/>
              </w:rPr>
              <w:t>(0.005)</w:t>
            </w:r>
          </w:p>
        </w:tc>
        <w:tc>
          <w:tcPr>
            <w:tcW w:w="1751" w:type="pct"/>
            <w:tcBorders>
              <w:top w:val="nil"/>
              <w:left w:val="nil"/>
              <w:bottom w:val="nil"/>
              <w:right w:val="nil"/>
            </w:tcBorders>
          </w:tcPr>
          <w:p w14:paraId="21FE498C" w14:textId="77777777" w:rsidR="003523D8" w:rsidRPr="00FD0D8E" w:rsidRDefault="003523D8" w:rsidP="00C74EB6">
            <w:pPr>
              <w:autoSpaceDE w:val="0"/>
              <w:autoSpaceDN w:val="0"/>
              <w:adjustRightInd w:val="0"/>
              <w:jc w:val="center"/>
              <w:rPr>
                <w:kern w:val="0"/>
                <w:szCs w:val="21"/>
              </w:rPr>
            </w:pPr>
            <w:r w:rsidRPr="00FD0D8E">
              <w:rPr>
                <w:kern w:val="0"/>
                <w:szCs w:val="21"/>
              </w:rPr>
              <w:t>(0.008)</w:t>
            </w:r>
          </w:p>
        </w:tc>
      </w:tr>
      <w:tr w:rsidR="003523D8" w:rsidRPr="00FD0D8E" w14:paraId="583F254E" w14:textId="77777777" w:rsidTr="003523D8">
        <w:tc>
          <w:tcPr>
            <w:tcW w:w="1497" w:type="pct"/>
            <w:tcBorders>
              <w:top w:val="nil"/>
              <w:left w:val="nil"/>
              <w:bottom w:val="nil"/>
              <w:right w:val="nil"/>
            </w:tcBorders>
          </w:tcPr>
          <w:p w14:paraId="484A7665" w14:textId="77777777" w:rsidR="003523D8" w:rsidRPr="00FD0D8E" w:rsidRDefault="003523D8" w:rsidP="00C74EB6">
            <w:pPr>
              <w:autoSpaceDE w:val="0"/>
              <w:autoSpaceDN w:val="0"/>
              <w:adjustRightInd w:val="0"/>
              <w:rPr>
                <w:kern w:val="0"/>
                <w:szCs w:val="21"/>
              </w:rPr>
            </w:pPr>
            <w:r w:rsidRPr="00FD0D8E">
              <w:rPr>
                <w:kern w:val="0"/>
                <w:szCs w:val="21"/>
              </w:rPr>
              <w:t>DOSR</w:t>
            </w:r>
          </w:p>
        </w:tc>
        <w:tc>
          <w:tcPr>
            <w:tcW w:w="1752" w:type="pct"/>
            <w:tcBorders>
              <w:top w:val="nil"/>
              <w:left w:val="nil"/>
              <w:bottom w:val="nil"/>
              <w:right w:val="nil"/>
            </w:tcBorders>
          </w:tcPr>
          <w:p w14:paraId="6BACE851" w14:textId="77777777" w:rsidR="003523D8" w:rsidRPr="00FD0D8E" w:rsidRDefault="003523D8" w:rsidP="00C74EB6">
            <w:pPr>
              <w:autoSpaceDE w:val="0"/>
              <w:autoSpaceDN w:val="0"/>
              <w:adjustRightInd w:val="0"/>
              <w:jc w:val="center"/>
              <w:rPr>
                <w:kern w:val="0"/>
                <w:szCs w:val="21"/>
              </w:rPr>
            </w:pPr>
            <w:r w:rsidRPr="00FD0D8E">
              <w:rPr>
                <w:kern w:val="0"/>
                <w:szCs w:val="21"/>
              </w:rPr>
              <w:t>-0.106</w:t>
            </w:r>
            <w:r w:rsidRPr="00FD0D8E">
              <w:rPr>
                <w:kern w:val="0"/>
                <w:szCs w:val="21"/>
                <w:vertAlign w:val="superscript"/>
              </w:rPr>
              <w:t>***</w:t>
            </w:r>
          </w:p>
        </w:tc>
        <w:tc>
          <w:tcPr>
            <w:tcW w:w="1751" w:type="pct"/>
            <w:tcBorders>
              <w:top w:val="nil"/>
              <w:left w:val="nil"/>
              <w:bottom w:val="nil"/>
              <w:right w:val="nil"/>
            </w:tcBorders>
          </w:tcPr>
          <w:p w14:paraId="63594D48" w14:textId="77777777" w:rsidR="003523D8" w:rsidRPr="00FD0D8E" w:rsidRDefault="003523D8" w:rsidP="00C74EB6">
            <w:pPr>
              <w:autoSpaceDE w:val="0"/>
              <w:autoSpaceDN w:val="0"/>
              <w:adjustRightInd w:val="0"/>
              <w:jc w:val="center"/>
              <w:rPr>
                <w:kern w:val="0"/>
                <w:szCs w:val="21"/>
              </w:rPr>
            </w:pPr>
            <w:r w:rsidRPr="00FD0D8E">
              <w:rPr>
                <w:kern w:val="0"/>
                <w:szCs w:val="21"/>
              </w:rPr>
              <w:t>-0.092</w:t>
            </w:r>
            <w:r w:rsidRPr="00FD0D8E">
              <w:rPr>
                <w:kern w:val="0"/>
                <w:szCs w:val="21"/>
                <w:vertAlign w:val="superscript"/>
              </w:rPr>
              <w:t>***</w:t>
            </w:r>
          </w:p>
        </w:tc>
      </w:tr>
      <w:tr w:rsidR="003523D8" w:rsidRPr="00FD0D8E" w14:paraId="759B4DCD" w14:textId="77777777" w:rsidTr="003523D8">
        <w:tc>
          <w:tcPr>
            <w:tcW w:w="1497" w:type="pct"/>
            <w:tcBorders>
              <w:top w:val="nil"/>
              <w:left w:val="nil"/>
              <w:bottom w:val="nil"/>
              <w:right w:val="nil"/>
            </w:tcBorders>
          </w:tcPr>
          <w:p w14:paraId="09870F8F"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1D6C9BD8" w14:textId="77777777" w:rsidR="003523D8" w:rsidRPr="00FD0D8E" w:rsidRDefault="003523D8" w:rsidP="00C74EB6">
            <w:pPr>
              <w:autoSpaceDE w:val="0"/>
              <w:autoSpaceDN w:val="0"/>
              <w:adjustRightInd w:val="0"/>
              <w:jc w:val="center"/>
              <w:rPr>
                <w:kern w:val="0"/>
                <w:szCs w:val="21"/>
              </w:rPr>
            </w:pPr>
            <w:r w:rsidRPr="00FD0D8E">
              <w:rPr>
                <w:kern w:val="0"/>
                <w:szCs w:val="21"/>
              </w:rPr>
              <w:t>(0.014)</w:t>
            </w:r>
          </w:p>
        </w:tc>
        <w:tc>
          <w:tcPr>
            <w:tcW w:w="1751" w:type="pct"/>
            <w:tcBorders>
              <w:top w:val="nil"/>
              <w:left w:val="nil"/>
              <w:bottom w:val="nil"/>
              <w:right w:val="nil"/>
            </w:tcBorders>
          </w:tcPr>
          <w:p w14:paraId="6AA37E77" w14:textId="77777777" w:rsidR="003523D8" w:rsidRPr="00FD0D8E" w:rsidRDefault="003523D8" w:rsidP="00C74EB6">
            <w:pPr>
              <w:autoSpaceDE w:val="0"/>
              <w:autoSpaceDN w:val="0"/>
              <w:adjustRightInd w:val="0"/>
              <w:jc w:val="center"/>
              <w:rPr>
                <w:kern w:val="0"/>
                <w:szCs w:val="21"/>
              </w:rPr>
            </w:pPr>
            <w:r w:rsidRPr="00FD0D8E">
              <w:rPr>
                <w:kern w:val="0"/>
                <w:szCs w:val="21"/>
              </w:rPr>
              <w:t>(0.012)</w:t>
            </w:r>
          </w:p>
        </w:tc>
      </w:tr>
      <w:tr w:rsidR="003523D8" w:rsidRPr="00FD0D8E" w14:paraId="4BFA935E" w14:textId="77777777" w:rsidTr="003523D8">
        <w:tc>
          <w:tcPr>
            <w:tcW w:w="1497" w:type="pct"/>
            <w:tcBorders>
              <w:top w:val="nil"/>
              <w:left w:val="nil"/>
              <w:bottom w:val="nil"/>
              <w:right w:val="nil"/>
            </w:tcBorders>
          </w:tcPr>
          <w:p w14:paraId="6204A037" w14:textId="77777777" w:rsidR="003523D8" w:rsidRPr="00FD0D8E" w:rsidRDefault="003523D8" w:rsidP="00C74EB6">
            <w:pPr>
              <w:autoSpaceDE w:val="0"/>
              <w:autoSpaceDN w:val="0"/>
              <w:adjustRightInd w:val="0"/>
              <w:rPr>
                <w:kern w:val="0"/>
                <w:szCs w:val="21"/>
              </w:rPr>
            </w:pPr>
            <w:r w:rsidRPr="00FD0D8E">
              <w:rPr>
                <w:kern w:val="0"/>
                <w:szCs w:val="21"/>
              </w:rPr>
              <w:t>Size</w:t>
            </w:r>
          </w:p>
        </w:tc>
        <w:tc>
          <w:tcPr>
            <w:tcW w:w="1752" w:type="pct"/>
            <w:tcBorders>
              <w:top w:val="nil"/>
              <w:left w:val="nil"/>
              <w:bottom w:val="nil"/>
              <w:right w:val="nil"/>
            </w:tcBorders>
          </w:tcPr>
          <w:p w14:paraId="668349CD" w14:textId="77777777" w:rsidR="003523D8" w:rsidRPr="00FD0D8E" w:rsidRDefault="003523D8" w:rsidP="00C74EB6">
            <w:pPr>
              <w:autoSpaceDE w:val="0"/>
              <w:autoSpaceDN w:val="0"/>
              <w:adjustRightInd w:val="0"/>
              <w:jc w:val="center"/>
              <w:rPr>
                <w:kern w:val="0"/>
                <w:szCs w:val="21"/>
              </w:rPr>
            </w:pPr>
            <w:r w:rsidRPr="00FD0D8E">
              <w:rPr>
                <w:kern w:val="0"/>
                <w:szCs w:val="21"/>
              </w:rPr>
              <w:t>0.350</w:t>
            </w:r>
            <w:r w:rsidRPr="00FD0D8E">
              <w:rPr>
                <w:kern w:val="0"/>
                <w:szCs w:val="21"/>
                <w:vertAlign w:val="superscript"/>
              </w:rPr>
              <w:t>***</w:t>
            </w:r>
          </w:p>
        </w:tc>
        <w:tc>
          <w:tcPr>
            <w:tcW w:w="1751" w:type="pct"/>
            <w:tcBorders>
              <w:top w:val="nil"/>
              <w:left w:val="nil"/>
              <w:bottom w:val="nil"/>
              <w:right w:val="nil"/>
            </w:tcBorders>
          </w:tcPr>
          <w:p w14:paraId="55B325EC" w14:textId="77777777" w:rsidR="003523D8" w:rsidRPr="00FD0D8E" w:rsidRDefault="003523D8" w:rsidP="00C74EB6">
            <w:pPr>
              <w:autoSpaceDE w:val="0"/>
              <w:autoSpaceDN w:val="0"/>
              <w:adjustRightInd w:val="0"/>
              <w:jc w:val="center"/>
              <w:rPr>
                <w:kern w:val="0"/>
                <w:szCs w:val="21"/>
              </w:rPr>
            </w:pPr>
            <w:r w:rsidRPr="00FD0D8E">
              <w:rPr>
                <w:kern w:val="0"/>
                <w:szCs w:val="21"/>
              </w:rPr>
              <w:t>0.081</w:t>
            </w:r>
            <w:r w:rsidRPr="00FD0D8E">
              <w:rPr>
                <w:kern w:val="0"/>
                <w:szCs w:val="21"/>
                <w:vertAlign w:val="superscript"/>
              </w:rPr>
              <w:t>***</w:t>
            </w:r>
          </w:p>
        </w:tc>
      </w:tr>
      <w:tr w:rsidR="003523D8" w:rsidRPr="00FD0D8E" w14:paraId="4AC37EF9" w14:textId="77777777" w:rsidTr="003523D8">
        <w:tc>
          <w:tcPr>
            <w:tcW w:w="1497" w:type="pct"/>
            <w:tcBorders>
              <w:top w:val="nil"/>
              <w:left w:val="nil"/>
              <w:bottom w:val="nil"/>
              <w:right w:val="nil"/>
            </w:tcBorders>
          </w:tcPr>
          <w:p w14:paraId="66F447B3"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446F93F7" w14:textId="77777777" w:rsidR="003523D8" w:rsidRPr="00FD0D8E" w:rsidRDefault="003523D8" w:rsidP="00C74EB6">
            <w:pPr>
              <w:autoSpaceDE w:val="0"/>
              <w:autoSpaceDN w:val="0"/>
              <w:adjustRightInd w:val="0"/>
              <w:jc w:val="center"/>
              <w:rPr>
                <w:kern w:val="0"/>
                <w:szCs w:val="21"/>
              </w:rPr>
            </w:pPr>
            <w:r w:rsidRPr="00FD0D8E">
              <w:rPr>
                <w:kern w:val="0"/>
                <w:szCs w:val="21"/>
              </w:rPr>
              <w:t>(0.004)</w:t>
            </w:r>
          </w:p>
        </w:tc>
        <w:tc>
          <w:tcPr>
            <w:tcW w:w="1751" w:type="pct"/>
            <w:tcBorders>
              <w:top w:val="nil"/>
              <w:left w:val="nil"/>
              <w:bottom w:val="nil"/>
              <w:right w:val="nil"/>
            </w:tcBorders>
          </w:tcPr>
          <w:p w14:paraId="078C40D4" w14:textId="77777777" w:rsidR="003523D8" w:rsidRPr="00FD0D8E" w:rsidRDefault="003523D8" w:rsidP="00C74EB6">
            <w:pPr>
              <w:autoSpaceDE w:val="0"/>
              <w:autoSpaceDN w:val="0"/>
              <w:adjustRightInd w:val="0"/>
              <w:jc w:val="center"/>
              <w:rPr>
                <w:kern w:val="0"/>
                <w:szCs w:val="21"/>
              </w:rPr>
            </w:pPr>
            <w:r w:rsidRPr="00FD0D8E">
              <w:rPr>
                <w:kern w:val="0"/>
                <w:szCs w:val="21"/>
              </w:rPr>
              <w:t>(0.014)</w:t>
            </w:r>
          </w:p>
        </w:tc>
      </w:tr>
      <w:tr w:rsidR="003523D8" w:rsidRPr="00FD0D8E" w14:paraId="438B153A" w14:textId="77777777" w:rsidTr="003523D8">
        <w:tc>
          <w:tcPr>
            <w:tcW w:w="1497" w:type="pct"/>
            <w:tcBorders>
              <w:top w:val="nil"/>
              <w:left w:val="nil"/>
              <w:right w:val="nil"/>
            </w:tcBorders>
          </w:tcPr>
          <w:p w14:paraId="48EAF850" w14:textId="77777777" w:rsidR="003523D8" w:rsidRPr="00FD0D8E" w:rsidRDefault="003523D8" w:rsidP="00C74EB6">
            <w:pPr>
              <w:autoSpaceDE w:val="0"/>
              <w:autoSpaceDN w:val="0"/>
              <w:adjustRightInd w:val="0"/>
              <w:rPr>
                <w:kern w:val="0"/>
                <w:szCs w:val="21"/>
              </w:rPr>
            </w:pPr>
            <w:r w:rsidRPr="00FD0D8E">
              <w:rPr>
                <w:kern w:val="0"/>
                <w:szCs w:val="21"/>
              </w:rPr>
              <w:t>SOE</w:t>
            </w:r>
          </w:p>
        </w:tc>
        <w:tc>
          <w:tcPr>
            <w:tcW w:w="1752" w:type="pct"/>
            <w:tcBorders>
              <w:top w:val="nil"/>
              <w:left w:val="nil"/>
              <w:right w:val="nil"/>
            </w:tcBorders>
          </w:tcPr>
          <w:p w14:paraId="7944F771" w14:textId="77777777" w:rsidR="003523D8" w:rsidRPr="00FD0D8E" w:rsidRDefault="003523D8" w:rsidP="00C74EB6">
            <w:pPr>
              <w:autoSpaceDE w:val="0"/>
              <w:autoSpaceDN w:val="0"/>
              <w:adjustRightInd w:val="0"/>
              <w:jc w:val="center"/>
              <w:rPr>
                <w:kern w:val="0"/>
                <w:szCs w:val="21"/>
              </w:rPr>
            </w:pPr>
            <w:r w:rsidRPr="00FD0D8E">
              <w:rPr>
                <w:kern w:val="0"/>
                <w:szCs w:val="21"/>
              </w:rPr>
              <w:t>0.022</w:t>
            </w:r>
            <w:r w:rsidRPr="00FD0D8E">
              <w:rPr>
                <w:kern w:val="0"/>
                <w:szCs w:val="21"/>
                <w:vertAlign w:val="superscript"/>
              </w:rPr>
              <w:t>***</w:t>
            </w:r>
          </w:p>
        </w:tc>
        <w:tc>
          <w:tcPr>
            <w:tcW w:w="1751" w:type="pct"/>
            <w:tcBorders>
              <w:top w:val="nil"/>
              <w:left w:val="nil"/>
              <w:right w:val="nil"/>
            </w:tcBorders>
          </w:tcPr>
          <w:p w14:paraId="65D596D8" w14:textId="77777777" w:rsidR="003523D8" w:rsidRPr="00FD0D8E" w:rsidRDefault="003523D8" w:rsidP="00C74EB6">
            <w:pPr>
              <w:autoSpaceDE w:val="0"/>
              <w:autoSpaceDN w:val="0"/>
              <w:adjustRightInd w:val="0"/>
              <w:jc w:val="center"/>
              <w:rPr>
                <w:kern w:val="0"/>
                <w:szCs w:val="21"/>
              </w:rPr>
            </w:pPr>
            <w:r w:rsidRPr="00FD0D8E">
              <w:rPr>
                <w:kern w:val="0"/>
                <w:szCs w:val="21"/>
              </w:rPr>
              <w:t>0.051</w:t>
            </w:r>
            <w:r w:rsidRPr="00FD0D8E">
              <w:rPr>
                <w:kern w:val="0"/>
                <w:szCs w:val="21"/>
                <w:vertAlign w:val="superscript"/>
              </w:rPr>
              <w:t>***</w:t>
            </w:r>
          </w:p>
        </w:tc>
      </w:tr>
      <w:tr w:rsidR="003523D8" w:rsidRPr="00FD0D8E" w14:paraId="3CA540A8" w14:textId="77777777" w:rsidTr="003523D8">
        <w:tc>
          <w:tcPr>
            <w:tcW w:w="1497" w:type="pct"/>
            <w:tcBorders>
              <w:top w:val="nil"/>
              <w:left w:val="nil"/>
              <w:bottom w:val="nil"/>
              <w:right w:val="nil"/>
            </w:tcBorders>
          </w:tcPr>
          <w:p w14:paraId="49BA325A" w14:textId="77777777" w:rsidR="003523D8" w:rsidRPr="00FD0D8E" w:rsidRDefault="003523D8" w:rsidP="00C74EB6">
            <w:pPr>
              <w:autoSpaceDE w:val="0"/>
              <w:autoSpaceDN w:val="0"/>
              <w:adjustRightInd w:val="0"/>
              <w:rPr>
                <w:kern w:val="0"/>
                <w:szCs w:val="21"/>
              </w:rPr>
            </w:pPr>
          </w:p>
        </w:tc>
        <w:tc>
          <w:tcPr>
            <w:tcW w:w="1752" w:type="pct"/>
            <w:tcBorders>
              <w:top w:val="nil"/>
              <w:left w:val="nil"/>
              <w:bottom w:val="nil"/>
              <w:right w:val="nil"/>
            </w:tcBorders>
          </w:tcPr>
          <w:p w14:paraId="072A9033" w14:textId="77777777" w:rsidR="003523D8" w:rsidRPr="00FD0D8E" w:rsidRDefault="003523D8" w:rsidP="00C74EB6">
            <w:pPr>
              <w:autoSpaceDE w:val="0"/>
              <w:autoSpaceDN w:val="0"/>
              <w:adjustRightInd w:val="0"/>
              <w:jc w:val="center"/>
              <w:rPr>
                <w:kern w:val="0"/>
                <w:szCs w:val="21"/>
              </w:rPr>
            </w:pPr>
            <w:r w:rsidRPr="00FD0D8E">
              <w:rPr>
                <w:kern w:val="0"/>
                <w:szCs w:val="21"/>
              </w:rPr>
              <w:t>(0.006)</w:t>
            </w:r>
          </w:p>
        </w:tc>
        <w:tc>
          <w:tcPr>
            <w:tcW w:w="1751" w:type="pct"/>
            <w:tcBorders>
              <w:top w:val="nil"/>
              <w:left w:val="nil"/>
              <w:bottom w:val="nil"/>
              <w:right w:val="nil"/>
            </w:tcBorders>
          </w:tcPr>
          <w:p w14:paraId="06EA9E6B" w14:textId="77777777" w:rsidR="003523D8" w:rsidRPr="00FD0D8E" w:rsidRDefault="003523D8" w:rsidP="00C74EB6">
            <w:pPr>
              <w:autoSpaceDE w:val="0"/>
              <w:autoSpaceDN w:val="0"/>
              <w:adjustRightInd w:val="0"/>
              <w:jc w:val="center"/>
              <w:rPr>
                <w:kern w:val="0"/>
                <w:szCs w:val="21"/>
              </w:rPr>
            </w:pPr>
            <w:r w:rsidRPr="00FD0D8E">
              <w:rPr>
                <w:kern w:val="0"/>
                <w:szCs w:val="21"/>
              </w:rPr>
              <w:t>(0.004)</w:t>
            </w:r>
          </w:p>
        </w:tc>
      </w:tr>
      <w:tr w:rsidR="003523D8" w:rsidRPr="00FD0D8E" w14:paraId="03C54AEF" w14:textId="77777777" w:rsidTr="003523D8">
        <w:tc>
          <w:tcPr>
            <w:tcW w:w="1497" w:type="pct"/>
            <w:tcBorders>
              <w:left w:val="nil"/>
              <w:bottom w:val="nil"/>
              <w:right w:val="nil"/>
            </w:tcBorders>
          </w:tcPr>
          <w:p w14:paraId="203C7B28" w14:textId="4A832B0A" w:rsidR="003523D8" w:rsidRPr="00FD0D8E" w:rsidRDefault="003523D8" w:rsidP="00C74EB6">
            <w:pPr>
              <w:autoSpaceDE w:val="0"/>
              <w:autoSpaceDN w:val="0"/>
              <w:adjustRightInd w:val="0"/>
              <w:rPr>
                <w:kern w:val="0"/>
                <w:szCs w:val="21"/>
              </w:rPr>
            </w:pPr>
            <w:r w:rsidRPr="00FD0D8E">
              <w:rPr>
                <w:rFonts w:hint="eastAsia"/>
                <w:kern w:val="0"/>
                <w:szCs w:val="21"/>
              </w:rPr>
              <w:t>行业</w:t>
            </w:r>
            <w:r w:rsidRPr="00FD0D8E">
              <w:rPr>
                <w:rFonts w:hint="eastAsia"/>
                <w:kern w:val="0"/>
                <w:szCs w:val="21"/>
              </w:rPr>
              <w:t>FE</w:t>
            </w:r>
          </w:p>
        </w:tc>
        <w:tc>
          <w:tcPr>
            <w:tcW w:w="1752" w:type="pct"/>
            <w:tcBorders>
              <w:left w:val="nil"/>
              <w:bottom w:val="nil"/>
              <w:right w:val="nil"/>
            </w:tcBorders>
          </w:tcPr>
          <w:p w14:paraId="4B4D83A0" w14:textId="2516FA32"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c>
          <w:tcPr>
            <w:tcW w:w="1751" w:type="pct"/>
            <w:tcBorders>
              <w:left w:val="nil"/>
              <w:bottom w:val="nil"/>
              <w:right w:val="nil"/>
            </w:tcBorders>
          </w:tcPr>
          <w:p w14:paraId="77BF5FA6" w14:textId="7D8928A7"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r>
      <w:tr w:rsidR="003523D8" w:rsidRPr="00FD0D8E" w14:paraId="05FC3902" w14:textId="77777777" w:rsidTr="003523D8">
        <w:tc>
          <w:tcPr>
            <w:tcW w:w="1497" w:type="pct"/>
            <w:tcBorders>
              <w:left w:val="nil"/>
              <w:bottom w:val="nil"/>
              <w:right w:val="nil"/>
            </w:tcBorders>
          </w:tcPr>
          <w:p w14:paraId="42D86E64" w14:textId="11E97C5E" w:rsidR="003523D8" w:rsidRPr="00FD0D8E" w:rsidRDefault="003523D8" w:rsidP="00C74EB6">
            <w:pPr>
              <w:autoSpaceDE w:val="0"/>
              <w:autoSpaceDN w:val="0"/>
              <w:adjustRightInd w:val="0"/>
              <w:rPr>
                <w:kern w:val="0"/>
                <w:szCs w:val="21"/>
              </w:rPr>
            </w:pPr>
            <w:r w:rsidRPr="00FD0D8E">
              <w:rPr>
                <w:rFonts w:hint="eastAsia"/>
                <w:kern w:val="0"/>
                <w:szCs w:val="21"/>
              </w:rPr>
              <w:t>年份</w:t>
            </w:r>
            <w:r w:rsidRPr="00FD0D8E">
              <w:rPr>
                <w:rFonts w:hint="eastAsia"/>
                <w:kern w:val="0"/>
                <w:szCs w:val="21"/>
              </w:rPr>
              <w:t>FE</w:t>
            </w:r>
          </w:p>
        </w:tc>
        <w:tc>
          <w:tcPr>
            <w:tcW w:w="1752" w:type="pct"/>
            <w:tcBorders>
              <w:left w:val="nil"/>
              <w:bottom w:val="nil"/>
              <w:right w:val="nil"/>
            </w:tcBorders>
          </w:tcPr>
          <w:p w14:paraId="040FDBAE" w14:textId="4554D2A1"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c>
          <w:tcPr>
            <w:tcW w:w="1751" w:type="pct"/>
            <w:tcBorders>
              <w:left w:val="nil"/>
              <w:bottom w:val="nil"/>
              <w:right w:val="nil"/>
            </w:tcBorders>
          </w:tcPr>
          <w:p w14:paraId="6F6B6485" w14:textId="622131F8"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r>
      <w:tr w:rsidR="003523D8" w:rsidRPr="00FD0D8E" w14:paraId="435F486B" w14:textId="77777777" w:rsidTr="003523D8">
        <w:tc>
          <w:tcPr>
            <w:tcW w:w="1497" w:type="pct"/>
            <w:tcBorders>
              <w:left w:val="nil"/>
              <w:right w:val="nil"/>
            </w:tcBorders>
          </w:tcPr>
          <w:p w14:paraId="3823AA6A" w14:textId="7DDF6333" w:rsidR="003523D8" w:rsidRPr="00FD0D8E" w:rsidRDefault="003523D8" w:rsidP="00C74EB6">
            <w:pPr>
              <w:autoSpaceDE w:val="0"/>
              <w:autoSpaceDN w:val="0"/>
              <w:adjustRightInd w:val="0"/>
              <w:rPr>
                <w:kern w:val="0"/>
                <w:szCs w:val="21"/>
              </w:rPr>
            </w:pPr>
            <w:r w:rsidRPr="00FD0D8E">
              <w:rPr>
                <w:kern w:val="0"/>
                <w:szCs w:val="21"/>
              </w:rPr>
              <w:t>N</w:t>
            </w:r>
          </w:p>
        </w:tc>
        <w:tc>
          <w:tcPr>
            <w:tcW w:w="1752" w:type="pct"/>
            <w:tcBorders>
              <w:left w:val="nil"/>
              <w:right w:val="nil"/>
            </w:tcBorders>
          </w:tcPr>
          <w:p w14:paraId="4B4D702F" w14:textId="7DED97C1" w:rsidR="003523D8" w:rsidRPr="00FD0D8E" w:rsidRDefault="003523D8" w:rsidP="00C74EB6">
            <w:pPr>
              <w:autoSpaceDE w:val="0"/>
              <w:autoSpaceDN w:val="0"/>
              <w:adjustRightInd w:val="0"/>
              <w:jc w:val="center"/>
              <w:rPr>
                <w:kern w:val="0"/>
                <w:szCs w:val="21"/>
              </w:rPr>
            </w:pPr>
            <w:r w:rsidRPr="00FD0D8E">
              <w:rPr>
                <w:kern w:val="0"/>
                <w:szCs w:val="21"/>
              </w:rPr>
              <w:t>24133</w:t>
            </w:r>
          </w:p>
        </w:tc>
        <w:tc>
          <w:tcPr>
            <w:tcW w:w="1751" w:type="pct"/>
            <w:tcBorders>
              <w:left w:val="nil"/>
              <w:right w:val="nil"/>
            </w:tcBorders>
          </w:tcPr>
          <w:p w14:paraId="74D5A672" w14:textId="1EE3CD9D" w:rsidR="003523D8" w:rsidRPr="00FD0D8E" w:rsidRDefault="003523D8" w:rsidP="00C74EB6">
            <w:pPr>
              <w:autoSpaceDE w:val="0"/>
              <w:autoSpaceDN w:val="0"/>
              <w:adjustRightInd w:val="0"/>
              <w:jc w:val="center"/>
              <w:rPr>
                <w:kern w:val="0"/>
                <w:szCs w:val="21"/>
              </w:rPr>
            </w:pPr>
            <w:r w:rsidRPr="00FD0D8E">
              <w:rPr>
                <w:kern w:val="0"/>
                <w:szCs w:val="21"/>
              </w:rPr>
              <w:t>10405</w:t>
            </w:r>
          </w:p>
        </w:tc>
      </w:tr>
      <w:tr w:rsidR="003523D8" w:rsidRPr="00FD0D8E" w14:paraId="7D558591" w14:textId="77777777" w:rsidTr="003523D8">
        <w:tc>
          <w:tcPr>
            <w:tcW w:w="1497" w:type="pct"/>
            <w:tcBorders>
              <w:left w:val="nil"/>
              <w:bottom w:val="single" w:sz="4" w:space="0" w:color="auto"/>
              <w:right w:val="nil"/>
            </w:tcBorders>
          </w:tcPr>
          <w:p w14:paraId="2AAE31BE" w14:textId="7E0EEF1F" w:rsidR="003523D8" w:rsidRPr="00FD0D8E" w:rsidRDefault="003523D8" w:rsidP="00C74EB6">
            <w:pPr>
              <w:autoSpaceDE w:val="0"/>
              <w:autoSpaceDN w:val="0"/>
              <w:adjustRightInd w:val="0"/>
              <w:rPr>
                <w:kern w:val="0"/>
                <w:szCs w:val="21"/>
              </w:rPr>
            </w:pPr>
            <w:r w:rsidRPr="00FD0D8E">
              <w:rPr>
                <w:kern w:val="0"/>
                <w:szCs w:val="21"/>
              </w:rPr>
              <w:t>Pseudo R²</w:t>
            </w:r>
          </w:p>
        </w:tc>
        <w:tc>
          <w:tcPr>
            <w:tcW w:w="1752" w:type="pct"/>
            <w:tcBorders>
              <w:left w:val="nil"/>
              <w:bottom w:val="single" w:sz="4" w:space="0" w:color="auto"/>
              <w:right w:val="nil"/>
            </w:tcBorders>
          </w:tcPr>
          <w:p w14:paraId="77B70F26" w14:textId="582E9A06" w:rsidR="003523D8" w:rsidRPr="00FD0D8E" w:rsidRDefault="003523D8" w:rsidP="00C74EB6">
            <w:pPr>
              <w:autoSpaceDE w:val="0"/>
              <w:autoSpaceDN w:val="0"/>
              <w:adjustRightInd w:val="0"/>
              <w:jc w:val="center"/>
              <w:rPr>
                <w:kern w:val="0"/>
                <w:szCs w:val="21"/>
              </w:rPr>
            </w:pPr>
            <w:r w:rsidRPr="00FD0D8E">
              <w:rPr>
                <w:rFonts w:hint="eastAsia"/>
                <w:kern w:val="0"/>
                <w:szCs w:val="21"/>
              </w:rPr>
              <w:t>0.41</w:t>
            </w:r>
          </w:p>
        </w:tc>
        <w:tc>
          <w:tcPr>
            <w:tcW w:w="1751" w:type="pct"/>
            <w:tcBorders>
              <w:left w:val="nil"/>
              <w:bottom w:val="single" w:sz="4" w:space="0" w:color="auto"/>
              <w:right w:val="nil"/>
            </w:tcBorders>
          </w:tcPr>
          <w:p w14:paraId="44CD2FCC" w14:textId="7981F5B7" w:rsidR="003523D8" w:rsidRPr="00FD0D8E" w:rsidRDefault="003523D8" w:rsidP="00C74EB6">
            <w:pPr>
              <w:autoSpaceDE w:val="0"/>
              <w:autoSpaceDN w:val="0"/>
              <w:adjustRightInd w:val="0"/>
              <w:jc w:val="center"/>
              <w:rPr>
                <w:kern w:val="0"/>
                <w:szCs w:val="21"/>
              </w:rPr>
            </w:pPr>
            <w:r w:rsidRPr="00FD0D8E">
              <w:rPr>
                <w:rFonts w:hint="eastAsia"/>
                <w:kern w:val="0"/>
                <w:szCs w:val="21"/>
              </w:rPr>
              <w:t>0.23</w:t>
            </w:r>
          </w:p>
        </w:tc>
      </w:tr>
    </w:tbl>
    <w:p w14:paraId="481850AD" w14:textId="67DBD171" w:rsidR="00922EB0" w:rsidRPr="001F35F2" w:rsidRDefault="00922EB0" w:rsidP="00922EB0">
      <w:pPr>
        <w:autoSpaceDE w:val="0"/>
        <w:autoSpaceDN w:val="0"/>
        <w:adjustRightInd w:val="0"/>
        <w:ind w:firstLine="360"/>
        <w:rPr>
          <w:kern w:val="0"/>
          <w:sz w:val="18"/>
          <w:szCs w:val="18"/>
        </w:rPr>
      </w:pPr>
      <w:r w:rsidRPr="00086241">
        <w:rPr>
          <w:rFonts w:hint="eastAsia"/>
          <w:kern w:val="0"/>
          <w:sz w:val="18"/>
          <w:szCs w:val="18"/>
        </w:rPr>
        <w:t>注：表内报告的是估计结果的边际效应；括号内代表聚类稳健标准误；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p>
    <w:p w14:paraId="52758D70" w14:textId="77777777" w:rsidR="003523D8" w:rsidRPr="00922EB0" w:rsidRDefault="003523D8" w:rsidP="004347C6">
      <w:pPr>
        <w:spacing w:line="360" w:lineRule="auto"/>
        <w:ind w:firstLine="480"/>
        <w:rPr>
          <w:sz w:val="24"/>
        </w:rPr>
      </w:pPr>
    </w:p>
    <w:p w14:paraId="14A363BC" w14:textId="77777777" w:rsidR="003523D8" w:rsidRDefault="003523D8" w:rsidP="004347C6">
      <w:pPr>
        <w:spacing w:line="360" w:lineRule="auto"/>
        <w:ind w:firstLine="480"/>
        <w:rPr>
          <w:sz w:val="24"/>
        </w:rPr>
      </w:pPr>
    </w:p>
    <w:p w14:paraId="70023D87" w14:textId="77777777" w:rsidR="003523D8" w:rsidRDefault="003523D8" w:rsidP="004347C6">
      <w:pPr>
        <w:spacing w:line="360" w:lineRule="auto"/>
        <w:ind w:firstLine="480"/>
        <w:rPr>
          <w:sz w:val="24"/>
        </w:rPr>
      </w:pPr>
    </w:p>
    <w:p w14:paraId="448DBFCA" w14:textId="77777777" w:rsidR="003523D8" w:rsidRPr="001F35F2" w:rsidRDefault="003523D8" w:rsidP="004347C6">
      <w:pPr>
        <w:spacing w:line="360" w:lineRule="auto"/>
        <w:ind w:firstLine="480"/>
        <w:rPr>
          <w:sz w:val="24"/>
        </w:rPr>
      </w:pPr>
    </w:p>
    <w:p w14:paraId="7E4C20E8" w14:textId="77777777" w:rsidR="004347C6" w:rsidRPr="00086241" w:rsidRDefault="004347C6" w:rsidP="00CE240B">
      <w:pPr>
        <w:pStyle w:val="af5"/>
        <w:spacing w:line="360" w:lineRule="auto"/>
        <w:ind w:firstLine="482"/>
        <w:rPr>
          <w:rFonts w:ascii="Times New Roman" w:hAnsi="Times New Roman"/>
        </w:rPr>
      </w:pPr>
      <w:bookmarkStart w:id="113" w:name="_Ref184717458"/>
    </w:p>
    <w:p w14:paraId="49976888" w14:textId="3E7E88F2" w:rsidR="004347C6" w:rsidRPr="00734874" w:rsidRDefault="00734874" w:rsidP="00734874">
      <w:pPr>
        <w:pStyle w:val="af5"/>
        <w:ind w:firstLine="482"/>
        <w:rPr>
          <w:rFonts w:ascii="Times New Roman" w:hAnsi="Times New Roman"/>
        </w:rPr>
      </w:pPr>
      <w:bookmarkStart w:id="114" w:name="_Ref190768627"/>
      <w:bookmarkEnd w:id="113"/>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6</w:t>
      </w:r>
      <w:r w:rsidRPr="00734874">
        <w:rPr>
          <w:rFonts w:ascii="Times New Roman" w:hAnsi="Times New Roman" w:hint="eastAsia"/>
        </w:rPr>
        <w:fldChar w:fldCharType="end"/>
      </w:r>
      <w:bookmarkEnd w:id="114"/>
      <w:r w:rsidR="004347C6" w:rsidRPr="00734874">
        <w:rPr>
          <w:rFonts w:ascii="Times New Roman" w:hAnsi="Times New Roman"/>
        </w:rPr>
        <w:t>：</w:t>
      </w:r>
      <w:r w:rsidR="004347C6" w:rsidRPr="00734874">
        <w:rPr>
          <w:rFonts w:ascii="Times New Roman" w:hAnsi="Times New Roman" w:hint="eastAsia"/>
        </w:rPr>
        <w:t>PSM</w:t>
      </w:r>
      <w:r w:rsidR="004347C6" w:rsidRPr="00734874">
        <w:rPr>
          <w:rFonts w:ascii="Times New Roman" w:hAnsi="Times New Roman" w:hint="eastAsia"/>
        </w:rPr>
        <w:t>方法处理内生性问题</w:t>
      </w:r>
    </w:p>
    <w:tbl>
      <w:tblPr>
        <w:tblW w:w="5000" w:type="pct"/>
        <w:tblLook w:val="0000" w:firstRow="0" w:lastRow="0" w:firstColumn="0" w:lastColumn="0" w:noHBand="0" w:noVBand="0"/>
      </w:tblPr>
      <w:tblGrid>
        <w:gridCol w:w="2485"/>
        <w:gridCol w:w="2912"/>
        <w:gridCol w:w="2909"/>
      </w:tblGrid>
      <w:tr w:rsidR="003523D8" w:rsidRPr="00FD0D8E" w14:paraId="3859162F" w14:textId="77777777" w:rsidTr="00C02C0C">
        <w:tc>
          <w:tcPr>
            <w:tcW w:w="1496" w:type="pct"/>
            <w:tcBorders>
              <w:top w:val="single" w:sz="4" w:space="0" w:color="auto"/>
              <w:left w:val="nil"/>
              <w:bottom w:val="single" w:sz="4" w:space="0" w:color="auto"/>
              <w:right w:val="nil"/>
            </w:tcBorders>
          </w:tcPr>
          <w:p w14:paraId="5B7E94FD" w14:textId="7704E1F0" w:rsidR="003523D8" w:rsidRPr="00FD0D8E" w:rsidRDefault="00C02C0C" w:rsidP="00C74EB6">
            <w:pPr>
              <w:autoSpaceDE w:val="0"/>
              <w:autoSpaceDN w:val="0"/>
              <w:adjustRightInd w:val="0"/>
              <w:rPr>
                <w:kern w:val="0"/>
                <w:szCs w:val="21"/>
              </w:rPr>
            </w:pPr>
            <w:r w:rsidRPr="00FD0D8E">
              <w:rPr>
                <w:kern w:val="0"/>
                <w:szCs w:val="21"/>
              </w:rPr>
              <w:t>DO</w:t>
            </w:r>
            <w:r w:rsidRPr="00FD0D8E">
              <w:rPr>
                <w:kern w:val="0"/>
                <w:szCs w:val="21"/>
                <w:vertAlign w:val="subscript"/>
              </w:rPr>
              <w:t>t+1</w:t>
            </w:r>
          </w:p>
        </w:tc>
        <w:tc>
          <w:tcPr>
            <w:tcW w:w="1753" w:type="pct"/>
            <w:tcBorders>
              <w:top w:val="single" w:sz="4" w:space="0" w:color="auto"/>
              <w:left w:val="nil"/>
              <w:bottom w:val="single" w:sz="4" w:space="0" w:color="auto"/>
              <w:right w:val="nil"/>
            </w:tcBorders>
          </w:tcPr>
          <w:p w14:paraId="3A862A2F" w14:textId="122E3A99" w:rsidR="003523D8" w:rsidRPr="00FD0D8E" w:rsidRDefault="003523D8" w:rsidP="00C74EB6">
            <w:pPr>
              <w:autoSpaceDE w:val="0"/>
              <w:autoSpaceDN w:val="0"/>
              <w:adjustRightInd w:val="0"/>
              <w:jc w:val="center"/>
              <w:rPr>
                <w:kern w:val="0"/>
                <w:szCs w:val="21"/>
              </w:rPr>
            </w:pPr>
            <w:r w:rsidRPr="00FD0D8E">
              <w:rPr>
                <w:kern w:val="0"/>
                <w:szCs w:val="21"/>
              </w:rPr>
              <w:t>(</w:t>
            </w:r>
            <w:r w:rsidR="00C02C0C" w:rsidRPr="00FD0D8E">
              <w:rPr>
                <w:rFonts w:hint="eastAsia"/>
                <w:kern w:val="0"/>
                <w:szCs w:val="21"/>
              </w:rPr>
              <w:t>1</w:t>
            </w:r>
            <w:r w:rsidRPr="00FD0D8E">
              <w:rPr>
                <w:kern w:val="0"/>
                <w:szCs w:val="21"/>
              </w:rPr>
              <w:t>)</w:t>
            </w:r>
          </w:p>
        </w:tc>
        <w:tc>
          <w:tcPr>
            <w:tcW w:w="1751" w:type="pct"/>
            <w:tcBorders>
              <w:top w:val="single" w:sz="4" w:space="0" w:color="auto"/>
              <w:left w:val="nil"/>
              <w:bottom w:val="single" w:sz="4" w:space="0" w:color="auto"/>
              <w:right w:val="nil"/>
            </w:tcBorders>
          </w:tcPr>
          <w:p w14:paraId="480D112F" w14:textId="7184EFC5" w:rsidR="003523D8" w:rsidRPr="00FD0D8E" w:rsidRDefault="003523D8" w:rsidP="00C74EB6">
            <w:pPr>
              <w:autoSpaceDE w:val="0"/>
              <w:autoSpaceDN w:val="0"/>
              <w:adjustRightInd w:val="0"/>
              <w:jc w:val="center"/>
              <w:rPr>
                <w:kern w:val="0"/>
                <w:szCs w:val="21"/>
              </w:rPr>
            </w:pPr>
            <w:r w:rsidRPr="00FD0D8E">
              <w:rPr>
                <w:kern w:val="0"/>
                <w:szCs w:val="21"/>
              </w:rPr>
              <w:t>(</w:t>
            </w:r>
            <w:r w:rsidR="00C02C0C" w:rsidRPr="00FD0D8E">
              <w:rPr>
                <w:rFonts w:hint="eastAsia"/>
                <w:kern w:val="0"/>
                <w:szCs w:val="21"/>
              </w:rPr>
              <w:t>2</w:t>
            </w:r>
            <w:r w:rsidRPr="00FD0D8E">
              <w:rPr>
                <w:kern w:val="0"/>
                <w:szCs w:val="21"/>
              </w:rPr>
              <w:t>)</w:t>
            </w:r>
          </w:p>
        </w:tc>
      </w:tr>
      <w:tr w:rsidR="003523D8" w:rsidRPr="00FD0D8E" w14:paraId="003F81F7" w14:textId="77777777" w:rsidTr="00C02C0C">
        <w:tc>
          <w:tcPr>
            <w:tcW w:w="1496" w:type="pct"/>
            <w:tcBorders>
              <w:top w:val="nil"/>
              <w:left w:val="nil"/>
              <w:bottom w:val="nil"/>
              <w:right w:val="nil"/>
            </w:tcBorders>
          </w:tcPr>
          <w:p w14:paraId="5FEEDA26" w14:textId="592C38CC" w:rsidR="003523D8" w:rsidRPr="00FD0D8E" w:rsidRDefault="003523D8" w:rsidP="00C74EB6">
            <w:pPr>
              <w:autoSpaceDE w:val="0"/>
              <w:autoSpaceDN w:val="0"/>
              <w:adjustRightInd w:val="0"/>
              <w:rPr>
                <w:kern w:val="0"/>
                <w:szCs w:val="21"/>
              </w:rPr>
            </w:pPr>
            <w:r w:rsidRPr="00FD0D8E">
              <w:rPr>
                <w:kern w:val="0"/>
                <w:szCs w:val="21"/>
              </w:rPr>
              <w:t>OC</w:t>
            </w:r>
          </w:p>
        </w:tc>
        <w:tc>
          <w:tcPr>
            <w:tcW w:w="1753" w:type="pct"/>
            <w:tcBorders>
              <w:top w:val="nil"/>
              <w:left w:val="nil"/>
              <w:bottom w:val="nil"/>
              <w:right w:val="nil"/>
            </w:tcBorders>
          </w:tcPr>
          <w:p w14:paraId="018EEE27" w14:textId="12BBB0D2" w:rsidR="003523D8" w:rsidRPr="00FD0D8E" w:rsidRDefault="003523D8" w:rsidP="00C74EB6">
            <w:pPr>
              <w:autoSpaceDE w:val="0"/>
              <w:autoSpaceDN w:val="0"/>
              <w:adjustRightInd w:val="0"/>
              <w:jc w:val="center"/>
              <w:rPr>
                <w:kern w:val="0"/>
                <w:szCs w:val="21"/>
              </w:rPr>
            </w:pPr>
            <w:r w:rsidRPr="00FD0D8E">
              <w:rPr>
                <w:kern w:val="0"/>
                <w:szCs w:val="21"/>
              </w:rPr>
              <w:t>0.</w:t>
            </w:r>
            <w:r w:rsidR="00C02C0C" w:rsidRPr="00FD0D8E">
              <w:rPr>
                <w:rFonts w:hint="eastAsia"/>
                <w:kern w:val="0"/>
                <w:szCs w:val="21"/>
              </w:rPr>
              <w:t>283</w:t>
            </w:r>
            <w:r w:rsidRPr="00FD0D8E">
              <w:rPr>
                <w:kern w:val="0"/>
                <w:szCs w:val="21"/>
                <w:vertAlign w:val="superscript"/>
              </w:rPr>
              <w:t>***</w:t>
            </w:r>
          </w:p>
        </w:tc>
        <w:tc>
          <w:tcPr>
            <w:tcW w:w="1751" w:type="pct"/>
            <w:tcBorders>
              <w:top w:val="nil"/>
              <w:left w:val="nil"/>
              <w:bottom w:val="nil"/>
              <w:right w:val="nil"/>
            </w:tcBorders>
          </w:tcPr>
          <w:p w14:paraId="6352F2F5" w14:textId="77777777" w:rsidR="003523D8" w:rsidRPr="00FD0D8E" w:rsidRDefault="003523D8" w:rsidP="00C74EB6">
            <w:pPr>
              <w:autoSpaceDE w:val="0"/>
              <w:autoSpaceDN w:val="0"/>
              <w:adjustRightInd w:val="0"/>
              <w:jc w:val="center"/>
              <w:rPr>
                <w:kern w:val="0"/>
                <w:szCs w:val="21"/>
              </w:rPr>
            </w:pPr>
            <w:r w:rsidRPr="00FD0D8E">
              <w:rPr>
                <w:kern w:val="0"/>
                <w:szCs w:val="21"/>
              </w:rPr>
              <w:t>0.132</w:t>
            </w:r>
            <w:r w:rsidRPr="00FD0D8E">
              <w:rPr>
                <w:kern w:val="0"/>
                <w:szCs w:val="21"/>
                <w:vertAlign w:val="superscript"/>
              </w:rPr>
              <w:t>**</w:t>
            </w:r>
          </w:p>
        </w:tc>
      </w:tr>
      <w:tr w:rsidR="003523D8" w:rsidRPr="00FD0D8E" w14:paraId="160A45A0" w14:textId="77777777" w:rsidTr="00C02C0C">
        <w:tc>
          <w:tcPr>
            <w:tcW w:w="1496" w:type="pct"/>
            <w:tcBorders>
              <w:top w:val="nil"/>
              <w:left w:val="nil"/>
              <w:bottom w:val="nil"/>
              <w:right w:val="nil"/>
            </w:tcBorders>
          </w:tcPr>
          <w:p w14:paraId="1F69A152"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70D27CBD" w14:textId="4CD3DC2A" w:rsidR="003523D8" w:rsidRPr="00FD0D8E" w:rsidRDefault="003523D8" w:rsidP="00C74EB6">
            <w:pPr>
              <w:autoSpaceDE w:val="0"/>
              <w:autoSpaceDN w:val="0"/>
              <w:adjustRightInd w:val="0"/>
              <w:jc w:val="center"/>
              <w:rPr>
                <w:kern w:val="0"/>
                <w:szCs w:val="21"/>
              </w:rPr>
            </w:pPr>
            <w:r w:rsidRPr="00FD0D8E">
              <w:rPr>
                <w:kern w:val="0"/>
                <w:szCs w:val="21"/>
              </w:rPr>
              <w:t>(0</w:t>
            </w:r>
            <w:r w:rsidR="00C02C0C" w:rsidRPr="00FD0D8E">
              <w:rPr>
                <w:rFonts w:hint="eastAsia"/>
                <w:kern w:val="0"/>
                <w:szCs w:val="21"/>
              </w:rPr>
              <w:t>.063</w:t>
            </w:r>
            <w:r w:rsidRPr="00FD0D8E">
              <w:rPr>
                <w:kern w:val="0"/>
                <w:szCs w:val="21"/>
              </w:rPr>
              <w:t>)</w:t>
            </w:r>
          </w:p>
        </w:tc>
        <w:tc>
          <w:tcPr>
            <w:tcW w:w="1751" w:type="pct"/>
            <w:tcBorders>
              <w:top w:val="nil"/>
              <w:left w:val="nil"/>
              <w:bottom w:val="nil"/>
              <w:right w:val="nil"/>
            </w:tcBorders>
          </w:tcPr>
          <w:p w14:paraId="5608434A" w14:textId="77777777" w:rsidR="003523D8" w:rsidRPr="00FD0D8E" w:rsidRDefault="003523D8" w:rsidP="00C74EB6">
            <w:pPr>
              <w:autoSpaceDE w:val="0"/>
              <w:autoSpaceDN w:val="0"/>
              <w:adjustRightInd w:val="0"/>
              <w:jc w:val="center"/>
              <w:rPr>
                <w:kern w:val="0"/>
                <w:szCs w:val="21"/>
              </w:rPr>
            </w:pPr>
            <w:r w:rsidRPr="00FD0D8E">
              <w:rPr>
                <w:kern w:val="0"/>
                <w:szCs w:val="21"/>
              </w:rPr>
              <w:t>(0.054)</w:t>
            </w:r>
          </w:p>
        </w:tc>
      </w:tr>
      <w:tr w:rsidR="003523D8" w:rsidRPr="00FD0D8E" w14:paraId="1F1AE5E5" w14:textId="77777777" w:rsidTr="00C02C0C">
        <w:tc>
          <w:tcPr>
            <w:tcW w:w="1496" w:type="pct"/>
            <w:tcBorders>
              <w:top w:val="nil"/>
              <w:left w:val="nil"/>
              <w:bottom w:val="nil"/>
              <w:right w:val="nil"/>
            </w:tcBorders>
          </w:tcPr>
          <w:p w14:paraId="231DD981" w14:textId="77777777" w:rsidR="003523D8" w:rsidRPr="00FD0D8E" w:rsidRDefault="003523D8" w:rsidP="00C74EB6">
            <w:pPr>
              <w:autoSpaceDE w:val="0"/>
              <w:autoSpaceDN w:val="0"/>
              <w:adjustRightInd w:val="0"/>
              <w:rPr>
                <w:kern w:val="0"/>
                <w:szCs w:val="21"/>
              </w:rPr>
            </w:pPr>
            <w:r w:rsidRPr="00FD0D8E">
              <w:rPr>
                <w:kern w:val="0"/>
                <w:szCs w:val="21"/>
              </w:rPr>
              <w:t>BH</w:t>
            </w:r>
          </w:p>
        </w:tc>
        <w:tc>
          <w:tcPr>
            <w:tcW w:w="1753" w:type="pct"/>
            <w:tcBorders>
              <w:top w:val="nil"/>
              <w:left w:val="nil"/>
              <w:bottom w:val="nil"/>
              <w:right w:val="nil"/>
            </w:tcBorders>
          </w:tcPr>
          <w:p w14:paraId="398B6489" w14:textId="43DEB7FE"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39CBD67" w14:textId="77777777" w:rsidR="003523D8" w:rsidRPr="00FD0D8E" w:rsidRDefault="003523D8" w:rsidP="00C74EB6">
            <w:pPr>
              <w:autoSpaceDE w:val="0"/>
              <w:autoSpaceDN w:val="0"/>
              <w:adjustRightInd w:val="0"/>
              <w:jc w:val="center"/>
              <w:rPr>
                <w:kern w:val="0"/>
                <w:szCs w:val="21"/>
              </w:rPr>
            </w:pPr>
            <w:r w:rsidRPr="00FD0D8E">
              <w:rPr>
                <w:kern w:val="0"/>
                <w:szCs w:val="21"/>
              </w:rPr>
              <w:t>0.094</w:t>
            </w:r>
            <w:r w:rsidRPr="00FD0D8E">
              <w:rPr>
                <w:kern w:val="0"/>
                <w:szCs w:val="21"/>
                <w:vertAlign w:val="superscript"/>
              </w:rPr>
              <w:t>***</w:t>
            </w:r>
          </w:p>
        </w:tc>
      </w:tr>
      <w:tr w:rsidR="003523D8" w:rsidRPr="00FD0D8E" w14:paraId="3429948B" w14:textId="77777777" w:rsidTr="00C02C0C">
        <w:tc>
          <w:tcPr>
            <w:tcW w:w="1496" w:type="pct"/>
            <w:tcBorders>
              <w:top w:val="nil"/>
              <w:left w:val="nil"/>
              <w:bottom w:val="nil"/>
              <w:right w:val="nil"/>
            </w:tcBorders>
          </w:tcPr>
          <w:p w14:paraId="65F254FC"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232DD56F" w14:textId="52456FE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061D4B3" w14:textId="77777777" w:rsidR="003523D8" w:rsidRPr="00FD0D8E" w:rsidRDefault="003523D8" w:rsidP="00C74EB6">
            <w:pPr>
              <w:autoSpaceDE w:val="0"/>
              <w:autoSpaceDN w:val="0"/>
              <w:adjustRightInd w:val="0"/>
              <w:jc w:val="center"/>
              <w:rPr>
                <w:kern w:val="0"/>
                <w:szCs w:val="21"/>
              </w:rPr>
            </w:pPr>
            <w:r w:rsidRPr="00FD0D8E">
              <w:rPr>
                <w:kern w:val="0"/>
                <w:szCs w:val="21"/>
              </w:rPr>
              <w:t>(0.027)</w:t>
            </w:r>
          </w:p>
        </w:tc>
      </w:tr>
      <w:tr w:rsidR="003523D8" w:rsidRPr="00FD0D8E" w14:paraId="73BCEFE4" w14:textId="77777777" w:rsidTr="00C02C0C">
        <w:tc>
          <w:tcPr>
            <w:tcW w:w="1496" w:type="pct"/>
            <w:tcBorders>
              <w:top w:val="nil"/>
              <w:left w:val="nil"/>
              <w:bottom w:val="nil"/>
              <w:right w:val="nil"/>
            </w:tcBorders>
          </w:tcPr>
          <w:p w14:paraId="3A347735" w14:textId="77777777" w:rsidR="003523D8" w:rsidRPr="00FD0D8E" w:rsidRDefault="003523D8" w:rsidP="00C74EB6">
            <w:pPr>
              <w:autoSpaceDE w:val="0"/>
              <w:autoSpaceDN w:val="0"/>
              <w:adjustRightInd w:val="0"/>
              <w:rPr>
                <w:kern w:val="0"/>
                <w:szCs w:val="21"/>
              </w:rPr>
            </w:pPr>
            <w:r w:rsidRPr="00FD0D8E">
              <w:rPr>
                <w:kern w:val="0"/>
                <w:szCs w:val="21"/>
              </w:rPr>
              <w:t>Big4</w:t>
            </w:r>
          </w:p>
        </w:tc>
        <w:tc>
          <w:tcPr>
            <w:tcW w:w="1753" w:type="pct"/>
            <w:tcBorders>
              <w:top w:val="nil"/>
              <w:left w:val="nil"/>
              <w:bottom w:val="nil"/>
              <w:right w:val="nil"/>
            </w:tcBorders>
          </w:tcPr>
          <w:p w14:paraId="3D76B34A" w14:textId="4CE2C895"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0DC90477" w14:textId="77777777" w:rsidR="003523D8" w:rsidRPr="00FD0D8E" w:rsidRDefault="003523D8" w:rsidP="00C74EB6">
            <w:pPr>
              <w:autoSpaceDE w:val="0"/>
              <w:autoSpaceDN w:val="0"/>
              <w:adjustRightInd w:val="0"/>
              <w:jc w:val="center"/>
              <w:rPr>
                <w:kern w:val="0"/>
                <w:szCs w:val="21"/>
              </w:rPr>
            </w:pPr>
            <w:r w:rsidRPr="00FD0D8E">
              <w:rPr>
                <w:kern w:val="0"/>
                <w:szCs w:val="21"/>
              </w:rPr>
              <w:t>0.064</w:t>
            </w:r>
            <w:r w:rsidRPr="00FD0D8E">
              <w:rPr>
                <w:kern w:val="0"/>
                <w:szCs w:val="21"/>
                <w:vertAlign w:val="superscript"/>
              </w:rPr>
              <w:t>***</w:t>
            </w:r>
          </w:p>
        </w:tc>
      </w:tr>
      <w:tr w:rsidR="003523D8" w:rsidRPr="00FD0D8E" w14:paraId="2BEA73C6" w14:textId="77777777" w:rsidTr="00C02C0C">
        <w:tc>
          <w:tcPr>
            <w:tcW w:w="1496" w:type="pct"/>
            <w:tcBorders>
              <w:top w:val="nil"/>
              <w:left w:val="nil"/>
              <w:bottom w:val="nil"/>
              <w:right w:val="nil"/>
            </w:tcBorders>
          </w:tcPr>
          <w:p w14:paraId="324BF38B"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4F83E055" w14:textId="3335E9E6"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1141FF43" w14:textId="77777777" w:rsidR="003523D8" w:rsidRPr="00FD0D8E" w:rsidRDefault="003523D8" w:rsidP="00C74EB6">
            <w:pPr>
              <w:autoSpaceDE w:val="0"/>
              <w:autoSpaceDN w:val="0"/>
              <w:adjustRightInd w:val="0"/>
              <w:jc w:val="center"/>
              <w:rPr>
                <w:kern w:val="0"/>
                <w:szCs w:val="21"/>
              </w:rPr>
            </w:pPr>
            <w:r w:rsidRPr="00FD0D8E">
              <w:rPr>
                <w:kern w:val="0"/>
                <w:szCs w:val="21"/>
              </w:rPr>
              <w:t>(0.010)</w:t>
            </w:r>
          </w:p>
        </w:tc>
      </w:tr>
      <w:tr w:rsidR="003523D8" w:rsidRPr="00FD0D8E" w14:paraId="108F31D3" w14:textId="77777777" w:rsidTr="00C02C0C">
        <w:tc>
          <w:tcPr>
            <w:tcW w:w="1496" w:type="pct"/>
            <w:tcBorders>
              <w:top w:val="nil"/>
              <w:left w:val="nil"/>
              <w:bottom w:val="nil"/>
              <w:right w:val="nil"/>
            </w:tcBorders>
          </w:tcPr>
          <w:p w14:paraId="5C6842E0" w14:textId="77777777" w:rsidR="003523D8" w:rsidRPr="00FD0D8E" w:rsidRDefault="003523D8" w:rsidP="00C74EB6">
            <w:pPr>
              <w:autoSpaceDE w:val="0"/>
              <w:autoSpaceDN w:val="0"/>
              <w:adjustRightInd w:val="0"/>
              <w:rPr>
                <w:kern w:val="0"/>
                <w:szCs w:val="21"/>
              </w:rPr>
            </w:pPr>
            <w:r w:rsidRPr="00FD0D8E">
              <w:rPr>
                <w:kern w:val="0"/>
                <w:szCs w:val="21"/>
              </w:rPr>
              <w:t>Lev</w:t>
            </w:r>
          </w:p>
        </w:tc>
        <w:tc>
          <w:tcPr>
            <w:tcW w:w="1753" w:type="pct"/>
            <w:tcBorders>
              <w:top w:val="nil"/>
              <w:left w:val="nil"/>
              <w:bottom w:val="nil"/>
              <w:right w:val="nil"/>
            </w:tcBorders>
          </w:tcPr>
          <w:p w14:paraId="2812AAFC" w14:textId="365AFA5E"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6F3648AE" w14:textId="77777777" w:rsidR="003523D8" w:rsidRPr="00FD0D8E" w:rsidRDefault="003523D8" w:rsidP="00C74EB6">
            <w:pPr>
              <w:autoSpaceDE w:val="0"/>
              <w:autoSpaceDN w:val="0"/>
              <w:adjustRightInd w:val="0"/>
              <w:jc w:val="center"/>
              <w:rPr>
                <w:kern w:val="0"/>
                <w:szCs w:val="21"/>
              </w:rPr>
            </w:pPr>
            <w:r w:rsidRPr="00FD0D8E">
              <w:rPr>
                <w:kern w:val="0"/>
                <w:szCs w:val="21"/>
              </w:rPr>
              <w:t>0.068</w:t>
            </w:r>
            <w:r w:rsidRPr="00FD0D8E">
              <w:rPr>
                <w:kern w:val="0"/>
                <w:szCs w:val="21"/>
                <w:vertAlign w:val="superscript"/>
              </w:rPr>
              <w:t>***</w:t>
            </w:r>
          </w:p>
        </w:tc>
      </w:tr>
      <w:tr w:rsidR="003523D8" w:rsidRPr="00FD0D8E" w14:paraId="0123317C" w14:textId="77777777" w:rsidTr="00C02C0C">
        <w:tc>
          <w:tcPr>
            <w:tcW w:w="1496" w:type="pct"/>
            <w:tcBorders>
              <w:top w:val="nil"/>
              <w:left w:val="nil"/>
              <w:bottom w:val="nil"/>
              <w:right w:val="nil"/>
            </w:tcBorders>
          </w:tcPr>
          <w:p w14:paraId="607733CE"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47E0849B" w14:textId="5B43AB82"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0B4C1736" w14:textId="77777777" w:rsidR="003523D8" w:rsidRPr="00FD0D8E" w:rsidRDefault="003523D8" w:rsidP="00C74EB6">
            <w:pPr>
              <w:autoSpaceDE w:val="0"/>
              <w:autoSpaceDN w:val="0"/>
              <w:adjustRightInd w:val="0"/>
              <w:jc w:val="center"/>
              <w:rPr>
                <w:kern w:val="0"/>
                <w:szCs w:val="21"/>
              </w:rPr>
            </w:pPr>
            <w:r w:rsidRPr="00FD0D8E">
              <w:rPr>
                <w:kern w:val="0"/>
                <w:szCs w:val="21"/>
              </w:rPr>
              <w:t>(0.017)</w:t>
            </w:r>
          </w:p>
        </w:tc>
      </w:tr>
      <w:tr w:rsidR="003523D8" w:rsidRPr="00FD0D8E" w14:paraId="1BFCDC47" w14:textId="77777777" w:rsidTr="00C02C0C">
        <w:tc>
          <w:tcPr>
            <w:tcW w:w="1496" w:type="pct"/>
            <w:tcBorders>
              <w:top w:val="nil"/>
              <w:left w:val="nil"/>
              <w:bottom w:val="nil"/>
              <w:right w:val="nil"/>
            </w:tcBorders>
          </w:tcPr>
          <w:p w14:paraId="3E2E24BC" w14:textId="77777777" w:rsidR="003523D8" w:rsidRPr="00FD0D8E" w:rsidRDefault="003523D8" w:rsidP="00C74EB6">
            <w:pPr>
              <w:autoSpaceDE w:val="0"/>
              <w:autoSpaceDN w:val="0"/>
              <w:adjustRightInd w:val="0"/>
              <w:rPr>
                <w:kern w:val="0"/>
                <w:szCs w:val="21"/>
              </w:rPr>
            </w:pPr>
            <w:r w:rsidRPr="00FD0D8E">
              <w:rPr>
                <w:kern w:val="0"/>
                <w:szCs w:val="21"/>
              </w:rPr>
              <w:t>FTA</w:t>
            </w:r>
          </w:p>
        </w:tc>
        <w:tc>
          <w:tcPr>
            <w:tcW w:w="1753" w:type="pct"/>
            <w:tcBorders>
              <w:top w:val="nil"/>
              <w:left w:val="nil"/>
              <w:bottom w:val="nil"/>
              <w:right w:val="nil"/>
            </w:tcBorders>
          </w:tcPr>
          <w:p w14:paraId="4CB7645A" w14:textId="4E177F61"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291BC98" w14:textId="77777777" w:rsidR="003523D8" w:rsidRPr="00FD0D8E" w:rsidRDefault="003523D8" w:rsidP="00C74EB6">
            <w:pPr>
              <w:autoSpaceDE w:val="0"/>
              <w:autoSpaceDN w:val="0"/>
              <w:adjustRightInd w:val="0"/>
              <w:jc w:val="center"/>
              <w:rPr>
                <w:kern w:val="0"/>
                <w:szCs w:val="21"/>
              </w:rPr>
            </w:pPr>
            <w:r w:rsidRPr="00FD0D8E">
              <w:rPr>
                <w:kern w:val="0"/>
                <w:szCs w:val="21"/>
              </w:rPr>
              <w:t>-0.047</w:t>
            </w:r>
            <w:r w:rsidRPr="00FD0D8E">
              <w:rPr>
                <w:kern w:val="0"/>
                <w:szCs w:val="21"/>
                <w:vertAlign w:val="superscript"/>
              </w:rPr>
              <w:t>**</w:t>
            </w:r>
          </w:p>
        </w:tc>
      </w:tr>
      <w:tr w:rsidR="003523D8" w:rsidRPr="00FD0D8E" w14:paraId="1A51E4DA" w14:textId="77777777" w:rsidTr="00C02C0C">
        <w:tc>
          <w:tcPr>
            <w:tcW w:w="1496" w:type="pct"/>
            <w:tcBorders>
              <w:top w:val="nil"/>
              <w:left w:val="nil"/>
              <w:bottom w:val="nil"/>
              <w:right w:val="nil"/>
            </w:tcBorders>
          </w:tcPr>
          <w:p w14:paraId="4E9B4717"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2FE8677A" w14:textId="767E8E51"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01D66E4B" w14:textId="77777777" w:rsidR="003523D8" w:rsidRPr="00FD0D8E" w:rsidRDefault="003523D8" w:rsidP="00C74EB6">
            <w:pPr>
              <w:autoSpaceDE w:val="0"/>
              <w:autoSpaceDN w:val="0"/>
              <w:adjustRightInd w:val="0"/>
              <w:jc w:val="center"/>
              <w:rPr>
                <w:kern w:val="0"/>
                <w:szCs w:val="21"/>
              </w:rPr>
            </w:pPr>
            <w:r w:rsidRPr="00FD0D8E">
              <w:rPr>
                <w:kern w:val="0"/>
                <w:szCs w:val="21"/>
              </w:rPr>
              <w:t>(0.021)</w:t>
            </w:r>
          </w:p>
        </w:tc>
      </w:tr>
      <w:tr w:rsidR="003523D8" w:rsidRPr="00FD0D8E" w14:paraId="0DE9CF9B" w14:textId="77777777" w:rsidTr="00C02C0C">
        <w:tc>
          <w:tcPr>
            <w:tcW w:w="1496" w:type="pct"/>
            <w:tcBorders>
              <w:top w:val="nil"/>
              <w:left w:val="nil"/>
              <w:bottom w:val="nil"/>
              <w:right w:val="nil"/>
            </w:tcBorders>
          </w:tcPr>
          <w:p w14:paraId="52C53C1D" w14:textId="77777777" w:rsidR="003523D8" w:rsidRPr="00FD0D8E" w:rsidRDefault="003523D8" w:rsidP="00C74EB6">
            <w:pPr>
              <w:autoSpaceDE w:val="0"/>
              <w:autoSpaceDN w:val="0"/>
              <w:adjustRightInd w:val="0"/>
              <w:rPr>
                <w:kern w:val="0"/>
                <w:szCs w:val="21"/>
              </w:rPr>
            </w:pPr>
            <w:r w:rsidRPr="00FD0D8E">
              <w:rPr>
                <w:kern w:val="0"/>
                <w:szCs w:val="21"/>
              </w:rPr>
              <w:t>Cash</w:t>
            </w:r>
          </w:p>
        </w:tc>
        <w:tc>
          <w:tcPr>
            <w:tcW w:w="1753" w:type="pct"/>
            <w:tcBorders>
              <w:top w:val="nil"/>
              <w:left w:val="nil"/>
              <w:bottom w:val="nil"/>
              <w:right w:val="nil"/>
            </w:tcBorders>
          </w:tcPr>
          <w:p w14:paraId="5D80E871" w14:textId="7026B0B6"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5620F18" w14:textId="77777777" w:rsidR="003523D8" w:rsidRPr="00FD0D8E" w:rsidRDefault="003523D8" w:rsidP="00C74EB6">
            <w:pPr>
              <w:autoSpaceDE w:val="0"/>
              <w:autoSpaceDN w:val="0"/>
              <w:adjustRightInd w:val="0"/>
              <w:jc w:val="center"/>
              <w:rPr>
                <w:kern w:val="0"/>
                <w:szCs w:val="21"/>
              </w:rPr>
            </w:pPr>
            <w:r w:rsidRPr="00FD0D8E">
              <w:rPr>
                <w:kern w:val="0"/>
                <w:szCs w:val="21"/>
              </w:rPr>
              <w:t>0.049</w:t>
            </w:r>
            <w:r w:rsidRPr="00FD0D8E">
              <w:rPr>
                <w:kern w:val="0"/>
                <w:szCs w:val="21"/>
                <w:vertAlign w:val="superscript"/>
              </w:rPr>
              <w:t>**</w:t>
            </w:r>
          </w:p>
        </w:tc>
      </w:tr>
      <w:tr w:rsidR="003523D8" w:rsidRPr="00FD0D8E" w14:paraId="7CA1EAF3" w14:textId="77777777" w:rsidTr="00C02C0C">
        <w:tc>
          <w:tcPr>
            <w:tcW w:w="1496" w:type="pct"/>
            <w:tcBorders>
              <w:top w:val="nil"/>
              <w:left w:val="nil"/>
              <w:bottom w:val="nil"/>
              <w:right w:val="nil"/>
            </w:tcBorders>
          </w:tcPr>
          <w:p w14:paraId="5DCE3683"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799BA3FB" w14:textId="1756168D"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62EEC254" w14:textId="77777777" w:rsidR="003523D8" w:rsidRPr="00FD0D8E" w:rsidRDefault="003523D8" w:rsidP="00C74EB6">
            <w:pPr>
              <w:autoSpaceDE w:val="0"/>
              <w:autoSpaceDN w:val="0"/>
              <w:adjustRightInd w:val="0"/>
              <w:jc w:val="center"/>
              <w:rPr>
                <w:kern w:val="0"/>
                <w:szCs w:val="21"/>
              </w:rPr>
            </w:pPr>
            <w:r w:rsidRPr="00FD0D8E">
              <w:rPr>
                <w:kern w:val="0"/>
                <w:szCs w:val="21"/>
              </w:rPr>
              <w:t>(0.025)</w:t>
            </w:r>
          </w:p>
        </w:tc>
      </w:tr>
      <w:tr w:rsidR="003523D8" w:rsidRPr="00FD0D8E" w14:paraId="560176E8" w14:textId="77777777" w:rsidTr="00C02C0C">
        <w:tc>
          <w:tcPr>
            <w:tcW w:w="1496" w:type="pct"/>
            <w:tcBorders>
              <w:top w:val="nil"/>
              <w:left w:val="nil"/>
              <w:bottom w:val="nil"/>
              <w:right w:val="nil"/>
            </w:tcBorders>
          </w:tcPr>
          <w:p w14:paraId="6ABF75B2" w14:textId="77777777" w:rsidR="003523D8" w:rsidRPr="00FD0D8E" w:rsidRDefault="003523D8" w:rsidP="00C74EB6">
            <w:pPr>
              <w:autoSpaceDE w:val="0"/>
              <w:autoSpaceDN w:val="0"/>
              <w:adjustRightInd w:val="0"/>
              <w:rPr>
                <w:kern w:val="0"/>
                <w:szCs w:val="21"/>
              </w:rPr>
            </w:pPr>
            <w:r w:rsidRPr="00FD0D8E">
              <w:rPr>
                <w:kern w:val="0"/>
                <w:szCs w:val="21"/>
              </w:rPr>
              <w:t>Volatility</w:t>
            </w:r>
          </w:p>
        </w:tc>
        <w:tc>
          <w:tcPr>
            <w:tcW w:w="1753" w:type="pct"/>
            <w:tcBorders>
              <w:top w:val="nil"/>
              <w:left w:val="nil"/>
              <w:bottom w:val="nil"/>
              <w:right w:val="nil"/>
            </w:tcBorders>
          </w:tcPr>
          <w:p w14:paraId="4BD728BE" w14:textId="5CABF05E"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1842CEBA" w14:textId="77777777" w:rsidR="003523D8" w:rsidRPr="00FD0D8E" w:rsidRDefault="003523D8" w:rsidP="00C74EB6">
            <w:pPr>
              <w:autoSpaceDE w:val="0"/>
              <w:autoSpaceDN w:val="0"/>
              <w:adjustRightInd w:val="0"/>
              <w:jc w:val="center"/>
              <w:rPr>
                <w:kern w:val="0"/>
                <w:szCs w:val="21"/>
              </w:rPr>
            </w:pPr>
            <w:r w:rsidRPr="00FD0D8E">
              <w:rPr>
                <w:kern w:val="0"/>
                <w:szCs w:val="21"/>
              </w:rPr>
              <w:t>0.050</w:t>
            </w:r>
          </w:p>
        </w:tc>
      </w:tr>
      <w:tr w:rsidR="003523D8" w:rsidRPr="00FD0D8E" w14:paraId="49DD5ECE" w14:textId="77777777" w:rsidTr="00C02C0C">
        <w:tc>
          <w:tcPr>
            <w:tcW w:w="1496" w:type="pct"/>
            <w:tcBorders>
              <w:top w:val="nil"/>
              <w:left w:val="nil"/>
              <w:bottom w:val="nil"/>
              <w:right w:val="nil"/>
            </w:tcBorders>
          </w:tcPr>
          <w:p w14:paraId="113B8B1C"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254F9E59" w14:textId="4B313B7C"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7A7A88C1" w14:textId="77777777" w:rsidR="003523D8" w:rsidRPr="00FD0D8E" w:rsidRDefault="003523D8" w:rsidP="00C74EB6">
            <w:pPr>
              <w:autoSpaceDE w:val="0"/>
              <w:autoSpaceDN w:val="0"/>
              <w:adjustRightInd w:val="0"/>
              <w:jc w:val="center"/>
              <w:rPr>
                <w:kern w:val="0"/>
                <w:szCs w:val="21"/>
              </w:rPr>
            </w:pPr>
            <w:r w:rsidRPr="00FD0D8E">
              <w:rPr>
                <w:kern w:val="0"/>
                <w:szCs w:val="21"/>
              </w:rPr>
              <w:t>(0.089)</w:t>
            </w:r>
          </w:p>
        </w:tc>
      </w:tr>
      <w:tr w:rsidR="003523D8" w:rsidRPr="00FD0D8E" w14:paraId="47C9EE43" w14:textId="77777777" w:rsidTr="00C02C0C">
        <w:tc>
          <w:tcPr>
            <w:tcW w:w="1496" w:type="pct"/>
            <w:tcBorders>
              <w:top w:val="nil"/>
              <w:left w:val="nil"/>
              <w:bottom w:val="nil"/>
              <w:right w:val="nil"/>
            </w:tcBorders>
          </w:tcPr>
          <w:p w14:paraId="4C8AE711" w14:textId="77777777" w:rsidR="003523D8" w:rsidRPr="00FD0D8E" w:rsidRDefault="003523D8" w:rsidP="00C74EB6">
            <w:pPr>
              <w:autoSpaceDE w:val="0"/>
              <w:autoSpaceDN w:val="0"/>
              <w:adjustRightInd w:val="0"/>
              <w:rPr>
                <w:kern w:val="0"/>
                <w:szCs w:val="21"/>
              </w:rPr>
            </w:pPr>
            <w:r w:rsidRPr="00FD0D8E">
              <w:rPr>
                <w:kern w:val="0"/>
                <w:szCs w:val="21"/>
              </w:rPr>
              <w:t>PB</w:t>
            </w:r>
          </w:p>
        </w:tc>
        <w:tc>
          <w:tcPr>
            <w:tcW w:w="1753" w:type="pct"/>
            <w:tcBorders>
              <w:top w:val="nil"/>
              <w:left w:val="nil"/>
              <w:bottom w:val="nil"/>
              <w:right w:val="nil"/>
            </w:tcBorders>
          </w:tcPr>
          <w:p w14:paraId="38246F76" w14:textId="3AC3EF1F"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68D4D3B0" w14:textId="77777777" w:rsidR="003523D8" w:rsidRPr="00FD0D8E" w:rsidRDefault="003523D8"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r>
      <w:tr w:rsidR="003523D8" w:rsidRPr="00FD0D8E" w14:paraId="4A7C3C65" w14:textId="77777777" w:rsidTr="00C02C0C">
        <w:tc>
          <w:tcPr>
            <w:tcW w:w="1496" w:type="pct"/>
            <w:tcBorders>
              <w:top w:val="nil"/>
              <w:left w:val="nil"/>
              <w:bottom w:val="nil"/>
              <w:right w:val="nil"/>
            </w:tcBorders>
          </w:tcPr>
          <w:p w14:paraId="28C66CB0"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5E677BFC" w14:textId="09B94165"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430C5095"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r>
      <w:tr w:rsidR="003523D8" w:rsidRPr="00FD0D8E" w14:paraId="360FF690" w14:textId="77777777" w:rsidTr="00C02C0C">
        <w:tc>
          <w:tcPr>
            <w:tcW w:w="1496" w:type="pct"/>
            <w:tcBorders>
              <w:top w:val="nil"/>
              <w:left w:val="nil"/>
              <w:bottom w:val="nil"/>
              <w:right w:val="nil"/>
            </w:tcBorders>
          </w:tcPr>
          <w:p w14:paraId="1B25C77C" w14:textId="77777777" w:rsidR="003523D8" w:rsidRPr="00FD0D8E" w:rsidRDefault="003523D8" w:rsidP="00C74EB6">
            <w:pPr>
              <w:autoSpaceDE w:val="0"/>
              <w:autoSpaceDN w:val="0"/>
              <w:adjustRightInd w:val="0"/>
              <w:rPr>
                <w:kern w:val="0"/>
                <w:szCs w:val="21"/>
              </w:rPr>
            </w:pPr>
            <w:proofErr w:type="spellStart"/>
            <w:r w:rsidRPr="00FD0D8E">
              <w:rPr>
                <w:kern w:val="0"/>
                <w:szCs w:val="21"/>
              </w:rPr>
              <w:t>GrowthRev</w:t>
            </w:r>
            <w:proofErr w:type="spellEnd"/>
          </w:p>
        </w:tc>
        <w:tc>
          <w:tcPr>
            <w:tcW w:w="1753" w:type="pct"/>
            <w:tcBorders>
              <w:top w:val="nil"/>
              <w:left w:val="nil"/>
              <w:bottom w:val="nil"/>
              <w:right w:val="nil"/>
            </w:tcBorders>
          </w:tcPr>
          <w:p w14:paraId="49299D30" w14:textId="230E7DF5"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5C80036B" w14:textId="77777777" w:rsidR="003523D8" w:rsidRPr="00FD0D8E" w:rsidRDefault="003523D8" w:rsidP="00C74EB6">
            <w:pPr>
              <w:autoSpaceDE w:val="0"/>
              <w:autoSpaceDN w:val="0"/>
              <w:adjustRightInd w:val="0"/>
              <w:jc w:val="center"/>
              <w:rPr>
                <w:kern w:val="0"/>
                <w:szCs w:val="21"/>
              </w:rPr>
            </w:pPr>
            <w:r w:rsidRPr="00FD0D8E">
              <w:rPr>
                <w:kern w:val="0"/>
                <w:szCs w:val="21"/>
              </w:rPr>
              <w:t>-0.016</w:t>
            </w:r>
          </w:p>
        </w:tc>
      </w:tr>
      <w:tr w:rsidR="003523D8" w:rsidRPr="00FD0D8E" w14:paraId="3474D06D" w14:textId="77777777" w:rsidTr="00C02C0C">
        <w:tc>
          <w:tcPr>
            <w:tcW w:w="1496" w:type="pct"/>
            <w:tcBorders>
              <w:top w:val="nil"/>
              <w:left w:val="nil"/>
              <w:bottom w:val="nil"/>
              <w:right w:val="nil"/>
            </w:tcBorders>
          </w:tcPr>
          <w:p w14:paraId="1D72D239"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2E1023A4" w14:textId="7E02F7AB"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C3410C9" w14:textId="77777777" w:rsidR="003523D8" w:rsidRPr="00FD0D8E" w:rsidRDefault="003523D8" w:rsidP="00C74EB6">
            <w:pPr>
              <w:autoSpaceDE w:val="0"/>
              <w:autoSpaceDN w:val="0"/>
              <w:adjustRightInd w:val="0"/>
              <w:jc w:val="center"/>
              <w:rPr>
                <w:kern w:val="0"/>
                <w:szCs w:val="21"/>
              </w:rPr>
            </w:pPr>
            <w:r w:rsidRPr="00FD0D8E">
              <w:rPr>
                <w:kern w:val="0"/>
                <w:szCs w:val="21"/>
              </w:rPr>
              <w:t>(0.011)</w:t>
            </w:r>
          </w:p>
        </w:tc>
      </w:tr>
      <w:tr w:rsidR="003523D8" w:rsidRPr="00FD0D8E" w14:paraId="2493AA71" w14:textId="77777777" w:rsidTr="00C02C0C">
        <w:tc>
          <w:tcPr>
            <w:tcW w:w="1496" w:type="pct"/>
            <w:tcBorders>
              <w:top w:val="nil"/>
              <w:left w:val="nil"/>
              <w:bottom w:val="nil"/>
              <w:right w:val="nil"/>
            </w:tcBorders>
          </w:tcPr>
          <w:p w14:paraId="006CC489" w14:textId="77777777" w:rsidR="003523D8" w:rsidRPr="00FD0D8E" w:rsidRDefault="003523D8" w:rsidP="00C74EB6">
            <w:pPr>
              <w:autoSpaceDE w:val="0"/>
              <w:autoSpaceDN w:val="0"/>
              <w:adjustRightInd w:val="0"/>
              <w:rPr>
                <w:kern w:val="0"/>
                <w:szCs w:val="21"/>
              </w:rPr>
            </w:pPr>
            <w:r w:rsidRPr="00FD0D8E">
              <w:rPr>
                <w:kern w:val="0"/>
                <w:szCs w:val="21"/>
              </w:rPr>
              <w:t>ROA</w:t>
            </w:r>
          </w:p>
        </w:tc>
        <w:tc>
          <w:tcPr>
            <w:tcW w:w="1753" w:type="pct"/>
            <w:tcBorders>
              <w:top w:val="nil"/>
              <w:left w:val="nil"/>
              <w:bottom w:val="nil"/>
              <w:right w:val="nil"/>
            </w:tcBorders>
          </w:tcPr>
          <w:p w14:paraId="43D0AC61" w14:textId="52E448E4"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771D20A" w14:textId="77777777" w:rsidR="003523D8" w:rsidRPr="00FD0D8E" w:rsidRDefault="003523D8" w:rsidP="00C74EB6">
            <w:pPr>
              <w:autoSpaceDE w:val="0"/>
              <w:autoSpaceDN w:val="0"/>
              <w:adjustRightInd w:val="0"/>
              <w:jc w:val="center"/>
              <w:rPr>
                <w:kern w:val="0"/>
                <w:szCs w:val="21"/>
              </w:rPr>
            </w:pPr>
            <w:r w:rsidRPr="00FD0D8E">
              <w:rPr>
                <w:kern w:val="0"/>
                <w:szCs w:val="21"/>
              </w:rPr>
              <w:t>-0.038</w:t>
            </w:r>
          </w:p>
        </w:tc>
      </w:tr>
      <w:tr w:rsidR="003523D8" w:rsidRPr="00FD0D8E" w14:paraId="487E5632" w14:textId="77777777" w:rsidTr="00C02C0C">
        <w:tc>
          <w:tcPr>
            <w:tcW w:w="1496" w:type="pct"/>
            <w:tcBorders>
              <w:top w:val="nil"/>
              <w:left w:val="nil"/>
              <w:bottom w:val="nil"/>
              <w:right w:val="nil"/>
            </w:tcBorders>
          </w:tcPr>
          <w:p w14:paraId="4FFE7E9A"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003A17D3" w14:textId="1ACD30B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4FB0B0E0" w14:textId="77777777" w:rsidR="003523D8" w:rsidRPr="00FD0D8E" w:rsidRDefault="003523D8" w:rsidP="00C74EB6">
            <w:pPr>
              <w:autoSpaceDE w:val="0"/>
              <w:autoSpaceDN w:val="0"/>
              <w:adjustRightInd w:val="0"/>
              <w:jc w:val="center"/>
              <w:rPr>
                <w:kern w:val="0"/>
                <w:szCs w:val="21"/>
              </w:rPr>
            </w:pPr>
            <w:r w:rsidRPr="00FD0D8E">
              <w:rPr>
                <w:kern w:val="0"/>
                <w:szCs w:val="21"/>
              </w:rPr>
              <w:t>(0.047)</w:t>
            </w:r>
          </w:p>
        </w:tc>
      </w:tr>
      <w:tr w:rsidR="003523D8" w:rsidRPr="00FD0D8E" w14:paraId="4192CF0A" w14:textId="77777777" w:rsidTr="00C02C0C">
        <w:tc>
          <w:tcPr>
            <w:tcW w:w="1496" w:type="pct"/>
            <w:tcBorders>
              <w:top w:val="nil"/>
              <w:left w:val="nil"/>
              <w:bottom w:val="nil"/>
              <w:right w:val="nil"/>
            </w:tcBorders>
          </w:tcPr>
          <w:p w14:paraId="31BD95B4" w14:textId="77777777" w:rsidR="003523D8" w:rsidRPr="00FD0D8E" w:rsidRDefault="003523D8" w:rsidP="00C74EB6">
            <w:pPr>
              <w:autoSpaceDE w:val="0"/>
              <w:autoSpaceDN w:val="0"/>
              <w:adjustRightInd w:val="0"/>
              <w:rPr>
                <w:kern w:val="0"/>
                <w:szCs w:val="21"/>
              </w:rPr>
            </w:pPr>
            <w:r w:rsidRPr="00FD0D8E">
              <w:rPr>
                <w:kern w:val="0"/>
                <w:szCs w:val="21"/>
              </w:rPr>
              <w:t>Penalty</w:t>
            </w:r>
          </w:p>
        </w:tc>
        <w:tc>
          <w:tcPr>
            <w:tcW w:w="1753" w:type="pct"/>
            <w:tcBorders>
              <w:top w:val="nil"/>
              <w:left w:val="nil"/>
              <w:bottom w:val="nil"/>
              <w:right w:val="nil"/>
            </w:tcBorders>
          </w:tcPr>
          <w:p w14:paraId="12136919" w14:textId="4CD2A6CF"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0DB3B0D0" w14:textId="77777777" w:rsidR="003523D8" w:rsidRPr="00FD0D8E" w:rsidRDefault="003523D8" w:rsidP="00C74EB6">
            <w:pPr>
              <w:autoSpaceDE w:val="0"/>
              <w:autoSpaceDN w:val="0"/>
              <w:adjustRightInd w:val="0"/>
              <w:jc w:val="center"/>
              <w:rPr>
                <w:kern w:val="0"/>
                <w:szCs w:val="21"/>
              </w:rPr>
            </w:pPr>
            <w:r w:rsidRPr="00FD0D8E">
              <w:rPr>
                <w:kern w:val="0"/>
                <w:szCs w:val="21"/>
              </w:rPr>
              <w:t>0.013</w:t>
            </w:r>
          </w:p>
        </w:tc>
      </w:tr>
      <w:tr w:rsidR="003523D8" w:rsidRPr="00FD0D8E" w14:paraId="251CF957" w14:textId="77777777" w:rsidTr="00C02C0C">
        <w:tc>
          <w:tcPr>
            <w:tcW w:w="1496" w:type="pct"/>
            <w:tcBorders>
              <w:top w:val="nil"/>
              <w:left w:val="nil"/>
              <w:bottom w:val="nil"/>
              <w:right w:val="nil"/>
            </w:tcBorders>
          </w:tcPr>
          <w:p w14:paraId="381D844E"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6D0916CB" w14:textId="4856343B"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10BC5BDD" w14:textId="77777777" w:rsidR="003523D8" w:rsidRPr="00FD0D8E" w:rsidRDefault="003523D8" w:rsidP="00C74EB6">
            <w:pPr>
              <w:autoSpaceDE w:val="0"/>
              <w:autoSpaceDN w:val="0"/>
              <w:adjustRightInd w:val="0"/>
              <w:jc w:val="center"/>
              <w:rPr>
                <w:kern w:val="0"/>
                <w:szCs w:val="21"/>
              </w:rPr>
            </w:pPr>
            <w:r w:rsidRPr="00FD0D8E">
              <w:rPr>
                <w:kern w:val="0"/>
                <w:szCs w:val="21"/>
              </w:rPr>
              <w:t>(0.009)</w:t>
            </w:r>
          </w:p>
        </w:tc>
      </w:tr>
      <w:tr w:rsidR="003523D8" w:rsidRPr="00FD0D8E" w14:paraId="78B6F6D7" w14:textId="77777777" w:rsidTr="00C02C0C">
        <w:tc>
          <w:tcPr>
            <w:tcW w:w="1496" w:type="pct"/>
            <w:tcBorders>
              <w:top w:val="nil"/>
              <w:left w:val="nil"/>
              <w:bottom w:val="nil"/>
              <w:right w:val="nil"/>
            </w:tcBorders>
          </w:tcPr>
          <w:p w14:paraId="63964017" w14:textId="77777777" w:rsidR="003523D8" w:rsidRPr="00FD0D8E" w:rsidRDefault="003523D8" w:rsidP="00C74EB6">
            <w:pPr>
              <w:autoSpaceDE w:val="0"/>
              <w:autoSpaceDN w:val="0"/>
              <w:adjustRightInd w:val="0"/>
              <w:rPr>
                <w:kern w:val="0"/>
                <w:szCs w:val="21"/>
              </w:rPr>
            </w:pPr>
            <w:proofErr w:type="spellStart"/>
            <w:r w:rsidRPr="00FD0D8E">
              <w:rPr>
                <w:kern w:val="0"/>
                <w:szCs w:val="21"/>
              </w:rPr>
              <w:t>IndepR</w:t>
            </w:r>
            <w:proofErr w:type="spellEnd"/>
          </w:p>
        </w:tc>
        <w:tc>
          <w:tcPr>
            <w:tcW w:w="1753" w:type="pct"/>
            <w:tcBorders>
              <w:top w:val="nil"/>
              <w:left w:val="nil"/>
              <w:bottom w:val="nil"/>
              <w:right w:val="nil"/>
            </w:tcBorders>
          </w:tcPr>
          <w:p w14:paraId="3DD5B9EB" w14:textId="2E1E9DE4"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4B4A33ED" w14:textId="77777777" w:rsidR="003523D8" w:rsidRPr="00FD0D8E" w:rsidRDefault="003523D8" w:rsidP="00C74EB6">
            <w:pPr>
              <w:autoSpaceDE w:val="0"/>
              <w:autoSpaceDN w:val="0"/>
              <w:adjustRightInd w:val="0"/>
              <w:jc w:val="center"/>
              <w:rPr>
                <w:kern w:val="0"/>
                <w:szCs w:val="21"/>
              </w:rPr>
            </w:pPr>
            <w:r w:rsidRPr="00FD0D8E">
              <w:rPr>
                <w:kern w:val="0"/>
                <w:szCs w:val="21"/>
              </w:rPr>
              <w:t>-0.029</w:t>
            </w:r>
          </w:p>
        </w:tc>
      </w:tr>
      <w:tr w:rsidR="003523D8" w:rsidRPr="00FD0D8E" w14:paraId="14B2EE0A" w14:textId="77777777" w:rsidTr="00C02C0C">
        <w:tc>
          <w:tcPr>
            <w:tcW w:w="1496" w:type="pct"/>
            <w:tcBorders>
              <w:top w:val="nil"/>
              <w:left w:val="nil"/>
              <w:bottom w:val="nil"/>
              <w:right w:val="nil"/>
            </w:tcBorders>
          </w:tcPr>
          <w:p w14:paraId="1E289DF4"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1AACF49F" w14:textId="679C013A"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783141B6" w14:textId="77777777" w:rsidR="003523D8" w:rsidRPr="00FD0D8E" w:rsidRDefault="003523D8" w:rsidP="00C74EB6">
            <w:pPr>
              <w:autoSpaceDE w:val="0"/>
              <w:autoSpaceDN w:val="0"/>
              <w:adjustRightInd w:val="0"/>
              <w:jc w:val="center"/>
              <w:rPr>
                <w:kern w:val="0"/>
                <w:szCs w:val="21"/>
              </w:rPr>
            </w:pPr>
            <w:r w:rsidRPr="00FD0D8E">
              <w:rPr>
                <w:kern w:val="0"/>
                <w:szCs w:val="21"/>
              </w:rPr>
              <w:t>(0.038)</w:t>
            </w:r>
          </w:p>
        </w:tc>
      </w:tr>
      <w:tr w:rsidR="003523D8" w:rsidRPr="00FD0D8E" w14:paraId="38088E26" w14:textId="77777777" w:rsidTr="00C02C0C">
        <w:tc>
          <w:tcPr>
            <w:tcW w:w="1496" w:type="pct"/>
            <w:tcBorders>
              <w:top w:val="nil"/>
              <w:left w:val="nil"/>
              <w:bottom w:val="nil"/>
              <w:right w:val="nil"/>
            </w:tcBorders>
          </w:tcPr>
          <w:p w14:paraId="2F62A01E" w14:textId="77777777" w:rsidR="003523D8" w:rsidRPr="00FD0D8E" w:rsidRDefault="003523D8" w:rsidP="00C74EB6">
            <w:pPr>
              <w:autoSpaceDE w:val="0"/>
              <w:autoSpaceDN w:val="0"/>
              <w:adjustRightInd w:val="0"/>
              <w:rPr>
                <w:kern w:val="0"/>
                <w:szCs w:val="21"/>
              </w:rPr>
            </w:pPr>
            <w:proofErr w:type="spellStart"/>
            <w:r w:rsidRPr="00FD0D8E">
              <w:rPr>
                <w:kern w:val="0"/>
                <w:szCs w:val="21"/>
              </w:rPr>
              <w:t>DSize</w:t>
            </w:r>
            <w:proofErr w:type="spellEnd"/>
          </w:p>
        </w:tc>
        <w:tc>
          <w:tcPr>
            <w:tcW w:w="1753" w:type="pct"/>
            <w:tcBorders>
              <w:top w:val="nil"/>
              <w:left w:val="nil"/>
              <w:bottom w:val="nil"/>
              <w:right w:val="nil"/>
            </w:tcBorders>
          </w:tcPr>
          <w:p w14:paraId="68075CFA" w14:textId="66E80042"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7D86D0E3" w14:textId="77777777" w:rsidR="003523D8" w:rsidRPr="00FD0D8E" w:rsidRDefault="003523D8" w:rsidP="00C74EB6">
            <w:pPr>
              <w:autoSpaceDE w:val="0"/>
              <w:autoSpaceDN w:val="0"/>
              <w:adjustRightInd w:val="0"/>
              <w:jc w:val="center"/>
              <w:rPr>
                <w:kern w:val="0"/>
                <w:szCs w:val="21"/>
              </w:rPr>
            </w:pPr>
            <w:r w:rsidRPr="00FD0D8E">
              <w:rPr>
                <w:kern w:val="0"/>
                <w:szCs w:val="21"/>
              </w:rPr>
              <w:t>0.003</w:t>
            </w:r>
            <w:r w:rsidRPr="00FD0D8E">
              <w:rPr>
                <w:kern w:val="0"/>
                <w:szCs w:val="21"/>
                <w:vertAlign w:val="superscript"/>
              </w:rPr>
              <w:t>**</w:t>
            </w:r>
          </w:p>
        </w:tc>
      </w:tr>
      <w:tr w:rsidR="003523D8" w:rsidRPr="00FD0D8E" w14:paraId="66F74E52" w14:textId="77777777" w:rsidTr="00C02C0C">
        <w:tc>
          <w:tcPr>
            <w:tcW w:w="1496" w:type="pct"/>
            <w:tcBorders>
              <w:top w:val="nil"/>
              <w:left w:val="nil"/>
              <w:bottom w:val="nil"/>
              <w:right w:val="nil"/>
            </w:tcBorders>
          </w:tcPr>
          <w:p w14:paraId="3B42210B"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107F794D" w14:textId="6D5EDD48"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055D4A48" w14:textId="77777777" w:rsidR="003523D8" w:rsidRPr="00FD0D8E" w:rsidRDefault="003523D8" w:rsidP="00C74EB6">
            <w:pPr>
              <w:autoSpaceDE w:val="0"/>
              <w:autoSpaceDN w:val="0"/>
              <w:adjustRightInd w:val="0"/>
              <w:jc w:val="center"/>
              <w:rPr>
                <w:kern w:val="0"/>
                <w:szCs w:val="21"/>
              </w:rPr>
            </w:pPr>
            <w:r w:rsidRPr="00FD0D8E">
              <w:rPr>
                <w:kern w:val="0"/>
                <w:szCs w:val="21"/>
              </w:rPr>
              <w:t>(0.001)</w:t>
            </w:r>
          </w:p>
        </w:tc>
      </w:tr>
      <w:tr w:rsidR="003523D8" w:rsidRPr="00FD0D8E" w14:paraId="28701698" w14:textId="77777777" w:rsidTr="00C02C0C">
        <w:tc>
          <w:tcPr>
            <w:tcW w:w="1496" w:type="pct"/>
            <w:tcBorders>
              <w:top w:val="nil"/>
              <w:left w:val="nil"/>
              <w:bottom w:val="nil"/>
              <w:right w:val="nil"/>
            </w:tcBorders>
          </w:tcPr>
          <w:p w14:paraId="38849966" w14:textId="77777777" w:rsidR="003523D8" w:rsidRPr="00FD0D8E" w:rsidRDefault="003523D8" w:rsidP="00C74EB6">
            <w:pPr>
              <w:autoSpaceDE w:val="0"/>
              <w:autoSpaceDN w:val="0"/>
              <w:adjustRightInd w:val="0"/>
              <w:rPr>
                <w:kern w:val="0"/>
                <w:szCs w:val="21"/>
              </w:rPr>
            </w:pPr>
            <w:r w:rsidRPr="00FD0D8E">
              <w:rPr>
                <w:kern w:val="0"/>
                <w:szCs w:val="21"/>
              </w:rPr>
              <w:t>Duality</w:t>
            </w:r>
          </w:p>
        </w:tc>
        <w:tc>
          <w:tcPr>
            <w:tcW w:w="1753" w:type="pct"/>
            <w:tcBorders>
              <w:top w:val="nil"/>
              <w:left w:val="nil"/>
              <w:bottom w:val="nil"/>
              <w:right w:val="nil"/>
            </w:tcBorders>
          </w:tcPr>
          <w:p w14:paraId="0C624AEE" w14:textId="6B5C164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1E139B8" w14:textId="77777777" w:rsidR="003523D8" w:rsidRPr="00FD0D8E" w:rsidRDefault="003523D8" w:rsidP="00C74EB6">
            <w:pPr>
              <w:autoSpaceDE w:val="0"/>
              <w:autoSpaceDN w:val="0"/>
              <w:adjustRightInd w:val="0"/>
              <w:jc w:val="center"/>
              <w:rPr>
                <w:kern w:val="0"/>
                <w:szCs w:val="21"/>
              </w:rPr>
            </w:pPr>
            <w:r w:rsidRPr="00FD0D8E">
              <w:rPr>
                <w:kern w:val="0"/>
                <w:szCs w:val="21"/>
              </w:rPr>
              <w:t>-0.011</w:t>
            </w:r>
          </w:p>
        </w:tc>
      </w:tr>
      <w:tr w:rsidR="003523D8" w:rsidRPr="00FD0D8E" w14:paraId="0D0163C2" w14:textId="77777777" w:rsidTr="00C02C0C">
        <w:tc>
          <w:tcPr>
            <w:tcW w:w="1496" w:type="pct"/>
            <w:tcBorders>
              <w:top w:val="nil"/>
              <w:left w:val="nil"/>
              <w:bottom w:val="nil"/>
              <w:right w:val="nil"/>
            </w:tcBorders>
          </w:tcPr>
          <w:p w14:paraId="6F1F9B62"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49CD3E15" w14:textId="46CF9D33"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61D394D4" w14:textId="77777777" w:rsidR="003523D8" w:rsidRPr="00FD0D8E" w:rsidRDefault="003523D8" w:rsidP="00C74EB6">
            <w:pPr>
              <w:autoSpaceDE w:val="0"/>
              <w:autoSpaceDN w:val="0"/>
              <w:adjustRightInd w:val="0"/>
              <w:jc w:val="center"/>
              <w:rPr>
                <w:kern w:val="0"/>
                <w:szCs w:val="21"/>
              </w:rPr>
            </w:pPr>
            <w:r w:rsidRPr="00FD0D8E">
              <w:rPr>
                <w:kern w:val="0"/>
                <w:szCs w:val="21"/>
              </w:rPr>
              <w:t>(0.009)</w:t>
            </w:r>
          </w:p>
        </w:tc>
      </w:tr>
      <w:tr w:rsidR="003523D8" w:rsidRPr="00FD0D8E" w14:paraId="1CE270A1" w14:textId="77777777" w:rsidTr="00C02C0C">
        <w:tc>
          <w:tcPr>
            <w:tcW w:w="1496" w:type="pct"/>
            <w:tcBorders>
              <w:top w:val="nil"/>
              <w:left w:val="nil"/>
              <w:bottom w:val="nil"/>
              <w:right w:val="nil"/>
            </w:tcBorders>
          </w:tcPr>
          <w:p w14:paraId="095CBBAF" w14:textId="77777777" w:rsidR="003523D8" w:rsidRPr="00FD0D8E" w:rsidRDefault="003523D8" w:rsidP="00C74EB6">
            <w:pPr>
              <w:autoSpaceDE w:val="0"/>
              <w:autoSpaceDN w:val="0"/>
              <w:adjustRightInd w:val="0"/>
              <w:rPr>
                <w:kern w:val="0"/>
                <w:szCs w:val="21"/>
              </w:rPr>
            </w:pPr>
            <w:r w:rsidRPr="00FD0D8E">
              <w:rPr>
                <w:kern w:val="0"/>
                <w:szCs w:val="21"/>
              </w:rPr>
              <w:t>DOSR</w:t>
            </w:r>
          </w:p>
        </w:tc>
        <w:tc>
          <w:tcPr>
            <w:tcW w:w="1753" w:type="pct"/>
            <w:tcBorders>
              <w:top w:val="nil"/>
              <w:left w:val="nil"/>
              <w:bottom w:val="nil"/>
              <w:right w:val="nil"/>
            </w:tcBorders>
          </w:tcPr>
          <w:p w14:paraId="12840450" w14:textId="25CE8DAA"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6DA638EB" w14:textId="77777777" w:rsidR="003523D8" w:rsidRPr="00FD0D8E" w:rsidRDefault="003523D8" w:rsidP="00C74EB6">
            <w:pPr>
              <w:autoSpaceDE w:val="0"/>
              <w:autoSpaceDN w:val="0"/>
              <w:adjustRightInd w:val="0"/>
              <w:jc w:val="center"/>
              <w:rPr>
                <w:kern w:val="0"/>
                <w:szCs w:val="21"/>
              </w:rPr>
            </w:pPr>
            <w:r w:rsidRPr="00FD0D8E">
              <w:rPr>
                <w:kern w:val="0"/>
                <w:szCs w:val="21"/>
              </w:rPr>
              <w:t>-0.041</w:t>
            </w:r>
            <w:r w:rsidRPr="00FD0D8E">
              <w:rPr>
                <w:kern w:val="0"/>
                <w:szCs w:val="21"/>
                <w:vertAlign w:val="superscript"/>
              </w:rPr>
              <w:t>***</w:t>
            </w:r>
          </w:p>
        </w:tc>
      </w:tr>
      <w:tr w:rsidR="003523D8" w:rsidRPr="00FD0D8E" w14:paraId="25BC9279" w14:textId="77777777" w:rsidTr="00C02C0C">
        <w:tc>
          <w:tcPr>
            <w:tcW w:w="1496" w:type="pct"/>
            <w:tcBorders>
              <w:top w:val="nil"/>
              <w:left w:val="nil"/>
              <w:bottom w:val="nil"/>
              <w:right w:val="nil"/>
            </w:tcBorders>
          </w:tcPr>
          <w:p w14:paraId="3607A1A3"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2B5D5183" w14:textId="001D67F6"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60CD7B9" w14:textId="77777777" w:rsidR="003523D8" w:rsidRPr="00FD0D8E" w:rsidRDefault="003523D8" w:rsidP="00C74EB6">
            <w:pPr>
              <w:autoSpaceDE w:val="0"/>
              <w:autoSpaceDN w:val="0"/>
              <w:adjustRightInd w:val="0"/>
              <w:jc w:val="center"/>
              <w:rPr>
                <w:kern w:val="0"/>
                <w:szCs w:val="21"/>
              </w:rPr>
            </w:pPr>
            <w:r w:rsidRPr="00FD0D8E">
              <w:rPr>
                <w:kern w:val="0"/>
                <w:szCs w:val="21"/>
              </w:rPr>
              <w:t>(0.015)</w:t>
            </w:r>
          </w:p>
        </w:tc>
      </w:tr>
      <w:tr w:rsidR="003523D8" w:rsidRPr="00FD0D8E" w14:paraId="2201B88C" w14:textId="77777777" w:rsidTr="00C02C0C">
        <w:tc>
          <w:tcPr>
            <w:tcW w:w="1496" w:type="pct"/>
            <w:tcBorders>
              <w:top w:val="nil"/>
              <w:left w:val="nil"/>
              <w:bottom w:val="nil"/>
              <w:right w:val="nil"/>
            </w:tcBorders>
          </w:tcPr>
          <w:p w14:paraId="4E4C039F" w14:textId="77777777" w:rsidR="003523D8" w:rsidRPr="00FD0D8E" w:rsidRDefault="003523D8" w:rsidP="00C74EB6">
            <w:pPr>
              <w:autoSpaceDE w:val="0"/>
              <w:autoSpaceDN w:val="0"/>
              <w:adjustRightInd w:val="0"/>
              <w:rPr>
                <w:kern w:val="0"/>
                <w:szCs w:val="21"/>
              </w:rPr>
            </w:pPr>
            <w:r w:rsidRPr="00FD0D8E">
              <w:rPr>
                <w:kern w:val="0"/>
                <w:szCs w:val="21"/>
              </w:rPr>
              <w:t>Size</w:t>
            </w:r>
          </w:p>
        </w:tc>
        <w:tc>
          <w:tcPr>
            <w:tcW w:w="1753" w:type="pct"/>
            <w:tcBorders>
              <w:top w:val="nil"/>
              <w:left w:val="nil"/>
              <w:bottom w:val="nil"/>
              <w:right w:val="nil"/>
            </w:tcBorders>
          </w:tcPr>
          <w:p w14:paraId="4106B737" w14:textId="0329FA80"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9AFA2B4" w14:textId="77777777" w:rsidR="003523D8" w:rsidRPr="00FD0D8E" w:rsidRDefault="003523D8" w:rsidP="00C74EB6">
            <w:pPr>
              <w:autoSpaceDE w:val="0"/>
              <w:autoSpaceDN w:val="0"/>
              <w:adjustRightInd w:val="0"/>
              <w:jc w:val="center"/>
              <w:rPr>
                <w:kern w:val="0"/>
                <w:szCs w:val="21"/>
              </w:rPr>
            </w:pPr>
            <w:r w:rsidRPr="00FD0D8E">
              <w:rPr>
                <w:kern w:val="0"/>
                <w:szCs w:val="21"/>
              </w:rPr>
              <w:t>0.015</w:t>
            </w:r>
            <w:r w:rsidRPr="00FD0D8E">
              <w:rPr>
                <w:kern w:val="0"/>
                <w:szCs w:val="21"/>
                <w:vertAlign w:val="superscript"/>
              </w:rPr>
              <w:t>**</w:t>
            </w:r>
          </w:p>
        </w:tc>
      </w:tr>
      <w:tr w:rsidR="003523D8" w:rsidRPr="00FD0D8E" w14:paraId="018C1F81" w14:textId="77777777" w:rsidTr="00C02C0C">
        <w:tc>
          <w:tcPr>
            <w:tcW w:w="1496" w:type="pct"/>
            <w:tcBorders>
              <w:top w:val="nil"/>
              <w:left w:val="nil"/>
              <w:bottom w:val="nil"/>
              <w:right w:val="nil"/>
            </w:tcBorders>
          </w:tcPr>
          <w:p w14:paraId="37118E94"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4D30045F" w14:textId="7C7BA177"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46248196" w14:textId="77777777" w:rsidR="003523D8" w:rsidRPr="00FD0D8E" w:rsidRDefault="003523D8" w:rsidP="00C74EB6">
            <w:pPr>
              <w:autoSpaceDE w:val="0"/>
              <w:autoSpaceDN w:val="0"/>
              <w:adjustRightInd w:val="0"/>
              <w:jc w:val="center"/>
              <w:rPr>
                <w:kern w:val="0"/>
                <w:szCs w:val="21"/>
              </w:rPr>
            </w:pPr>
            <w:r w:rsidRPr="00FD0D8E">
              <w:rPr>
                <w:kern w:val="0"/>
                <w:szCs w:val="21"/>
              </w:rPr>
              <w:t>(0.006)</w:t>
            </w:r>
          </w:p>
        </w:tc>
      </w:tr>
      <w:tr w:rsidR="003523D8" w:rsidRPr="00FD0D8E" w14:paraId="52B8D5F6" w14:textId="77777777" w:rsidTr="00C02C0C">
        <w:tc>
          <w:tcPr>
            <w:tcW w:w="1496" w:type="pct"/>
            <w:tcBorders>
              <w:top w:val="nil"/>
              <w:left w:val="nil"/>
              <w:bottom w:val="nil"/>
              <w:right w:val="nil"/>
            </w:tcBorders>
          </w:tcPr>
          <w:p w14:paraId="77A13A54" w14:textId="77777777" w:rsidR="003523D8" w:rsidRPr="00FD0D8E" w:rsidRDefault="003523D8" w:rsidP="00C74EB6">
            <w:pPr>
              <w:autoSpaceDE w:val="0"/>
              <w:autoSpaceDN w:val="0"/>
              <w:adjustRightInd w:val="0"/>
              <w:rPr>
                <w:kern w:val="0"/>
                <w:szCs w:val="21"/>
              </w:rPr>
            </w:pPr>
            <w:r w:rsidRPr="00FD0D8E">
              <w:rPr>
                <w:kern w:val="0"/>
                <w:szCs w:val="21"/>
              </w:rPr>
              <w:t>SOE</w:t>
            </w:r>
          </w:p>
        </w:tc>
        <w:tc>
          <w:tcPr>
            <w:tcW w:w="1753" w:type="pct"/>
            <w:tcBorders>
              <w:top w:val="nil"/>
              <w:left w:val="nil"/>
              <w:bottom w:val="nil"/>
              <w:right w:val="nil"/>
            </w:tcBorders>
          </w:tcPr>
          <w:p w14:paraId="7891159D" w14:textId="2DEE5DD0"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70F71A4C" w14:textId="77777777" w:rsidR="003523D8" w:rsidRPr="00FD0D8E" w:rsidRDefault="003523D8" w:rsidP="00C74EB6">
            <w:pPr>
              <w:autoSpaceDE w:val="0"/>
              <w:autoSpaceDN w:val="0"/>
              <w:adjustRightInd w:val="0"/>
              <w:jc w:val="center"/>
              <w:rPr>
                <w:kern w:val="0"/>
                <w:szCs w:val="21"/>
              </w:rPr>
            </w:pPr>
            <w:r w:rsidRPr="00FD0D8E">
              <w:rPr>
                <w:kern w:val="0"/>
                <w:szCs w:val="21"/>
              </w:rPr>
              <w:t>0.035</w:t>
            </w:r>
            <w:r w:rsidRPr="00FD0D8E">
              <w:rPr>
                <w:kern w:val="0"/>
                <w:szCs w:val="21"/>
                <w:vertAlign w:val="superscript"/>
              </w:rPr>
              <w:t>***</w:t>
            </w:r>
          </w:p>
        </w:tc>
      </w:tr>
      <w:tr w:rsidR="003523D8" w:rsidRPr="00FD0D8E" w14:paraId="6A4C03BF" w14:textId="77777777" w:rsidTr="00C02C0C">
        <w:tc>
          <w:tcPr>
            <w:tcW w:w="1496" w:type="pct"/>
            <w:tcBorders>
              <w:top w:val="nil"/>
              <w:left w:val="nil"/>
              <w:bottom w:val="nil"/>
              <w:right w:val="nil"/>
            </w:tcBorders>
          </w:tcPr>
          <w:p w14:paraId="17F51E0E" w14:textId="77777777" w:rsidR="003523D8" w:rsidRPr="00FD0D8E" w:rsidRDefault="003523D8" w:rsidP="00C74EB6">
            <w:pPr>
              <w:autoSpaceDE w:val="0"/>
              <w:autoSpaceDN w:val="0"/>
              <w:adjustRightInd w:val="0"/>
              <w:rPr>
                <w:kern w:val="0"/>
                <w:szCs w:val="21"/>
              </w:rPr>
            </w:pPr>
          </w:p>
        </w:tc>
        <w:tc>
          <w:tcPr>
            <w:tcW w:w="1753" w:type="pct"/>
            <w:tcBorders>
              <w:top w:val="nil"/>
              <w:left w:val="nil"/>
              <w:bottom w:val="nil"/>
              <w:right w:val="nil"/>
            </w:tcBorders>
          </w:tcPr>
          <w:p w14:paraId="4A22F2F5" w14:textId="2C91B77A" w:rsidR="003523D8" w:rsidRPr="00FD0D8E" w:rsidRDefault="003523D8" w:rsidP="00C74EB6">
            <w:pPr>
              <w:autoSpaceDE w:val="0"/>
              <w:autoSpaceDN w:val="0"/>
              <w:adjustRightInd w:val="0"/>
              <w:jc w:val="center"/>
              <w:rPr>
                <w:kern w:val="0"/>
                <w:szCs w:val="21"/>
              </w:rPr>
            </w:pPr>
          </w:p>
        </w:tc>
        <w:tc>
          <w:tcPr>
            <w:tcW w:w="1751" w:type="pct"/>
            <w:tcBorders>
              <w:top w:val="nil"/>
              <w:left w:val="nil"/>
              <w:bottom w:val="nil"/>
              <w:right w:val="nil"/>
            </w:tcBorders>
          </w:tcPr>
          <w:p w14:paraId="39CF8C74" w14:textId="77777777" w:rsidR="003523D8" w:rsidRPr="00FD0D8E" w:rsidRDefault="003523D8" w:rsidP="00C74EB6">
            <w:pPr>
              <w:autoSpaceDE w:val="0"/>
              <w:autoSpaceDN w:val="0"/>
              <w:adjustRightInd w:val="0"/>
              <w:jc w:val="center"/>
              <w:rPr>
                <w:kern w:val="0"/>
                <w:szCs w:val="21"/>
              </w:rPr>
            </w:pPr>
            <w:r w:rsidRPr="00FD0D8E">
              <w:rPr>
                <w:kern w:val="0"/>
                <w:szCs w:val="21"/>
              </w:rPr>
              <w:t>(0.008)</w:t>
            </w:r>
          </w:p>
        </w:tc>
      </w:tr>
      <w:tr w:rsidR="003523D8" w:rsidRPr="00FD0D8E" w14:paraId="4DFD4AD4" w14:textId="77777777" w:rsidTr="00C02C0C">
        <w:tc>
          <w:tcPr>
            <w:tcW w:w="1496" w:type="pct"/>
            <w:tcBorders>
              <w:top w:val="nil"/>
              <w:left w:val="nil"/>
              <w:bottom w:val="nil"/>
              <w:right w:val="nil"/>
            </w:tcBorders>
          </w:tcPr>
          <w:p w14:paraId="6A28B2BF" w14:textId="2BE3E440" w:rsidR="003523D8" w:rsidRPr="00FD0D8E" w:rsidRDefault="003523D8" w:rsidP="00C74EB6">
            <w:pPr>
              <w:autoSpaceDE w:val="0"/>
              <w:autoSpaceDN w:val="0"/>
              <w:adjustRightInd w:val="0"/>
              <w:rPr>
                <w:kern w:val="0"/>
                <w:szCs w:val="21"/>
              </w:rPr>
            </w:pPr>
            <w:r w:rsidRPr="00FD0D8E">
              <w:rPr>
                <w:rFonts w:hint="eastAsia"/>
                <w:kern w:val="0"/>
                <w:szCs w:val="21"/>
              </w:rPr>
              <w:t>行业</w:t>
            </w:r>
            <w:r w:rsidRPr="00FD0D8E">
              <w:rPr>
                <w:rFonts w:hint="eastAsia"/>
                <w:kern w:val="0"/>
                <w:szCs w:val="21"/>
              </w:rPr>
              <w:t>FE</w:t>
            </w:r>
          </w:p>
        </w:tc>
        <w:tc>
          <w:tcPr>
            <w:tcW w:w="1753" w:type="pct"/>
            <w:tcBorders>
              <w:top w:val="nil"/>
              <w:left w:val="nil"/>
              <w:bottom w:val="nil"/>
              <w:right w:val="nil"/>
            </w:tcBorders>
          </w:tcPr>
          <w:p w14:paraId="365E398E" w14:textId="56527044"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c>
          <w:tcPr>
            <w:tcW w:w="1751" w:type="pct"/>
            <w:tcBorders>
              <w:top w:val="nil"/>
              <w:left w:val="nil"/>
              <w:bottom w:val="nil"/>
              <w:right w:val="nil"/>
            </w:tcBorders>
          </w:tcPr>
          <w:p w14:paraId="57D2D334" w14:textId="33A9C63B"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r>
      <w:tr w:rsidR="003523D8" w:rsidRPr="00FD0D8E" w14:paraId="42ED46F0" w14:textId="77777777" w:rsidTr="00C02C0C">
        <w:tc>
          <w:tcPr>
            <w:tcW w:w="1496" w:type="pct"/>
            <w:tcBorders>
              <w:top w:val="nil"/>
              <w:left w:val="nil"/>
              <w:bottom w:val="nil"/>
              <w:right w:val="nil"/>
            </w:tcBorders>
          </w:tcPr>
          <w:p w14:paraId="092C9829" w14:textId="60B840E4" w:rsidR="003523D8" w:rsidRPr="00FD0D8E" w:rsidRDefault="003523D8" w:rsidP="00C74EB6">
            <w:pPr>
              <w:autoSpaceDE w:val="0"/>
              <w:autoSpaceDN w:val="0"/>
              <w:adjustRightInd w:val="0"/>
              <w:rPr>
                <w:kern w:val="0"/>
                <w:szCs w:val="21"/>
              </w:rPr>
            </w:pPr>
            <w:r w:rsidRPr="00FD0D8E">
              <w:rPr>
                <w:rFonts w:hint="eastAsia"/>
                <w:kern w:val="0"/>
                <w:szCs w:val="21"/>
              </w:rPr>
              <w:t>年份</w:t>
            </w:r>
            <w:r w:rsidRPr="00FD0D8E">
              <w:rPr>
                <w:rFonts w:hint="eastAsia"/>
                <w:kern w:val="0"/>
                <w:szCs w:val="21"/>
              </w:rPr>
              <w:t>FE</w:t>
            </w:r>
          </w:p>
        </w:tc>
        <w:tc>
          <w:tcPr>
            <w:tcW w:w="1753" w:type="pct"/>
            <w:tcBorders>
              <w:top w:val="nil"/>
              <w:left w:val="nil"/>
              <w:bottom w:val="nil"/>
              <w:right w:val="nil"/>
            </w:tcBorders>
          </w:tcPr>
          <w:p w14:paraId="0ED61B03" w14:textId="1326A3FF"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c>
          <w:tcPr>
            <w:tcW w:w="1751" w:type="pct"/>
            <w:tcBorders>
              <w:top w:val="nil"/>
              <w:left w:val="nil"/>
              <w:bottom w:val="nil"/>
              <w:right w:val="nil"/>
            </w:tcBorders>
          </w:tcPr>
          <w:p w14:paraId="46D70BD2" w14:textId="4C6E29F4" w:rsidR="003523D8" w:rsidRPr="00FD0D8E" w:rsidRDefault="003523D8" w:rsidP="00C74EB6">
            <w:pPr>
              <w:autoSpaceDE w:val="0"/>
              <w:autoSpaceDN w:val="0"/>
              <w:adjustRightInd w:val="0"/>
              <w:jc w:val="center"/>
              <w:rPr>
                <w:kern w:val="0"/>
                <w:szCs w:val="21"/>
              </w:rPr>
            </w:pPr>
            <w:r w:rsidRPr="00FD0D8E">
              <w:rPr>
                <w:rFonts w:hint="eastAsia"/>
                <w:kern w:val="0"/>
                <w:szCs w:val="21"/>
              </w:rPr>
              <w:t>控制</w:t>
            </w:r>
          </w:p>
        </w:tc>
      </w:tr>
      <w:tr w:rsidR="003523D8" w:rsidRPr="00FD0D8E" w14:paraId="0CF819EB" w14:textId="77777777" w:rsidTr="00C02C0C">
        <w:tc>
          <w:tcPr>
            <w:tcW w:w="1496" w:type="pct"/>
            <w:tcBorders>
              <w:top w:val="nil"/>
              <w:left w:val="nil"/>
              <w:bottom w:val="nil"/>
              <w:right w:val="nil"/>
            </w:tcBorders>
          </w:tcPr>
          <w:p w14:paraId="609D5937" w14:textId="31469D0E" w:rsidR="003523D8" w:rsidRPr="00FD0D8E" w:rsidRDefault="003523D8" w:rsidP="00C74EB6">
            <w:pPr>
              <w:autoSpaceDE w:val="0"/>
              <w:autoSpaceDN w:val="0"/>
              <w:adjustRightInd w:val="0"/>
              <w:rPr>
                <w:kern w:val="0"/>
                <w:szCs w:val="21"/>
              </w:rPr>
            </w:pPr>
            <w:r w:rsidRPr="00FD0D8E">
              <w:rPr>
                <w:kern w:val="0"/>
                <w:szCs w:val="21"/>
              </w:rPr>
              <w:t>N</w:t>
            </w:r>
          </w:p>
        </w:tc>
        <w:tc>
          <w:tcPr>
            <w:tcW w:w="1753" w:type="pct"/>
            <w:tcBorders>
              <w:top w:val="nil"/>
              <w:left w:val="nil"/>
              <w:bottom w:val="nil"/>
              <w:right w:val="nil"/>
            </w:tcBorders>
          </w:tcPr>
          <w:p w14:paraId="022BD2B2" w14:textId="317485BE" w:rsidR="003523D8" w:rsidRPr="00FD0D8E" w:rsidRDefault="00C02C0C" w:rsidP="00C74EB6">
            <w:pPr>
              <w:autoSpaceDE w:val="0"/>
              <w:autoSpaceDN w:val="0"/>
              <w:adjustRightInd w:val="0"/>
              <w:jc w:val="center"/>
              <w:rPr>
                <w:kern w:val="0"/>
                <w:szCs w:val="21"/>
              </w:rPr>
            </w:pPr>
            <w:r w:rsidRPr="00FD0D8E">
              <w:rPr>
                <w:rFonts w:hint="eastAsia"/>
                <w:kern w:val="0"/>
                <w:szCs w:val="21"/>
              </w:rPr>
              <w:t>6206</w:t>
            </w:r>
          </w:p>
        </w:tc>
        <w:tc>
          <w:tcPr>
            <w:tcW w:w="1751" w:type="pct"/>
            <w:tcBorders>
              <w:top w:val="nil"/>
              <w:left w:val="nil"/>
              <w:bottom w:val="nil"/>
              <w:right w:val="nil"/>
            </w:tcBorders>
          </w:tcPr>
          <w:p w14:paraId="663EA977" w14:textId="1775C695" w:rsidR="003523D8" w:rsidRPr="00FD0D8E" w:rsidRDefault="00C02C0C" w:rsidP="00C74EB6">
            <w:pPr>
              <w:autoSpaceDE w:val="0"/>
              <w:autoSpaceDN w:val="0"/>
              <w:adjustRightInd w:val="0"/>
              <w:jc w:val="center"/>
              <w:rPr>
                <w:kern w:val="0"/>
                <w:szCs w:val="21"/>
              </w:rPr>
            </w:pPr>
            <w:r w:rsidRPr="00FD0D8E">
              <w:rPr>
                <w:kern w:val="0"/>
                <w:szCs w:val="21"/>
              </w:rPr>
              <w:t>6206</w:t>
            </w:r>
          </w:p>
        </w:tc>
      </w:tr>
      <w:tr w:rsidR="003523D8" w:rsidRPr="00FD0D8E" w14:paraId="460A6AA7" w14:textId="77777777" w:rsidTr="00C02C0C">
        <w:tc>
          <w:tcPr>
            <w:tcW w:w="1496" w:type="pct"/>
            <w:tcBorders>
              <w:top w:val="nil"/>
              <w:left w:val="nil"/>
              <w:bottom w:val="single" w:sz="4" w:space="0" w:color="auto"/>
              <w:right w:val="nil"/>
            </w:tcBorders>
          </w:tcPr>
          <w:p w14:paraId="25071521" w14:textId="1DC1DAD0" w:rsidR="003523D8" w:rsidRPr="00FD0D8E" w:rsidRDefault="003523D8" w:rsidP="00C74EB6">
            <w:pPr>
              <w:autoSpaceDE w:val="0"/>
              <w:autoSpaceDN w:val="0"/>
              <w:adjustRightInd w:val="0"/>
              <w:rPr>
                <w:kern w:val="0"/>
                <w:szCs w:val="21"/>
              </w:rPr>
            </w:pPr>
            <w:r w:rsidRPr="00FD0D8E">
              <w:rPr>
                <w:kern w:val="0"/>
                <w:szCs w:val="21"/>
              </w:rPr>
              <w:t>Pseudo R²</w:t>
            </w:r>
          </w:p>
        </w:tc>
        <w:tc>
          <w:tcPr>
            <w:tcW w:w="1753" w:type="pct"/>
            <w:tcBorders>
              <w:top w:val="nil"/>
              <w:left w:val="nil"/>
              <w:bottom w:val="single" w:sz="4" w:space="0" w:color="auto"/>
              <w:right w:val="nil"/>
            </w:tcBorders>
          </w:tcPr>
          <w:p w14:paraId="093B1C34" w14:textId="56C718E0" w:rsidR="003523D8" w:rsidRPr="00FD0D8E" w:rsidRDefault="00C02C0C" w:rsidP="00C74EB6">
            <w:pPr>
              <w:autoSpaceDE w:val="0"/>
              <w:autoSpaceDN w:val="0"/>
              <w:adjustRightInd w:val="0"/>
              <w:jc w:val="center"/>
              <w:rPr>
                <w:kern w:val="0"/>
                <w:szCs w:val="21"/>
              </w:rPr>
            </w:pPr>
            <w:r w:rsidRPr="00FD0D8E">
              <w:rPr>
                <w:rFonts w:hint="eastAsia"/>
                <w:kern w:val="0"/>
                <w:szCs w:val="21"/>
              </w:rPr>
              <w:t>0.14</w:t>
            </w:r>
          </w:p>
        </w:tc>
        <w:tc>
          <w:tcPr>
            <w:tcW w:w="1751" w:type="pct"/>
            <w:tcBorders>
              <w:top w:val="nil"/>
              <w:left w:val="nil"/>
              <w:bottom w:val="single" w:sz="4" w:space="0" w:color="auto"/>
              <w:right w:val="nil"/>
            </w:tcBorders>
          </w:tcPr>
          <w:p w14:paraId="3BB5BC6D" w14:textId="66AAB917" w:rsidR="003523D8" w:rsidRPr="00FD0D8E" w:rsidRDefault="00C02C0C" w:rsidP="00C74EB6">
            <w:pPr>
              <w:autoSpaceDE w:val="0"/>
              <w:autoSpaceDN w:val="0"/>
              <w:adjustRightInd w:val="0"/>
              <w:jc w:val="center"/>
              <w:rPr>
                <w:kern w:val="0"/>
                <w:szCs w:val="21"/>
              </w:rPr>
            </w:pPr>
            <w:r w:rsidRPr="00FD0D8E">
              <w:rPr>
                <w:rFonts w:hint="eastAsia"/>
                <w:kern w:val="0"/>
                <w:szCs w:val="21"/>
              </w:rPr>
              <w:t>0.21</w:t>
            </w:r>
          </w:p>
        </w:tc>
      </w:tr>
    </w:tbl>
    <w:p w14:paraId="6FC19F4C" w14:textId="340C32E9" w:rsidR="00086241" w:rsidRDefault="00BE7A0E" w:rsidP="00086241">
      <w:pPr>
        <w:autoSpaceDE w:val="0"/>
        <w:autoSpaceDN w:val="0"/>
        <w:adjustRightInd w:val="0"/>
        <w:ind w:firstLine="360"/>
        <w:rPr>
          <w:kern w:val="0"/>
          <w:sz w:val="18"/>
          <w:szCs w:val="18"/>
        </w:rPr>
      </w:pPr>
      <w:r w:rsidRPr="00086241">
        <w:rPr>
          <w:rFonts w:hint="eastAsia"/>
          <w:kern w:val="0"/>
          <w:sz w:val="18"/>
          <w:szCs w:val="18"/>
        </w:rPr>
        <w:t>注：表内报告的是估计结果的边际效应；括号内代表聚类稳健标准误；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p>
    <w:p w14:paraId="09F2EC0A" w14:textId="77777777" w:rsidR="00687289" w:rsidRDefault="00687289" w:rsidP="00086241">
      <w:pPr>
        <w:autoSpaceDE w:val="0"/>
        <w:autoSpaceDN w:val="0"/>
        <w:adjustRightInd w:val="0"/>
        <w:ind w:firstLine="360"/>
        <w:rPr>
          <w:kern w:val="0"/>
          <w:sz w:val="18"/>
          <w:szCs w:val="18"/>
        </w:rPr>
      </w:pPr>
    </w:p>
    <w:p w14:paraId="395B908C" w14:textId="77777777" w:rsidR="00687289" w:rsidRDefault="00687289" w:rsidP="00086241">
      <w:pPr>
        <w:autoSpaceDE w:val="0"/>
        <w:autoSpaceDN w:val="0"/>
        <w:adjustRightInd w:val="0"/>
        <w:ind w:firstLine="360"/>
        <w:rPr>
          <w:kern w:val="0"/>
          <w:sz w:val="18"/>
          <w:szCs w:val="18"/>
        </w:rPr>
      </w:pPr>
    </w:p>
    <w:p w14:paraId="11EFD198" w14:textId="77777777" w:rsidR="00687289" w:rsidRDefault="00687289" w:rsidP="00086241">
      <w:pPr>
        <w:autoSpaceDE w:val="0"/>
        <w:autoSpaceDN w:val="0"/>
        <w:adjustRightInd w:val="0"/>
        <w:ind w:firstLine="360"/>
        <w:rPr>
          <w:kern w:val="0"/>
          <w:sz w:val="18"/>
          <w:szCs w:val="18"/>
        </w:rPr>
      </w:pPr>
    </w:p>
    <w:p w14:paraId="4B969E8D" w14:textId="77777777" w:rsidR="00687289" w:rsidRDefault="00687289" w:rsidP="00086241">
      <w:pPr>
        <w:autoSpaceDE w:val="0"/>
        <w:autoSpaceDN w:val="0"/>
        <w:adjustRightInd w:val="0"/>
        <w:ind w:firstLine="360"/>
        <w:rPr>
          <w:kern w:val="0"/>
          <w:sz w:val="18"/>
          <w:szCs w:val="18"/>
        </w:rPr>
      </w:pPr>
    </w:p>
    <w:p w14:paraId="3AF758AF" w14:textId="784DAEB9" w:rsidR="00687289" w:rsidRDefault="00687289" w:rsidP="00086241">
      <w:pPr>
        <w:autoSpaceDE w:val="0"/>
        <w:autoSpaceDN w:val="0"/>
        <w:adjustRightInd w:val="0"/>
        <w:ind w:firstLine="360"/>
        <w:rPr>
          <w:kern w:val="0"/>
          <w:sz w:val="18"/>
          <w:szCs w:val="18"/>
        </w:rPr>
      </w:pPr>
    </w:p>
    <w:p w14:paraId="218A06A8" w14:textId="77777777" w:rsidR="00C74EB6" w:rsidRDefault="00C74EB6" w:rsidP="00086241">
      <w:pPr>
        <w:autoSpaceDE w:val="0"/>
        <w:autoSpaceDN w:val="0"/>
        <w:adjustRightInd w:val="0"/>
        <w:ind w:firstLine="360"/>
        <w:rPr>
          <w:kern w:val="0"/>
          <w:sz w:val="18"/>
          <w:szCs w:val="18"/>
        </w:rPr>
      </w:pPr>
    </w:p>
    <w:p w14:paraId="5005DF55" w14:textId="77777777" w:rsidR="00C74EB6" w:rsidRDefault="00C74EB6" w:rsidP="00086241">
      <w:pPr>
        <w:autoSpaceDE w:val="0"/>
        <w:autoSpaceDN w:val="0"/>
        <w:adjustRightInd w:val="0"/>
        <w:ind w:firstLine="360"/>
        <w:rPr>
          <w:kern w:val="0"/>
          <w:sz w:val="18"/>
          <w:szCs w:val="18"/>
        </w:rPr>
      </w:pPr>
    </w:p>
    <w:p w14:paraId="4D893BE6" w14:textId="77777777" w:rsidR="00C74EB6" w:rsidRDefault="00C74EB6" w:rsidP="00086241">
      <w:pPr>
        <w:autoSpaceDE w:val="0"/>
        <w:autoSpaceDN w:val="0"/>
        <w:adjustRightInd w:val="0"/>
        <w:ind w:firstLine="360"/>
        <w:rPr>
          <w:kern w:val="0"/>
          <w:sz w:val="18"/>
          <w:szCs w:val="18"/>
        </w:rPr>
      </w:pPr>
    </w:p>
    <w:p w14:paraId="3804CC22" w14:textId="77777777" w:rsidR="00687289" w:rsidRDefault="00687289" w:rsidP="00086241">
      <w:pPr>
        <w:autoSpaceDE w:val="0"/>
        <w:autoSpaceDN w:val="0"/>
        <w:adjustRightInd w:val="0"/>
        <w:ind w:firstLine="360"/>
        <w:rPr>
          <w:kern w:val="0"/>
          <w:sz w:val="18"/>
          <w:szCs w:val="18"/>
        </w:rPr>
      </w:pPr>
    </w:p>
    <w:p w14:paraId="5299A60A" w14:textId="77777777" w:rsidR="00687289" w:rsidRDefault="00687289" w:rsidP="00086241">
      <w:pPr>
        <w:autoSpaceDE w:val="0"/>
        <w:autoSpaceDN w:val="0"/>
        <w:adjustRightInd w:val="0"/>
        <w:ind w:firstLine="360"/>
        <w:rPr>
          <w:kern w:val="0"/>
          <w:sz w:val="18"/>
          <w:szCs w:val="18"/>
        </w:rPr>
      </w:pPr>
    </w:p>
    <w:p w14:paraId="4AE00905" w14:textId="426D2217" w:rsidR="00BE7A0E" w:rsidRPr="00C74EB6" w:rsidRDefault="00DD3EDC" w:rsidP="00C74EB6">
      <w:pPr>
        <w:pStyle w:val="2"/>
      </w:pPr>
      <w:bookmarkStart w:id="115" w:name="_Toc191420755"/>
      <w:bookmarkStart w:id="116" w:name="_Toc191574125"/>
      <w:bookmarkStart w:id="117" w:name="_Toc198286996"/>
      <w:r w:rsidRPr="00C74EB6">
        <w:rPr>
          <w:rFonts w:hint="eastAsia"/>
        </w:rPr>
        <w:t>机制检验</w:t>
      </w:r>
      <w:bookmarkEnd w:id="115"/>
      <w:bookmarkEnd w:id="116"/>
      <w:bookmarkEnd w:id="117"/>
    </w:p>
    <w:p w14:paraId="659B2C73" w14:textId="1015206A" w:rsidR="0043214C" w:rsidRPr="00C74EB6" w:rsidRDefault="0043214C" w:rsidP="0043214C">
      <w:pPr>
        <w:spacing w:line="360" w:lineRule="auto"/>
        <w:ind w:firstLineChars="200" w:firstLine="480"/>
        <w:rPr>
          <w:sz w:val="24"/>
        </w:rPr>
      </w:pPr>
      <w:r w:rsidRPr="00C74EB6">
        <w:rPr>
          <w:rFonts w:hint="eastAsia"/>
          <w:sz w:val="24"/>
        </w:rPr>
        <w:t>本文</w:t>
      </w:r>
      <w:proofErr w:type="gramStart"/>
      <w:r w:rsidRPr="00C74EB6">
        <w:rPr>
          <w:rFonts w:hint="eastAsia"/>
          <w:sz w:val="24"/>
        </w:rPr>
        <w:t>将</w:t>
      </w:r>
      <w:r w:rsidR="00537E1A" w:rsidRPr="00C74EB6">
        <w:rPr>
          <w:rFonts w:hint="eastAsia"/>
          <w:sz w:val="24"/>
        </w:rPr>
        <w:t>机制</w:t>
      </w:r>
      <w:proofErr w:type="gramEnd"/>
      <w:r w:rsidRPr="00C74EB6">
        <w:rPr>
          <w:rFonts w:hint="eastAsia"/>
          <w:sz w:val="24"/>
        </w:rPr>
        <w:t>代理变量对组织资本进行回归，构建如下模型：</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879"/>
        <w:gridCol w:w="996"/>
      </w:tblGrid>
      <w:tr w:rsidR="002D39F1" w:rsidRPr="00C74EB6" w14:paraId="6BE7879D" w14:textId="77777777" w:rsidTr="002D39F1">
        <w:tc>
          <w:tcPr>
            <w:tcW w:w="421" w:type="dxa"/>
          </w:tcPr>
          <w:p w14:paraId="12F749FD" w14:textId="77777777" w:rsidR="002D39F1" w:rsidRPr="00C74EB6" w:rsidRDefault="002D39F1" w:rsidP="00FD26B3">
            <w:pPr>
              <w:spacing w:line="360" w:lineRule="auto"/>
              <w:ind w:firstLine="480"/>
              <w:rPr>
                <w:sz w:val="24"/>
              </w:rPr>
            </w:pPr>
          </w:p>
        </w:tc>
        <w:tc>
          <w:tcPr>
            <w:tcW w:w="6879" w:type="dxa"/>
          </w:tcPr>
          <w:p w14:paraId="33DE3592" w14:textId="0BCCBEA6" w:rsidR="002D39F1" w:rsidRPr="00C74EB6" w:rsidRDefault="00000000" w:rsidP="00FD26B3">
            <w:pPr>
              <w:spacing w:line="360" w:lineRule="auto"/>
              <w:rPr>
                <w:i/>
                <w:sz w:val="24"/>
              </w:rPr>
            </w:pPr>
            <m:oMathPara>
              <m:oMath>
                <m:sSub>
                  <m:sSubPr>
                    <m:ctrlPr>
                      <w:rPr>
                        <w:rFonts w:ascii="Cambria Math" w:hAnsi="Cambria Math"/>
                        <w:i/>
                        <w:sz w:val="24"/>
                      </w:rPr>
                    </m:ctrlPr>
                  </m:sSubPr>
                  <m:e>
                    <m:r>
                      <w:rPr>
                        <w:rFonts w:ascii="Cambria Math" w:hAnsi="Cambria Math"/>
                        <w:sz w:val="24"/>
                      </w:rPr>
                      <m:t>C</m:t>
                    </m:r>
                    <m:r>
                      <w:rPr>
                        <w:rFonts w:ascii="Cambria Math" w:hAnsi="Cambria Math" w:cs="Cambria Math"/>
                        <w:sz w:val="24"/>
                      </w:rPr>
                      <m:t>h</m:t>
                    </m:r>
                    <m:r>
                      <w:rPr>
                        <w:rFonts w:ascii="Cambria Math" w:hAnsi="Cambria Math" w:hint="eastAsia"/>
                        <w:sz w:val="24"/>
                      </w:rPr>
                      <m:t>annels</m:t>
                    </m:r>
                  </m:e>
                  <m:sub>
                    <m:r>
                      <w:rPr>
                        <w:rFonts w:ascii="Cambria Math" w:hAnsi="Cambria Math"/>
                        <w:sz w:val="24"/>
                      </w:rPr>
                      <m:t>i,t</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O</m:t>
                </m:r>
                <m:sSub>
                  <m:sSubPr>
                    <m:ctrlPr>
                      <w:rPr>
                        <w:rFonts w:ascii="Cambria Math" w:hAnsi="Cambria Math"/>
                        <w:i/>
                        <w:sz w:val="24"/>
                        <w:lang w:val="en-AU"/>
                      </w:rPr>
                    </m:ctrlPr>
                  </m:sSubPr>
                  <m:e>
                    <m:r>
                      <w:rPr>
                        <w:rFonts w:ascii="Cambria Math" w:hAnsi="Cambria Math"/>
                        <w:sz w:val="24"/>
                      </w:rPr>
                      <m:t>C</m:t>
                    </m:r>
                    <m:ctrlPr>
                      <w:rPr>
                        <w:rFonts w:ascii="Cambria Math" w:hAnsi="Cambria Math"/>
                        <w:i/>
                        <w:sz w:val="24"/>
                      </w:rPr>
                    </m:ctrlPr>
                  </m:e>
                  <m:sub>
                    <m:r>
                      <w:rPr>
                        <w:rFonts w:ascii="Cambria Math" w:hAnsi="Cambria Math"/>
                        <w:sz w:val="24"/>
                      </w:rPr>
                      <m:t>i,t</m:t>
                    </m:r>
                  </m:sub>
                </m:sSub>
                <m:r>
                  <w:rPr>
                    <w:rFonts w:ascii="Cambria Math" w:hAnsi="Cambria Math"/>
                    <w:sz w:val="24"/>
                  </w:rPr>
                  <m:t>+γ</m:t>
                </m:r>
                <m:sSub>
                  <m:sSubPr>
                    <m:ctrlPr>
                      <w:rPr>
                        <w:rFonts w:ascii="Cambria Math" w:hAnsi="Cambria Math"/>
                        <w:i/>
                        <w:sz w:val="24"/>
                      </w:rPr>
                    </m:ctrlPr>
                  </m:sSubPr>
                  <m:e>
                    <m:r>
                      <w:rPr>
                        <w:rFonts w:ascii="Cambria Math" w:hAnsi="Cambria Math"/>
                        <w:sz w:val="24"/>
                      </w:rPr>
                      <m:t>X</m:t>
                    </m:r>
                  </m:e>
                  <m:sub>
                    <m:r>
                      <w:rPr>
                        <w:rFonts w:ascii="Cambria Math" w:hAnsi="Cambria Math"/>
                        <w:sz w:val="24"/>
                      </w:rPr>
                      <m:t>control</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t</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ϵ</m:t>
                    </m:r>
                  </m:e>
                  <m:sub>
                    <m:r>
                      <w:rPr>
                        <w:rFonts w:ascii="Cambria Math" w:hAnsi="Cambria Math"/>
                        <w:sz w:val="24"/>
                      </w:rPr>
                      <m:t>it</m:t>
                    </m:r>
                  </m:sub>
                </m:sSub>
              </m:oMath>
            </m:oMathPara>
          </w:p>
        </w:tc>
        <w:tc>
          <w:tcPr>
            <w:tcW w:w="996" w:type="dxa"/>
            <w:vAlign w:val="center"/>
          </w:tcPr>
          <w:p w14:paraId="6EB9E087" w14:textId="74E29C5C" w:rsidR="002D39F1" w:rsidRPr="00C74EB6" w:rsidRDefault="002D39F1" w:rsidP="002D39F1">
            <w:pPr>
              <w:spacing w:line="360" w:lineRule="auto"/>
              <w:jc w:val="right"/>
              <w:rPr>
                <w:sz w:val="24"/>
              </w:rPr>
            </w:pPr>
            <w:r w:rsidRPr="00C74EB6">
              <w:rPr>
                <w:rFonts w:hint="eastAsia"/>
                <w:bCs/>
                <w:sz w:val="24"/>
              </w:rPr>
              <w:t>（</w:t>
            </w:r>
            <w:r w:rsidRPr="00C74EB6">
              <w:rPr>
                <w:rFonts w:hint="eastAsia"/>
                <w:bCs/>
                <w:sz w:val="24"/>
              </w:rPr>
              <w:t>4.1</w:t>
            </w:r>
            <w:r w:rsidRPr="00C74EB6">
              <w:rPr>
                <w:rFonts w:hint="eastAsia"/>
                <w:bCs/>
                <w:sz w:val="24"/>
              </w:rPr>
              <w:t>）</w:t>
            </w:r>
          </w:p>
        </w:tc>
      </w:tr>
    </w:tbl>
    <w:p w14:paraId="0B98212E" w14:textId="6A0F3B19" w:rsidR="00183022" w:rsidRPr="00C74EB6" w:rsidRDefault="00E074CD" w:rsidP="00C74EB6">
      <w:pPr>
        <w:pStyle w:val="3"/>
      </w:pPr>
      <w:bookmarkStart w:id="118" w:name="_Toc191420756"/>
      <w:bookmarkStart w:id="119" w:name="_Toc191574126"/>
      <w:bookmarkStart w:id="120" w:name="_Toc198286997"/>
      <w:r w:rsidRPr="00C74EB6">
        <w:rPr>
          <w:rFonts w:hint="eastAsia"/>
        </w:rPr>
        <w:t>双重委托代理机制</w:t>
      </w:r>
      <w:bookmarkEnd w:id="118"/>
      <w:bookmarkEnd w:id="119"/>
      <w:bookmarkEnd w:id="120"/>
    </w:p>
    <w:p w14:paraId="71C753C7" w14:textId="77C9F328" w:rsidR="00537E1A" w:rsidRPr="00C74EB6" w:rsidRDefault="00537E1A" w:rsidP="00601DA8">
      <w:pPr>
        <w:spacing w:line="360" w:lineRule="auto"/>
        <w:rPr>
          <w:sz w:val="24"/>
        </w:rPr>
      </w:pPr>
      <w:r w:rsidRPr="00C74EB6">
        <w:rPr>
          <w:rFonts w:hint="eastAsia"/>
          <w:sz w:val="24"/>
        </w:rPr>
        <w:t>（</w:t>
      </w:r>
      <w:r w:rsidR="00E074CD" w:rsidRPr="00C74EB6">
        <w:rPr>
          <w:rFonts w:hint="eastAsia"/>
          <w:sz w:val="24"/>
        </w:rPr>
        <w:t>一</w:t>
      </w:r>
      <w:r w:rsidRPr="00C74EB6">
        <w:rPr>
          <w:rFonts w:hint="eastAsia"/>
          <w:sz w:val="24"/>
        </w:rPr>
        <w:t>）第一类委托代理成本</w:t>
      </w:r>
    </w:p>
    <w:p w14:paraId="5BF7CEB5" w14:textId="07D1719E" w:rsidR="00AD6184" w:rsidRPr="00C74EB6" w:rsidRDefault="00AD6184" w:rsidP="00AD6184">
      <w:pPr>
        <w:spacing w:line="360" w:lineRule="auto"/>
        <w:ind w:firstLineChars="200" w:firstLine="480"/>
        <w:rPr>
          <w:sz w:val="24"/>
          <w:szCs w:val="21"/>
        </w:rPr>
      </w:pPr>
      <w:r w:rsidRPr="00C74EB6">
        <w:rPr>
          <w:rFonts w:hint="eastAsia"/>
          <w:sz w:val="24"/>
          <w:szCs w:val="21"/>
        </w:rPr>
        <w:t>借鉴</w:t>
      </w:r>
      <w:proofErr w:type="gramStart"/>
      <w:r w:rsidRPr="00C74EB6">
        <w:rPr>
          <w:rFonts w:hint="eastAsia"/>
          <w:sz w:val="24"/>
          <w:szCs w:val="21"/>
        </w:rPr>
        <w:t>王垒等</w:t>
      </w:r>
      <w:proofErr w:type="gramEnd"/>
      <w:r w:rsidRPr="00C74EB6">
        <w:rPr>
          <w:rFonts w:hint="eastAsia"/>
          <w:sz w:val="24"/>
          <w:szCs w:val="21"/>
        </w:rPr>
        <w:t>（</w:t>
      </w:r>
      <w:r w:rsidRPr="00C74EB6">
        <w:rPr>
          <w:rFonts w:hint="eastAsia"/>
          <w:sz w:val="24"/>
          <w:szCs w:val="21"/>
        </w:rPr>
        <w:t>2020</w:t>
      </w:r>
      <w:r w:rsidRPr="00C74EB6">
        <w:rPr>
          <w:rFonts w:hint="eastAsia"/>
          <w:sz w:val="24"/>
          <w:szCs w:val="21"/>
        </w:rPr>
        <w:t>），先使用高管货币型私有收益（</w:t>
      </w:r>
      <w:r w:rsidRPr="00C74EB6">
        <w:rPr>
          <w:rFonts w:hint="eastAsia"/>
          <w:sz w:val="24"/>
          <w:szCs w:val="21"/>
        </w:rPr>
        <w:t xml:space="preserve">Executive </w:t>
      </w:r>
      <w:r w:rsidR="0010059E" w:rsidRPr="00C74EB6">
        <w:rPr>
          <w:rFonts w:hint="eastAsia"/>
          <w:sz w:val="24"/>
          <w:szCs w:val="21"/>
        </w:rPr>
        <w:t xml:space="preserve">Private </w:t>
      </w:r>
      <w:r w:rsidRPr="00C74EB6">
        <w:rPr>
          <w:rFonts w:hint="eastAsia"/>
          <w:sz w:val="24"/>
          <w:szCs w:val="21"/>
        </w:rPr>
        <w:t xml:space="preserve">Monetary </w:t>
      </w:r>
      <w:r w:rsidR="0010059E" w:rsidRPr="00C74EB6">
        <w:rPr>
          <w:rFonts w:hint="eastAsia"/>
          <w:sz w:val="24"/>
          <w:szCs w:val="21"/>
        </w:rPr>
        <w:t>Compensation</w:t>
      </w:r>
      <w:r w:rsidRPr="00C74EB6">
        <w:rPr>
          <w:rFonts w:hint="eastAsia"/>
          <w:sz w:val="24"/>
          <w:szCs w:val="21"/>
        </w:rPr>
        <w:t>，</w:t>
      </w:r>
      <w:r w:rsidR="0010059E" w:rsidRPr="00C74EB6">
        <w:rPr>
          <w:rFonts w:hint="eastAsia"/>
          <w:sz w:val="24"/>
          <w:szCs w:val="21"/>
        </w:rPr>
        <w:t>EPMC</w:t>
      </w:r>
      <w:r w:rsidRPr="00C74EB6">
        <w:rPr>
          <w:rFonts w:hint="eastAsia"/>
          <w:sz w:val="24"/>
          <w:szCs w:val="21"/>
        </w:rPr>
        <w:t>）衡量第一类代理成本。高管货币型私有收益</w:t>
      </w:r>
      <w:r w:rsidRPr="00C74EB6">
        <w:rPr>
          <w:rFonts w:hint="eastAsia"/>
          <w:sz w:val="24"/>
          <w:szCs w:val="21"/>
        </w:rPr>
        <w:t>=</w:t>
      </w:r>
      <w:r w:rsidRPr="00C74EB6">
        <w:rPr>
          <w:rFonts w:hint="eastAsia"/>
          <w:sz w:val="24"/>
          <w:szCs w:val="21"/>
        </w:rPr>
        <w:t>实际薪酬</w:t>
      </w:r>
      <w:r w:rsidRPr="00C74EB6">
        <w:rPr>
          <w:rFonts w:hint="eastAsia"/>
          <w:sz w:val="24"/>
          <w:szCs w:val="21"/>
        </w:rPr>
        <w:t>-</w:t>
      </w:r>
      <w:r w:rsidRPr="00C74EB6">
        <w:rPr>
          <w:rFonts w:hint="eastAsia"/>
          <w:sz w:val="24"/>
          <w:szCs w:val="21"/>
        </w:rPr>
        <w:t>预期正常薪酬，该变量</w:t>
      </w:r>
      <w:proofErr w:type="gramStart"/>
      <w:r w:rsidR="00A2771D" w:rsidRPr="00C74EB6">
        <w:rPr>
          <w:rFonts w:hint="eastAsia"/>
          <w:sz w:val="24"/>
          <w:szCs w:val="21"/>
        </w:rPr>
        <w:t>即以下</w:t>
      </w:r>
      <w:proofErr w:type="gramEnd"/>
      <w:r w:rsidRPr="00C74EB6">
        <w:rPr>
          <w:rFonts w:hint="eastAsia"/>
          <w:sz w:val="24"/>
          <w:szCs w:val="21"/>
        </w:rPr>
        <w:t>模型</w:t>
      </w:r>
      <w:r w:rsidR="00A2771D" w:rsidRPr="00C74EB6">
        <w:rPr>
          <w:rFonts w:hint="eastAsia"/>
          <w:sz w:val="24"/>
          <w:szCs w:val="21"/>
        </w:rPr>
        <w:t>的</w:t>
      </w:r>
      <w:r w:rsidRPr="00C74EB6">
        <w:rPr>
          <w:rFonts w:hint="eastAsia"/>
          <w:sz w:val="24"/>
          <w:szCs w:val="21"/>
        </w:rPr>
        <w:t>残差</w:t>
      </w:r>
      <m:oMath>
        <m:r>
          <w:rPr>
            <w:rFonts w:ascii="Cambria Math" w:hAnsi="Cambria Math"/>
            <w:sz w:val="24"/>
            <w:szCs w:val="21"/>
          </w:rPr>
          <m:t>ϵ</m:t>
        </m:r>
      </m:oMath>
      <w:r w:rsidRPr="00C74EB6">
        <w:rPr>
          <w:rFonts w:hint="eastAsia"/>
          <w:sz w:val="24"/>
          <w:szCs w:val="21"/>
        </w:rPr>
        <w:t>：</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879"/>
        <w:gridCol w:w="996"/>
      </w:tblGrid>
      <w:tr w:rsidR="002D39F1" w:rsidRPr="00C74EB6" w14:paraId="1AC9E321" w14:textId="77777777" w:rsidTr="002D39F1">
        <w:tc>
          <w:tcPr>
            <w:tcW w:w="421" w:type="dxa"/>
          </w:tcPr>
          <w:p w14:paraId="3AE9B00C" w14:textId="77777777" w:rsidR="002D39F1" w:rsidRPr="00C74EB6" w:rsidRDefault="002D39F1" w:rsidP="00FD26B3">
            <w:pPr>
              <w:spacing w:line="360" w:lineRule="auto"/>
              <w:ind w:firstLine="480"/>
              <w:rPr>
                <w:sz w:val="24"/>
              </w:rPr>
            </w:pPr>
          </w:p>
        </w:tc>
        <w:tc>
          <w:tcPr>
            <w:tcW w:w="6879" w:type="dxa"/>
          </w:tcPr>
          <w:p w14:paraId="321387AA" w14:textId="1371A1BA" w:rsidR="002D39F1" w:rsidRPr="00B92969" w:rsidRDefault="00000000" w:rsidP="002D39F1">
            <w:pPr>
              <w:spacing w:line="360" w:lineRule="auto"/>
              <w:ind w:firstLineChars="200" w:firstLine="480"/>
              <w:rPr>
                <w:i/>
                <w:sz w:val="24"/>
                <w:szCs w:val="21"/>
              </w:rPr>
            </w:pPr>
            <m:oMath>
              <m:sSub>
                <m:sSubPr>
                  <m:ctrlPr>
                    <w:rPr>
                      <w:rFonts w:ascii="Cambria Math" w:hAnsi="Cambria Math"/>
                      <w:i/>
                      <w:sz w:val="24"/>
                      <w:szCs w:val="21"/>
                    </w:rPr>
                  </m:ctrlPr>
                </m:sSubPr>
                <m:e>
                  <m:func>
                    <m:funcPr>
                      <m:ctrlPr>
                        <w:rPr>
                          <w:rFonts w:ascii="Cambria Math" w:hAnsi="Cambria Math"/>
                          <w:i/>
                          <w:sz w:val="24"/>
                          <w:szCs w:val="21"/>
                        </w:rPr>
                      </m:ctrlPr>
                    </m:funcPr>
                    <m:fName>
                      <m:r>
                        <w:rPr>
                          <w:rFonts w:ascii="Cambria Math" w:hAnsi="Cambria Math"/>
                          <w:sz w:val="24"/>
                          <w:szCs w:val="21"/>
                        </w:rPr>
                        <m:t>ln</m:t>
                      </m:r>
                    </m:fName>
                    <m:e>
                      <m:r>
                        <w:rPr>
                          <w:rFonts w:ascii="Cambria Math" w:hAnsi="Cambria Math"/>
                          <w:sz w:val="24"/>
                          <w:szCs w:val="21"/>
                        </w:rPr>
                        <m:t>EMAC</m:t>
                      </m:r>
                    </m:e>
                  </m:func>
                </m:e>
                <m:sub>
                  <m:r>
                    <w:rPr>
                      <w:rFonts w:ascii="Cambria Math" w:hAnsi="Cambria Math" w:hint="eastAsia"/>
                      <w:sz w:val="24"/>
                      <w:szCs w:val="21"/>
                    </w:rPr>
                    <m:t>i</m:t>
                  </m:r>
                  <m:r>
                    <w:rPr>
                      <w:rFonts w:ascii="Cambria Math" w:hAnsi="Cambria Math"/>
                      <w:sz w:val="24"/>
                      <w:szCs w:val="21"/>
                    </w:rPr>
                    <m:t>,t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hint="eastAsia"/>
                      <w:sz w:val="24"/>
                      <w:szCs w:val="21"/>
                    </w:rPr>
                    <m:t>β</m:t>
                  </m:r>
                </m:e>
                <m:sub>
                  <m:r>
                    <w:rPr>
                      <w:rFonts w:ascii="Cambria Math" w:hAnsi="Cambria Math"/>
                      <w:sz w:val="24"/>
                      <w:szCs w:val="21"/>
                    </w:rPr>
                    <m:t>0</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hint="eastAsia"/>
                      <w:sz w:val="24"/>
                      <w:szCs w:val="21"/>
                    </w:rPr>
                    <m:t>β</m:t>
                  </m:r>
                </m:e>
                <m:sub>
                  <m:r>
                    <w:rPr>
                      <w:rFonts w:ascii="Cambria Math" w:hAnsi="Cambria Math"/>
                      <w:sz w:val="24"/>
                      <w:szCs w:val="21"/>
                    </w:rPr>
                    <m:t>1</m:t>
                  </m:r>
                </m:sub>
              </m:sSub>
              <m:sSub>
                <m:sSubPr>
                  <m:ctrlPr>
                    <w:rPr>
                      <w:rFonts w:ascii="Cambria Math" w:hAnsi="Cambria Math"/>
                      <w:i/>
                      <w:sz w:val="24"/>
                      <w:szCs w:val="21"/>
                    </w:rPr>
                  </m:ctrlPr>
                </m:sSubPr>
                <m:e>
                  <m:r>
                    <w:rPr>
                      <w:rFonts w:ascii="Cambria Math" w:hAnsi="Cambria Math"/>
                      <w:sz w:val="24"/>
                      <w:szCs w:val="21"/>
                    </w:rPr>
                    <m:t>S</m:t>
                  </m:r>
                  <m:r>
                    <w:rPr>
                      <w:rFonts w:ascii="Cambria Math" w:hAnsi="Cambria Math" w:hint="eastAsia"/>
                      <w:sz w:val="24"/>
                      <w:szCs w:val="21"/>
                    </w:rPr>
                    <m:t>ize</m:t>
                  </m:r>
                </m:e>
                <m:sub>
                  <m:r>
                    <w:rPr>
                      <w:rFonts w:ascii="Cambria Math" w:hAnsi="Cambria Math" w:hint="eastAsia"/>
                      <w:sz w:val="24"/>
                      <w:szCs w:val="21"/>
                    </w:rPr>
                    <m:t>i</m:t>
                  </m:r>
                  <m:r>
                    <w:rPr>
                      <w:rFonts w:ascii="Cambria Math" w:hAnsi="Cambria Math"/>
                      <w:sz w:val="24"/>
                      <w:szCs w:val="21"/>
                    </w:rPr>
                    <m:t>,t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hint="eastAsia"/>
                      <w:sz w:val="24"/>
                      <w:szCs w:val="21"/>
                    </w:rPr>
                    <m:t>β</m:t>
                  </m:r>
                </m:e>
                <m:sub>
                  <m:r>
                    <w:rPr>
                      <w:rFonts w:ascii="Cambria Math" w:hAnsi="Cambria Math"/>
                      <w:sz w:val="24"/>
                      <w:szCs w:val="21"/>
                    </w:rPr>
                    <m:t>2</m:t>
                  </m:r>
                </m:sub>
              </m:sSub>
              <m:sSub>
                <m:sSubPr>
                  <m:ctrlPr>
                    <w:rPr>
                      <w:rFonts w:ascii="Cambria Math" w:hAnsi="Cambria Math"/>
                      <w:i/>
                      <w:sz w:val="24"/>
                      <w:szCs w:val="21"/>
                    </w:rPr>
                  </m:ctrlPr>
                </m:sSubPr>
                <m:e>
                  <m:r>
                    <w:rPr>
                      <w:rFonts w:ascii="Cambria Math" w:hAnsi="Cambria Math"/>
                      <w:sz w:val="24"/>
                      <w:szCs w:val="21"/>
                    </w:rPr>
                    <m:t>ROA</m:t>
                  </m:r>
                </m:e>
                <m:sub>
                  <m:r>
                    <w:rPr>
                      <w:rFonts w:ascii="Cambria Math" w:hAnsi="Cambria Math" w:hint="eastAsia"/>
                      <w:sz w:val="24"/>
                      <w:szCs w:val="21"/>
                    </w:rPr>
                    <m:t>i</m:t>
                  </m:r>
                  <m:r>
                    <w:rPr>
                      <w:rFonts w:ascii="Cambria Math" w:hAnsi="Cambria Math"/>
                      <w:sz w:val="24"/>
                      <w:szCs w:val="21"/>
                    </w:rPr>
                    <m:t>,t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hint="eastAsia"/>
                      <w:sz w:val="24"/>
                      <w:szCs w:val="21"/>
                    </w:rPr>
                    <m:t>β</m:t>
                  </m:r>
                </m:e>
                <m:sub>
                  <m:r>
                    <w:rPr>
                      <w:rFonts w:ascii="Cambria Math" w:hAnsi="Cambria Math"/>
                      <w:sz w:val="24"/>
                      <w:szCs w:val="21"/>
                    </w:rPr>
                    <m:t>3</m:t>
                  </m:r>
                </m:sub>
              </m:sSub>
              <m:sSub>
                <m:sSubPr>
                  <m:ctrlPr>
                    <w:rPr>
                      <w:rFonts w:ascii="Cambria Math" w:hAnsi="Cambria Math"/>
                      <w:i/>
                      <w:sz w:val="24"/>
                      <w:szCs w:val="21"/>
                    </w:rPr>
                  </m:ctrlPr>
                </m:sSubPr>
                <m:e>
                  <m:r>
                    <w:rPr>
                      <w:rFonts w:ascii="Cambria Math" w:hAnsi="Cambria Math"/>
                      <w:sz w:val="24"/>
                      <w:szCs w:val="21"/>
                    </w:rPr>
                    <m:t>M</m:t>
                  </m:r>
                  <m:r>
                    <w:rPr>
                      <w:rFonts w:ascii="Cambria Math" w:hAnsi="Cambria Math" w:hint="eastAsia"/>
                      <w:sz w:val="24"/>
                      <w:szCs w:val="21"/>
                    </w:rPr>
                    <m:t>ar</m:t>
                  </m:r>
                  <m:r>
                    <w:rPr>
                      <w:rFonts w:ascii="Cambria Math" w:hAnsi="Cambria Math"/>
                      <w:sz w:val="24"/>
                      <w:szCs w:val="21"/>
                    </w:rPr>
                    <m:t>_Perfor</m:t>
                  </m:r>
                </m:e>
                <m:sub>
                  <m:r>
                    <w:rPr>
                      <w:rFonts w:ascii="Cambria Math" w:hAnsi="Cambria Math" w:hint="eastAsia"/>
                      <w:sz w:val="24"/>
                      <w:szCs w:val="21"/>
                    </w:rPr>
                    <m:t>i</m:t>
                  </m:r>
                  <m:r>
                    <w:rPr>
                      <w:rFonts w:ascii="Cambria Math" w:hAnsi="Cambria Math"/>
                      <w:sz w:val="24"/>
                      <w:szCs w:val="21"/>
                    </w:rPr>
                    <m:t>,t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hint="eastAsia"/>
                      <w:sz w:val="24"/>
                      <w:szCs w:val="21"/>
                    </w:rPr>
                    <m:t>β</m:t>
                  </m:r>
                </m:e>
                <m:sub>
                  <m:r>
                    <w:rPr>
                      <w:rFonts w:ascii="Cambria Math" w:hAnsi="Cambria Math"/>
                      <w:sz w:val="24"/>
                      <w:szCs w:val="21"/>
                    </w:rPr>
                    <m:t>4</m:t>
                  </m:r>
                </m:sub>
              </m:sSub>
              <m:sSub>
                <m:sSubPr>
                  <m:ctrlPr>
                    <w:rPr>
                      <w:rFonts w:ascii="Cambria Math" w:hAnsi="Cambria Math"/>
                      <w:i/>
                      <w:sz w:val="24"/>
                      <w:szCs w:val="21"/>
                    </w:rPr>
                  </m:ctrlPr>
                </m:sSubPr>
                <m:e>
                  <m:r>
                    <w:rPr>
                      <w:rFonts w:ascii="Cambria Math" w:hAnsi="Cambria Math"/>
                      <w:sz w:val="24"/>
                      <w:szCs w:val="21"/>
                    </w:rPr>
                    <m:t>IAsset</m:t>
                  </m:r>
                </m:e>
                <m:sub>
                  <m:r>
                    <w:rPr>
                      <w:rFonts w:ascii="Cambria Math" w:hAnsi="Cambria Math" w:hint="eastAsia"/>
                      <w:sz w:val="24"/>
                      <w:szCs w:val="21"/>
                    </w:rPr>
                    <m:t>i</m:t>
                  </m:r>
                  <m:r>
                    <w:rPr>
                      <w:rFonts w:ascii="Cambria Math" w:hAnsi="Cambria Math"/>
                      <w:sz w:val="24"/>
                      <w:szCs w:val="21"/>
                    </w:rPr>
                    <m:t>,t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hint="eastAsia"/>
                      <w:sz w:val="24"/>
                      <w:szCs w:val="21"/>
                    </w:rPr>
                    <m:t>β</m:t>
                  </m:r>
                </m:e>
                <m:sub>
                  <m:r>
                    <w:rPr>
                      <w:rFonts w:ascii="Cambria Math" w:hAnsi="Cambria Math"/>
                      <w:sz w:val="24"/>
                      <w:szCs w:val="21"/>
                    </w:rPr>
                    <m:t>5</m:t>
                  </m:r>
                </m:sub>
              </m:sSub>
              <m:func>
                <m:funcPr>
                  <m:ctrlPr>
                    <w:rPr>
                      <w:rFonts w:ascii="Cambria Math" w:hAnsi="Cambria Math"/>
                      <w:i/>
                      <w:sz w:val="24"/>
                      <w:szCs w:val="21"/>
                    </w:rPr>
                  </m:ctrlPr>
                </m:funcPr>
                <m:fName>
                  <m:r>
                    <w:rPr>
                      <w:rFonts w:ascii="Cambria Math" w:hAnsi="Cambria Math"/>
                      <w:sz w:val="24"/>
                      <w:szCs w:val="21"/>
                    </w:rPr>
                    <m:t>ln</m:t>
                  </m:r>
                </m:fName>
                <m:e>
                  <m:sSub>
                    <m:sSubPr>
                      <m:ctrlPr>
                        <w:rPr>
                          <w:rFonts w:ascii="Cambria Math" w:hAnsi="Cambria Math"/>
                          <w:i/>
                          <w:sz w:val="24"/>
                          <w:szCs w:val="21"/>
                        </w:rPr>
                      </m:ctrlPr>
                    </m:sSubPr>
                    <m:e>
                      <m:r>
                        <w:rPr>
                          <w:rFonts w:ascii="Cambria Math" w:hAnsi="Cambria Math"/>
                          <w:sz w:val="24"/>
                          <w:szCs w:val="21"/>
                        </w:rPr>
                        <m:t>GDPpc</m:t>
                      </m:r>
                    </m:e>
                    <m:sub>
                      <m:r>
                        <w:rPr>
                          <w:rFonts w:ascii="Cambria Math" w:hAnsi="Cambria Math" w:hint="eastAsia"/>
                          <w:sz w:val="24"/>
                          <w:szCs w:val="21"/>
                        </w:rPr>
                        <m:t>i</m:t>
                      </m:r>
                      <m:r>
                        <w:rPr>
                          <w:rFonts w:ascii="Cambria Math" w:hAnsi="Cambria Math"/>
                          <w:sz w:val="24"/>
                          <w:szCs w:val="21"/>
                        </w:rPr>
                        <m:t>,t</m:t>
                      </m:r>
                    </m:sub>
                  </m:sSub>
                  <m:r>
                    <w:rPr>
                      <w:rFonts w:ascii="Cambria Math" w:hAnsi="Cambria Math"/>
                      <w:sz w:val="24"/>
                      <w:szCs w:val="21"/>
                    </w:rPr>
                    <m:t>+</m:t>
                  </m:r>
                  <m:sSub>
                    <m:sSubPr>
                      <m:ctrlPr>
                        <w:rPr>
                          <w:rFonts w:ascii="Cambria Math" w:hAnsi="Cambria Math"/>
                          <w:i/>
                          <w:sz w:val="24"/>
                          <w:szCs w:val="21"/>
                        </w:rPr>
                      </m:ctrlPr>
                    </m:sSubPr>
                    <m:e>
                      <m:r>
                        <w:rPr>
                          <w:rFonts w:ascii="Cambria Math" w:hAnsi="Cambria Math" w:hint="eastAsia"/>
                          <w:sz w:val="24"/>
                          <w:szCs w:val="21"/>
                        </w:rPr>
                        <m:t>β</m:t>
                      </m:r>
                    </m:e>
                    <m:sub>
                      <m:r>
                        <w:rPr>
                          <w:rFonts w:ascii="Cambria Math" w:hAnsi="Cambria Math"/>
                          <w:sz w:val="24"/>
                          <w:szCs w:val="21"/>
                        </w:rPr>
                        <m:t>6</m:t>
                      </m:r>
                    </m:sub>
                  </m:sSub>
                  <m:sSub>
                    <m:sSubPr>
                      <m:ctrlPr>
                        <w:rPr>
                          <w:rFonts w:ascii="Cambria Math" w:hAnsi="Cambria Math"/>
                          <w:i/>
                          <w:sz w:val="24"/>
                          <w:szCs w:val="21"/>
                        </w:rPr>
                      </m:ctrlPr>
                    </m:sSubPr>
                    <m:e>
                      <m:r>
                        <w:rPr>
                          <w:rFonts w:ascii="Cambria Math" w:hAnsi="Cambria Math"/>
                          <w:sz w:val="24"/>
                          <w:szCs w:val="21"/>
                        </w:rPr>
                        <m:t>Region</m:t>
                      </m:r>
                    </m:e>
                    <m:sub>
                      <m:r>
                        <w:rPr>
                          <w:rFonts w:ascii="Cambria Math" w:hAnsi="Cambria Math"/>
                          <w:sz w:val="24"/>
                          <w:szCs w:val="21"/>
                        </w:rPr>
                        <m:t>i,t</m:t>
                      </m:r>
                    </m:sub>
                  </m:sSub>
                  <m:r>
                    <w:rPr>
                      <w:rFonts w:ascii="Cambria Math" w:hAnsi="Cambria Math"/>
                      <w:sz w:val="24"/>
                      <w:szCs w:val="21"/>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t</m:t>
                      </m:r>
                    </m:sub>
                  </m:sSub>
                  <m:r>
                    <w:rPr>
                      <w:rFonts w:ascii="Cambria Math" w:hAnsi="Cambria Math"/>
                      <w:sz w:val="24"/>
                      <w:szCs w:val="21"/>
                    </w:rPr>
                    <m:t>+ϵ</m:t>
                  </m:r>
                </m:e>
              </m:func>
            </m:oMath>
            <w:r w:rsidR="002D39F1" w:rsidRPr="00B92969">
              <w:rPr>
                <w:rFonts w:hint="eastAsia"/>
                <w:i/>
                <w:sz w:val="24"/>
                <w:szCs w:val="21"/>
              </w:rPr>
              <w:t xml:space="preserve"> </w:t>
            </w:r>
            <w:r w:rsidR="002D39F1" w:rsidRPr="00B92969">
              <w:rPr>
                <w:rFonts w:hint="eastAsia"/>
                <w:bCs/>
                <w:i/>
                <w:sz w:val="24"/>
              </w:rPr>
              <w:t xml:space="preserve">                                                     </w:t>
            </w:r>
          </w:p>
        </w:tc>
        <w:tc>
          <w:tcPr>
            <w:tcW w:w="996" w:type="dxa"/>
            <w:vAlign w:val="center"/>
          </w:tcPr>
          <w:p w14:paraId="32484D4A" w14:textId="7A9E7DD3" w:rsidR="002D39F1" w:rsidRPr="00C74EB6" w:rsidRDefault="002D39F1" w:rsidP="002D39F1">
            <w:pPr>
              <w:spacing w:line="360" w:lineRule="auto"/>
              <w:jc w:val="right"/>
              <w:rPr>
                <w:sz w:val="24"/>
              </w:rPr>
            </w:pPr>
            <w:r w:rsidRPr="00C74EB6">
              <w:rPr>
                <w:rFonts w:hint="eastAsia"/>
                <w:bCs/>
                <w:sz w:val="24"/>
              </w:rPr>
              <w:t>（</w:t>
            </w:r>
            <w:r w:rsidRPr="00C74EB6">
              <w:rPr>
                <w:rFonts w:hint="eastAsia"/>
                <w:bCs/>
                <w:sz w:val="24"/>
              </w:rPr>
              <w:t>4.2</w:t>
            </w:r>
            <w:r w:rsidRPr="00C74EB6">
              <w:rPr>
                <w:rFonts w:hint="eastAsia"/>
                <w:bCs/>
                <w:sz w:val="24"/>
              </w:rPr>
              <w:t>）</w:t>
            </w:r>
          </w:p>
        </w:tc>
      </w:tr>
    </w:tbl>
    <w:p w14:paraId="6383BBAB" w14:textId="60F949C3" w:rsidR="002D39F1" w:rsidRPr="00C74EB6" w:rsidRDefault="002D39F1" w:rsidP="002D39F1">
      <w:pPr>
        <w:spacing w:line="360" w:lineRule="auto"/>
        <w:ind w:firstLineChars="200" w:firstLine="480"/>
        <w:rPr>
          <w:sz w:val="24"/>
          <w:szCs w:val="21"/>
        </w:rPr>
      </w:pPr>
      <w:r w:rsidRPr="00C74EB6">
        <w:rPr>
          <w:rFonts w:hint="eastAsia"/>
          <w:sz w:val="24"/>
          <w:szCs w:val="21"/>
        </w:rPr>
        <w:t>实际薪酬</w:t>
      </w:r>
      <m:oMath>
        <m:r>
          <m:rPr>
            <m:sty m:val="p"/>
          </m:rPr>
          <w:rPr>
            <w:rFonts w:ascii="Cambria Math" w:hAnsi="Cambria Math"/>
            <w:sz w:val="24"/>
            <w:szCs w:val="21"/>
          </w:rPr>
          <m:t>ln</m:t>
        </m:r>
      </m:oMath>
      <w:r w:rsidRPr="00C74EB6">
        <w:rPr>
          <w:rFonts w:hint="eastAsia"/>
          <w:sz w:val="24"/>
          <w:szCs w:val="21"/>
        </w:rPr>
        <w:t xml:space="preserve"> EAMC</w:t>
      </w:r>
      <w:r w:rsidRPr="00C74EB6">
        <w:rPr>
          <w:rFonts w:hint="eastAsia"/>
          <w:sz w:val="24"/>
          <w:szCs w:val="21"/>
        </w:rPr>
        <w:t>为前三名高管的货币报酬总额的对数；</w:t>
      </w:r>
      <m:oMath>
        <m:sSub>
          <m:sSubPr>
            <m:ctrlPr>
              <w:rPr>
                <w:rFonts w:ascii="Cambria Math" w:hAnsi="Cambria Math"/>
                <w:i/>
                <w:sz w:val="24"/>
                <w:szCs w:val="21"/>
              </w:rPr>
            </m:ctrlPr>
          </m:sSubPr>
          <m:e>
            <m:r>
              <w:rPr>
                <w:rFonts w:ascii="Cambria Math" w:hAnsi="Cambria Math"/>
                <w:sz w:val="24"/>
                <w:szCs w:val="21"/>
              </w:rPr>
              <m:t>M</m:t>
            </m:r>
            <m:r>
              <w:rPr>
                <w:rFonts w:ascii="Cambria Math" w:hAnsi="Cambria Math" w:hint="eastAsia"/>
                <w:sz w:val="24"/>
                <w:szCs w:val="21"/>
              </w:rPr>
              <m:t>ar</m:t>
            </m:r>
            <m:r>
              <w:rPr>
                <w:rFonts w:ascii="Cambria Math" w:hAnsi="Cambria Math"/>
                <w:sz w:val="24"/>
                <w:szCs w:val="21"/>
              </w:rPr>
              <m:t>_Perfor</m:t>
            </m:r>
          </m:e>
          <m:sub>
            <m:r>
              <w:rPr>
                <w:rFonts w:ascii="Cambria Math" w:hAnsi="Cambria Math" w:hint="eastAsia"/>
                <w:sz w:val="24"/>
                <w:szCs w:val="21"/>
              </w:rPr>
              <m:t>i</m:t>
            </m:r>
            <m:r>
              <w:rPr>
                <w:rFonts w:ascii="Cambria Math" w:hAnsi="Cambria Math"/>
                <w:sz w:val="24"/>
                <w:szCs w:val="21"/>
              </w:rPr>
              <m:t>,t</m:t>
            </m:r>
          </m:sub>
        </m:sSub>
      </m:oMath>
      <w:r w:rsidRPr="00C74EB6">
        <w:rPr>
          <w:rFonts w:hint="eastAsia"/>
          <w:sz w:val="24"/>
          <w:szCs w:val="21"/>
        </w:rPr>
        <w:t>为企业市场表现，</w:t>
      </w:r>
      <w:r w:rsidR="00F75212">
        <w:rPr>
          <w:rFonts w:hint="eastAsia"/>
          <w:sz w:val="24"/>
          <w:szCs w:val="21"/>
        </w:rPr>
        <w:t>基于</w:t>
      </w:r>
      <w:r w:rsidRPr="00C74EB6">
        <w:rPr>
          <w:rFonts w:hint="eastAsia"/>
          <w:sz w:val="24"/>
          <w:szCs w:val="21"/>
        </w:rPr>
        <w:t>t</w:t>
      </w:r>
      <w:r w:rsidRPr="00C74EB6">
        <w:rPr>
          <w:sz w:val="24"/>
          <w:szCs w:val="21"/>
        </w:rPr>
        <w:t>年</w:t>
      </w:r>
      <w:r w:rsidRPr="00C74EB6">
        <w:rPr>
          <w:sz w:val="24"/>
          <w:szCs w:val="21"/>
        </w:rPr>
        <w:t>5</w:t>
      </w:r>
      <w:r w:rsidRPr="00C74EB6">
        <w:rPr>
          <w:sz w:val="24"/>
          <w:szCs w:val="21"/>
        </w:rPr>
        <w:t>月至次年</w:t>
      </w:r>
      <w:r w:rsidRPr="00C74EB6">
        <w:rPr>
          <w:sz w:val="24"/>
          <w:szCs w:val="21"/>
        </w:rPr>
        <w:t>4</w:t>
      </w:r>
      <w:r w:rsidRPr="00C74EB6">
        <w:rPr>
          <w:sz w:val="24"/>
          <w:szCs w:val="21"/>
        </w:rPr>
        <w:t>月</w:t>
      </w:r>
      <w:r w:rsidR="00F75212">
        <w:rPr>
          <w:rFonts w:hint="eastAsia"/>
          <w:sz w:val="24"/>
          <w:szCs w:val="21"/>
        </w:rPr>
        <w:t>期间的月个股回报率计算，考虑现金红利再投资</w:t>
      </w:r>
      <w:r w:rsidRPr="00C74EB6">
        <w:rPr>
          <w:rFonts w:hint="eastAsia"/>
          <w:sz w:val="24"/>
          <w:szCs w:val="21"/>
        </w:rPr>
        <w:t>；</w:t>
      </w:r>
      <m:oMath>
        <m:sSub>
          <m:sSubPr>
            <m:ctrlPr>
              <w:rPr>
                <w:rFonts w:ascii="Cambria Math" w:hAnsi="Cambria Math"/>
                <w:i/>
                <w:sz w:val="24"/>
                <w:szCs w:val="21"/>
              </w:rPr>
            </m:ctrlPr>
          </m:sSubPr>
          <m:e>
            <m:r>
              <w:rPr>
                <w:rFonts w:ascii="Cambria Math" w:hAnsi="Cambria Math"/>
                <w:sz w:val="24"/>
                <w:szCs w:val="21"/>
              </w:rPr>
              <m:t>IAsset</m:t>
            </m:r>
          </m:e>
          <m:sub>
            <m:r>
              <w:rPr>
                <w:rFonts w:ascii="Cambria Math" w:hAnsi="Cambria Math" w:hint="eastAsia"/>
                <w:sz w:val="24"/>
                <w:szCs w:val="21"/>
              </w:rPr>
              <m:t>i</m:t>
            </m:r>
            <m:r>
              <w:rPr>
                <w:rFonts w:ascii="Cambria Math" w:hAnsi="Cambria Math"/>
                <w:sz w:val="24"/>
                <w:szCs w:val="21"/>
              </w:rPr>
              <m:t>,t</m:t>
            </m:r>
          </m:sub>
        </m:sSub>
      </m:oMath>
      <w:r w:rsidRPr="00C74EB6">
        <w:rPr>
          <w:rFonts w:hint="eastAsia"/>
          <w:sz w:val="24"/>
          <w:szCs w:val="21"/>
        </w:rPr>
        <w:t>为无形资产在总资产的占比，</w:t>
      </w:r>
      <m:oMath>
        <m:func>
          <m:funcPr>
            <m:ctrlPr>
              <w:rPr>
                <w:rFonts w:ascii="Cambria Math" w:hAnsi="Cambria Math"/>
                <w:i/>
                <w:sz w:val="24"/>
                <w:szCs w:val="21"/>
              </w:rPr>
            </m:ctrlPr>
          </m:funcPr>
          <m:fName>
            <m:r>
              <m:rPr>
                <m:sty m:val="p"/>
              </m:rPr>
              <w:rPr>
                <w:rFonts w:ascii="Cambria Math" w:hAnsi="Cambria Math"/>
                <w:sz w:val="24"/>
                <w:szCs w:val="21"/>
              </w:rPr>
              <m:t>ln</m:t>
            </m:r>
          </m:fName>
          <m:e>
            <m:sSub>
              <m:sSubPr>
                <m:ctrlPr>
                  <w:rPr>
                    <w:rFonts w:ascii="Cambria Math" w:hAnsi="Cambria Math"/>
                    <w:i/>
                    <w:sz w:val="24"/>
                    <w:szCs w:val="21"/>
                  </w:rPr>
                </m:ctrlPr>
              </m:sSubPr>
              <m:e>
                <m:r>
                  <w:rPr>
                    <w:rFonts w:ascii="Cambria Math" w:hAnsi="Cambria Math"/>
                    <w:sz w:val="24"/>
                    <w:szCs w:val="21"/>
                  </w:rPr>
                  <m:t>GDPpc</m:t>
                </m:r>
              </m:e>
              <m:sub>
                <m:r>
                  <w:rPr>
                    <w:rFonts w:ascii="Cambria Math" w:hAnsi="Cambria Math" w:hint="eastAsia"/>
                    <w:sz w:val="24"/>
                    <w:szCs w:val="21"/>
                  </w:rPr>
                  <m:t>i</m:t>
                </m:r>
                <m:r>
                  <w:rPr>
                    <w:rFonts w:ascii="Cambria Math" w:hAnsi="Cambria Math"/>
                    <w:sz w:val="24"/>
                    <w:szCs w:val="21"/>
                  </w:rPr>
                  <m:t>,t</m:t>
                </m:r>
              </m:sub>
            </m:sSub>
          </m:e>
        </m:func>
      </m:oMath>
      <w:r w:rsidRPr="00C74EB6">
        <w:rPr>
          <w:rFonts w:hint="eastAsia"/>
          <w:sz w:val="24"/>
          <w:szCs w:val="21"/>
        </w:rPr>
        <w:t>为上市公司所处地区经济发展程度，用当地人均</w:t>
      </w:r>
      <w:r w:rsidRPr="00C74EB6">
        <w:rPr>
          <w:rFonts w:hint="eastAsia"/>
          <w:sz w:val="24"/>
          <w:szCs w:val="21"/>
        </w:rPr>
        <w:t>GDP</w:t>
      </w:r>
      <w:r w:rsidRPr="00C74EB6">
        <w:rPr>
          <w:rFonts w:hint="eastAsia"/>
          <w:sz w:val="24"/>
          <w:szCs w:val="21"/>
        </w:rPr>
        <w:t>的自然对数衡量，</w:t>
      </w:r>
      <m:oMath>
        <m:sSub>
          <m:sSubPr>
            <m:ctrlPr>
              <w:rPr>
                <w:rFonts w:ascii="Cambria Math" w:hAnsi="Cambria Math"/>
                <w:sz w:val="24"/>
                <w:szCs w:val="21"/>
              </w:rPr>
            </m:ctrlPr>
          </m:sSubPr>
          <m:e>
            <m:r>
              <m:rPr>
                <m:sty m:val="p"/>
              </m:rPr>
              <w:rPr>
                <w:rFonts w:ascii="Cambria Math" w:hAnsi="Cambria Math"/>
                <w:sz w:val="24"/>
                <w:szCs w:val="21"/>
              </w:rPr>
              <m:t>Region</m:t>
            </m:r>
          </m:e>
          <m:sub>
            <m:r>
              <w:rPr>
                <w:rFonts w:ascii="Cambria Math" w:hAnsi="Cambria Math"/>
                <w:sz w:val="24"/>
                <w:szCs w:val="21"/>
              </w:rPr>
              <m:t>i,t</m:t>
            </m:r>
          </m:sub>
        </m:sSub>
      </m:oMath>
      <w:r w:rsidRPr="00C74EB6">
        <w:rPr>
          <w:rFonts w:hint="eastAsia"/>
          <w:sz w:val="24"/>
          <w:szCs w:val="21"/>
        </w:rPr>
        <w:t>为区域虚拟变量，上市公司所在地沿海为</w:t>
      </w:r>
      <w:r w:rsidRPr="00C74EB6">
        <w:rPr>
          <w:rFonts w:hint="eastAsia"/>
          <w:sz w:val="24"/>
          <w:szCs w:val="21"/>
        </w:rPr>
        <w:t>1</w:t>
      </w:r>
      <w:r w:rsidRPr="00C74EB6">
        <w:rPr>
          <w:rFonts w:hint="eastAsia"/>
          <w:sz w:val="24"/>
          <w:szCs w:val="21"/>
        </w:rPr>
        <w:t>，内陆为</w:t>
      </w:r>
      <w:r w:rsidRPr="00C74EB6">
        <w:rPr>
          <w:rFonts w:hint="eastAsia"/>
          <w:sz w:val="24"/>
          <w:szCs w:val="21"/>
        </w:rPr>
        <w:t>0</w:t>
      </w:r>
      <w:r w:rsidRPr="00C74EB6">
        <w:rPr>
          <w:rFonts w:hint="eastAsia"/>
          <w:sz w:val="24"/>
          <w:szCs w:val="21"/>
        </w:rPr>
        <w:t>。</w:t>
      </w:r>
    </w:p>
    <w:p w14:paraId="2AE76D12" w14:textId="095613CC" w:rsidR="001F35F2" w:rsidRPr="00C74EB6" w:rsidRDefault="001F35F2" w:rsidP="00AD6184">
      <w:pPr>
        <w:spacing w:line="360" w:lineRule="auto"/>
        <w:ind w:firstLineChars="200" w:firstLine="480"/>
        <w:rPr>
          <w:sz w:val="24"/>
          <w:szCs w:val="21"/>
        </w:rPr>
      </w:pPr>
      <w:r w:rsidRPr="00C74EB6">
        <w:rPr>
          <w:rFonts w:hint="eastAsia"/>
          <w:sz w:val="24"/>
        </w:rPr>
        <w:t>鉴于本文</w:t>
      </w:r>
      <w:r w:rsidR="009E1F71" w:rsidRPr="00C74EB6">
        <w:rPr>
          <w:rFonts w:hint="eastAsia"/>
          <w:sz w:val="24"/>
        </w:rPr>
        <w:t>更</w:t>
      </w:r>
      <w:r w:rsidRPr="00C74EB6">
        <w:rPr>
          <w:rFonts w:hint="eastAsia"/>
          <w:sz w:val="24"/>
        </w:rPr>
        <w:t>关注整体的代理问题程度，参考</w:t>
      </w:r>
      <w:r w:rsidR="009E1F71" w:rsidRPr="00C74EB6">
        <w:rPr>
          <w:rFonts w:hint="eastAsia"/>
          <w:sz w:val="24"/>
        </w:rPr>
        <w:t>Hasan</w:t>
      </w:r>
      <w:r w:rsidR="009E1F71" w:rsidRPr="00C74EB6">
        <w:rPr>
          <w:rFonts w:hint="eastAsia"/>
          <w:sz w:val="24"/>
        </w:rPr>
        <w:t>和</w:t>
      </w:r>
      <w:r w:rsidR="009E1F71" w:rsidRPr="00C74EB6">
        <w:rPr>
          <w:rFonts w:hint="eastAsia"/>
          <w:sz w:val="24"/>
        </w:rPr>
        <w:t>Uddin</w:t>
      </w:r>
      <w:r w:rsidR="009E1F71" w:rsidRPr="00C74EB6">
        <w:rPr>
          <w:rFonts w:hint="eastAsia"/>
          <w:sz w:val="24"/>
        </w:rPr>
        <w:t>（</w:t>
      </w:r>
      <w:r w:rsidR="009E1F71" w:rsidRPr="00C74EB6">
        <w:rPr>
          <w:rFonts w:hint="eastAsia"/>
          <w:sz w:val="24"/>
        </w:rPr>
        <w:t>2022</w:t>
      </w:r>
      <w:r w:rsidR="009E1F71" w:rsidRPr="00C74EB6">
        <w:rPr>
          <w:rFonts w:hint="eastAsia"/>
          <w:sz w:val="24"/>
        </w:rPr>
        <w:t>）、</w:t>
      </w:r>
      <w:r w:rsidRPr="00C74EB6">
        <w:rPr>
          <w:rFonts w:hint="eastAsia"/>
          <w:sz w:val="24"/>
        </w:rPr>
        <w:t>Aggarwal</w:t>
      </w:r>
      <w:r w:rsidRPr="00C74EB6">
        <w:rPr>
          <w:rFonts w:hint="eastAsia"/>
          <w:sz w:val="24"/>
        </w:rPr>
        <w:t>等</w:t>
      </w:r>
      <w:r w:rsidRPr="00C74EB6">
        <w:rPr>
          <w:rFonts w:hint="eastAsia"/>
          <w:sz w:val="24"/>
        </w:rPr>
        <w:t xml:space="preserve"> (2012)</w:t>
      </w:r>
      <w:r w:rsidRPr="00C74EB6">
        <w:rPr>
          <w:rFonts w:hint="eastAsia"/>
          <w:sz w:val="24"/>
        </w:rPr>
        <w:t>，构建综合指标</w:t>
      </w:r>
      <w:r w:rsidRPr="00C74EB6">
        <w:rPr>
          <w:rFonts w:hint="eastAsia"/>
          <w:sz w:val="24"/>
          <w:szCs w:val="21"/>
        </w:rPr>
        <w:t>衡量第一类委托代理问题。</w:t>
      </w:r>
      <w:r w:rsidRPr="00C74EB6">
        <w:rPr>
          <w:rFonts w:hint="eastAsia"/>
          <w:sz w:val="24"/>
        </w:rPr>
        <w:t>将下述变量按年份、行业维度划分并排名，依据与代理问题的正负关系调整顺序符号，把所有变量排名加总得到综合指标</w:t>
      </w:r>
      <w:proofErr w:type="spellStart"/>
      <w:r w:rsidRPr="00C74EB6">
        <w:rPr>
          <w:rFonts w:hint="eastAsia"/>
          <w:sz w:val="24"/>
        </w:rPr>
        <w:t>Agency</w:t>
      </w:r>
      <w:r w:rsidR="009E1F71" w:rsidRPr="00C74EB6">
        <w:rPr>
          <w:rFonts w:hint="eastAsia"/>
          <w:sz w:val="24"/>
        </w:rPr>
        <w:t>I</w:t>
      </w:r>
      <w:proofErr w:type="spellEnd"/>
      <w:r w:rsidRPr="00C74EB6">
        <w:rPr>
          <w:rFonts w:hint="eastAsia"/>
          <w:sz w:val="24"/>
        </w:rPr>
        <w:t>，评分越高，第一类委托代理问题越严重：</w:t>
      </w:r>
    </w:p>
    <w:p w14:paraId="71148D3E" w14:textId="6550FCF0" w:rsidR="00A2771D" w:rsidRPr="00C74EB6" w:rsidRDefault="00A2771D" w:rsidP="00BA3440">
      <w:pPr>
        <w:spacing w:line="360" w:lineRule="auto"/>
        <w:ind w:firstLineChars="200" w:firstLine="480"/>
        <w:rPr>
          <w:sz w:val="24"/>
          <w:szCs w:val="21"/>
        </w:rPr>
      </w:pPr>
      <w:r w:rsidRPr="00C74EB6">
        <w:rPr>
          <w:rFonts w:hint="eastAsia"/>
          <w:sz w:val="24"/>
          <w:szCs w:val="21"/>
        </w:rPr>
        <w:t>1</w:t>
      </w:r>
      <w:r w:rsidRPr="00C74EB6">
        <w:rPr>
          <w:rFonts w:hint="eastAsia"/>
          <w:sz w:val="24"/>
          <w:szCs w:val="21"/>
        </w:rPr>
        <w:t>）</w:t>
      </w:r>
      <w:r w:rsidR="00AD6184" w:rsidRPr="00C74EB6">
        <w:rPr>
          <w:rFonts w:hint="eastAsia"/>
          <w:sz w:val="24"/>
          <w:szCs w:val="21"/>
        </w:rPr>
        <w:t>股东数量（</w:t>
      </w:r>
      <w:r w:rsidR="00AD6184" w:rsidRPr="00C74EB6">
        <w:rPr>
          <w:rFonts w:hint="eastAsia"/>
          <w:sz w:val="24"/>
          <w:szCs w:val="21"/>
        </w:rPr>
        <w:t>SHR_BASE</w:t>
      </w:r>
      <w:r w:rsidR="00AD6184" w:rsidRPr="00C74EB6">
        <w:rPr>
          <w:rFonts w:hint="eastAsia"/>
          <w:sz w:val="24"/>
          <w:szCs w:val="21"/>
        </w:rPr>
        <w:t>）</w:t>
      </w:r>
      <w:r w:rsidRPr="00C74EB6">
        <w:rPr>
          <w:rFonts w:hint="eastAsia"/>
          <w:sz w:val="24"/>
          <w:szCs w:val="21"/>
        </w:rPr>
        <w:t>：数量</w:t>
      </w:r>
      <w:r w:rsidR="00AD6184" w:rsidRPr="00C74EB6">
        <w:rPr>
          <w:rFonts w:hint="eastAsia"/>
          <w:sz w:val="24"/>
          <w:szCs w:val="21"/>
        </w:rPr>
        <w:t>越多，股权更为分散，被分离的管理权有更大的操作空间，股东基数</w:t>
      </w:r>
      <w:r w:rsidR="000B2440" w:rsidRPr="00C74EB6">
        <w:rPr>
          <w:rFonts w:hint="eastAsia"/>
          <w:sz w:val="24"/>
          <w:szCs w:val="21"/>
        </w:rPr>
        <w:t>越大，引致更严重的第一类委托代理问题</w:t>
      </w:r>
      <w:r w:rsidR="00AD6184" w:rsidRPr="00C74EB6">
        <w:rPr>
          <w:rFonts w:hint="eastAsia"/>
          <w:sz w:val="24"/>
          <w:szCs w:val="21"/>
        </w:rPr>
        <w:t>（</w:t>
      </w:r>
      <w:r w:rsidR="00AD6184" w:rsidRPr="00C74EB6">
        <w:rPr>
          <w:iCs/>
          <w:sz w:val="24"/>
          <w:szCs w:val="21"/>
        </w:rPr>
        <w:t>Rozeff, 1982; Bodnaruk</w:t>
      </w:r>
      <w:r w:rsidR="006B5FD6" w:rsidRPr="00C74EB6">
        <w:rPr>
          <w:rFonts w:hint="eastAsia"/>
          <w:iCs/>
          <w:sz w:val="24"/>
          <w:szCs w:val="21"/>
        </w:rPr>
        <w:t>和</w:t>
      </w:r>
      <w:r w:rsidR="00AD6184" w:rsidRPr="00C74EB6">
        <w:rPr>
          <w:iCs/>
          <w:sz w:val="24"/>
          <w:szCs w:val="21"/>
        </w:rPr>
        <w:t>Östberg, 2013</w:t>
      </w:r>
      <w:r w:rsidR="00AD6184" w:rsidRPr="00C74EB6">
        <w:rPr>
          <w:rFonts w:hint="eastAsia"/>
          <w:sz w:val="24"/>
          <w:szCs w:val="21"/>
        </w:rPr>
        <w:t>）</w:t>
      </w:r>
      <w:r w:rsidRPr="00C74EB6">
        <w:rPr>
          <w:rFonts w:hint="eastAsia"/>
          <w:sz w:val="24"/>
          <w:szCs w:val="21"/>
        </w:rPr>
        <w:t>；</w:t>
      </w:r>
      <w:r w:rsidRPr="00C74EB6">
        <w:rPr>
          <w:rFonts w:hint="eastAsia"/>
          <w:sz w:val="24"/>
          <w:szCs w:val="21"/>
        </w:rPr>
        <w:t>2</w:t>
      </w:r>
      <w:r w:rsidRPr="00C74EB6">
        <w:rPr>
          <w:rFonts w:hint="eastAsia"/>
          <w:sz w:val="24"/>
          <w:szCs w:val="21"/>
        </w:rPr>
        <w:t>）</w:t>
      </w:r>
      <w:r w:rsidR="00AD6184" w:rsidRPr="00C74EB6">
        <w:rPr>
          <w:rFonts w:hint="eastAsia"/>
          <w:sz w:val="24"/>
          <w:szCs w:val="21"/>
        </w:rPr>
        <w:t>自由现金流（</w:t>
      </w:r>
      <w:r w:rsidR="00AD6184" w:rsidRPr="00C74EB6">
        <w:rPr>
          <w:rFonts w:hint="eastAsia"/>
          <w:sz w:val="24"/>
          <w:szCs w:val="21"/>
        </w:rPr>
        <w:t>FCF</w:t>
      </w:r>
      <w:r w:rsidR="00AD6184" w:rsidRPr="00C74EB6">
        <w:rPr>
          <w:rFonts w:hint="eastAsia"/>
          <w:sz w:val="24"/>
          <w:szCs w:val="21"/>
        </w:rPr>
        <w:t>）</w:t>
      </w:r>
      <w:r w:rsidRPr="00C74EB6">
        <w:rPr>
          <w:rFonts w:hint="eastAsia"/>
          <w:sz w:val="24"/>
          <w:szCs w:val="21"/>
        </w:rPr>
        <w:t>：</w:t>
      </w:r>
      <w:r w:rsidRPr="00C74EB6">
        <w:rPr>
          <w:rFonts w:hint="eastAsia"/>
          <w:sz w:val="24"/>
        </w:rPr>
        <w:t>当投资机会不需要很多资金时，管理</w:t>
      </w:r>
      <w:proofErr w:type="gramStart"/>
      <w:r w:rsidRPr="00C74EB6">
        <w:rPr>
          <w:rFonts w:hint="eastAsia"/>
          <w:sz w:val="24"/>
        </w:rPr>
        <w:t>层往往</w:t>
      </w:r>
      <w:proofErr w:type="gramEnd"/>
      <w:r w:rsidRPr="00C74EB6">
        <w:rPr>
          <w:rFonts w:hint="eastAsia"/>
          <w:sz w:val="24"/>
        </w:rPr>
        <w:t>会因为自身利益机会而浪费现金（</w:t>
      </w:r>
      <w:r w:rsidRPr="00C74EB6">
        <w:rPr>
          <w:rFonts w:hint="eastAsia"/>
          <w:sz w:val="24"/>
        </w:rPr>
        <w:t>Jensen</w:t>
      </w:r>
      <w:r w:rsidRPr="00C74EB6">
        <w:rPr>
          <w:rFonts w:hint="eastAsia"/>
          <w:sz w:val="24"/>
        </w:rPr>
        <w:t>，</w:t>
      </w:r>
      <w:r w:rsidRPr="00C74EB6">
        <w:rPr>
          <w:rFonts w:hint="eastAsia"/>
          <w:sz w:val="24"/>
        </w:rPr>
        <w:t>1986</w:t>
      </w:r>
      <w:r w:rsidRPr="00C74EB6">
        <w:rPr>
          <w:rFonts w:hint="eastAsia"/>
          <w:sz w:val="24"/>
        </w:rPr>
        <w:t>）；</w:t>
      </w:r>
      <w:r w:rsidRPr="00C74EB6">
        <w:rPr>
          <w:rFonts w:hint="eastAsia"/>
          <w:sz w:val="24"/>
        </w:rPr>
        <w:t>3</w:t>
      </w:r>
      <w:r w:rsidRPr="00C74EB6">
        <w:rPr>
          <w:rFonts w:hint="eastAsia"/>
          <w:sz w:val="24"/>
        </w:rPr>
        <w:t>）资本开支增长率：过度进行资本支出有损害公司长期利益的嫌疑（</w:t>
      </w:r>
      <w:r w:rsidRPr="00C74EB6">
        <w:rPr>
          <w:sz w:val="24"/>
        </w:rPr>
        <w:t>Giroud and Mueller, 2010</w:t>
      </w:r>
      <w:r w:rsidRPr="00C74EB6">
        <w:rPr>
          <w:rFonts w:hint="eastAsia"/>
          <w:sz w:val="24"/>
        </w:rPr>
        <w:t>）</w:t>
      </w:r>
      <w:r w:rsidRPr="00C74EB6">
        <w:rPr>
          <w:rFonts w:hint="eastAsia"/>
          <w:sz w:val="24"/>
          <w:szCs w:val="21"/>
        </w:rPr>
        <w:t>；</w:t>
      </w:r>
      <w:r w:rsidRPr="00C74EB6">
        <w:rPr>
          <w:rFonts w:hint="eastAsia"/>
          <w:sz w:val="24"/>
          <w:szCs w:val="21"/>
        </w:rPr>
        <w:t>4</w:t>
      </w:r>
      <w:r w:rsidR="00BA3440" w:rsidRPr="00C74EB6">
        <w:rPr>
          <w:rFonts w:hint="eastAsia"/>
          <w:sz w:val="24"/>
          <w:szCs w:val="21"/>
        </w:rPr>
        <w:t>）</w:t>
      </w:r>
      <w:r w:rsidR="00AD6184" w:rsidRPr="00C74EB6">
        <w:rPr>
          <w:rFonts w:hint="eastAsia"/>
          <w:sz w:val="24"/>
          <w:szCs w:val="21"/>
        </w:rPr>
        <w:t>并购（</w:t>
      </w:r>
      <w:r w:rsidR="00AD6184" w:rsidRPr="00C74EB6">
        <w:rPr>
          <w:rFonts w:hint="eastAsia"/>
          <w:sz w:val="24"/>
          <w:szCs w:val="21"/>
        </w:rPr>
        <w:t>ACQ</w:t>
      </w:r>
      <w:r w:rsidR="00AD6184" w:rsidRPr="00C74EB6">
        <w:rPr>
          <w:rFonts w:hint="eastAsia"/>
          <w:sz w:val="24"/>
          <w:szCs w:val="21"/>
        </w:rPr>
        <w:t>）</w:t>
      </w:r>
      <w:r w:rsidR="00BA3440" w:rsidRPr="00C74EB6">
        <w:rPr>
          <w:rFonts w:hint="eastAsia"/>
          <w:sz w:val="24"/>
          <w:szCs w:val="21"/>
        </w:rPr>
        <w:t>：</w:t>
      </w:r>
      <w:r w:rsidR="00AD6184" w:rsidRPr="00C74EB6">
        <w:rPr>
          <w:rFonts w:hint="eastAsia"/>
          <w:sz w:val="24"/>
          <w:szCs w:val="21"/>
        </w:rPr>
        <w:t>包含管理层通过扩张公司规模打造商业帝国的代理问题</w:t>
      </w:r>
      <w:r w:rsidR="00BA3440" w:rsidRPr="00C74EB6">
        <w:rPr>
          <w:rFonts w:hint="eastAsia"/>
          <w:sz w:val="24"/>
        </w:rPr>
        <w:t>（</w:t>
      </w:r>
      <w:r w:rsidR="00BA3440" w:rsidRPr="00C74EB6">
        <w:rPr>
          <w:rFonts w:hint="eastAsia"/>
          <w:sz w:val="24"/>
        </w:rPr>
        <w:t>Jensen</w:t>
      </w:r>
      <w:r w:rsidR="00BA3440" w:rsidRPr="00C74EB6">
        <w:rPr>
          <w:rFonts w:hint="eastAsia"/>
          <w:sz w:val="24"/>
        </w:rPr>
        <w:t>，</w:t>
      </w:r>
      <w:r w:rsidR="00BA3440" w:rsidRPr="00C74EB6">
        <w:rPr>
          <w:rFonts w:hint="eastAsia"/>
          <w:sz w:val="24"/>
        </w:rPr>
        <w:t>1986</w:t>
      </w:r>
      <w:r w:rsidR="00BA3440" w:rsidRPr="00C74EB6">
        <w:rPr>
          <w:rFonts w:hint="eastAsia"/>
          <w:sz w:val="24"/>
        </w:rPr>
        <w:t>）</w:t>
      </w:r>
      <w:r w:rsidR="00AD6184" w:rsidRPr="00C74EB6">
        <w:rPr>
          <w:rFonts w:hint="eastAsia"/>
          <w:sz w:val="24"/>
          <w:szCs w:val="21"/>
        </w:rPr>
        <w:t>。</w:t>
      </w:r>
    </w:p>
    <w:p w14:paraId="57823C25" w14:textId="0956F538" w:rsidR="00AD6184" w:rsidRPr="00C74EB6" w:rsidRDefault="004B772F" w:rsidP="00AD6184">
      <w:pPr>
        <w:spacing w:line="360" w:lineRule="auto"/>
        <w:ind w:firstLineChars="200" w:firstLine="480"/>
        <w:rPr>
          <w:sz w:val="24"/>
          <w:szCs w:val="21"/>
        </w:rPr>
      </w:pPr>
      <w:r w:rsidRPr="00C74EB6">
        <w:rPr>
          <w:sz w:val="24"/>
        </w:rPr>
        <w:fldChar w:fldCharType="begin"/>
      </w:r>
      <w:r w:rsidRPr="00C74EB6">
        <w:rPr>
          <w:sz w:val="24"/>
        </w:rPr>
        <w:instrText xml:space="preserve"> </w:instrText>
      </w:r>
      <w:r w:rsidRPr="00C74EB6">
        <w:rPr>
          <w:rFonts w:hint="eastAsia"/>
          <w:sz w:val="24"/>
        </w:rPr>
        <w:instrText>REF _Ref190769215 \h</w:instrText>
      </w:r>
      <w:r w:rsidRPr="00C74EB6">
        <w:rPr>
          <w:sz w:val="24"/>
        </w:rPr>
        <w:instrText xml:space="preserve">  \* MERGEFORMAT </w:instrText>
      </w:r>
      <w:r w:rsidRPr="00C74EB6">
        <w:rPr>
          <w:sz w:val="24"/>
        </w:rPr>
      </w:r>
      <w:r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7</w:t>
      </w:r>
      <w:r w:rsidRPr="00C74EB6">
        <w:rPr>
          <w:sz w:val="24"/>
        </w:rPr>
        <w:fldChar w:fldCharType="end"/>
      </w:r>
      <w:r w:rsidR="00AD6184" w:rsidRPr="00C74EB6">
        <w:rPr>
          <w:rFonts w:hint="eastAsia"/>
          <w:sz w:val="24"/>
        </w:rPr>
        <w:t>表明，无论是使用高管货币型私有收益还是第一类代理问题总评分，组织资本均显著</w:t>
      </w:r>
      <w:proofErr w:type="gramStart"/>
      <w:r w:rsidR="00AD6184" w:rsidRPr="00C74EB6">
        <w:rPr>
          <w:rFonts w:hint="eastAsia"/>
          <w:sz w:val="24"/>
        </w:rPr>
        <w:t>提升第</w:t>
      </w:r>
      <w:proofErr w:type="gramEnd"/>
      <w:r w:rsidR="00AD6184" w:rsidRPr="00C74EB6">
        <w:rPr>
          <w:rFonts w:hint="eastAsia"/>
          <w:sz w:val="24"/>
        </w:rPr>
        <w:t>一类代理问题。</w:t>
      </w:r>
    </w:p>
    <w:p w14:paraId="6BD14159" w14:textId="544B8223" w:rsidR="00687289" w:rsidRDefault="00D347BB" w:rsidP="00687289">
      <w:pPr>
        <w:spacing w:line="360" w:lineRule="auto"/>
        <w:ind w:firstLineChars="200" w:firstLine="480"/>
        <w:rPr>
          <w:sz w:val="24"/>
        </w:rPr>
      </w:pPr>
      <w:r w:rsidRPr="00C74EB6">
        <w:rPr>
          <w:rFonts w:hint="eastAsia"/>
          <w:sz w:val="24"/>
        </w:rPr>
        <w:lastRenderedPageBreak/>
        <w:t>当公司第一类委托代理问题越严重时，出于利用外部监管减少委托代理问题和降低</w:t>
      </w:r>
      <w:r w:rsidR="004F391E">
        <w:rPr>
          <w:rFonts w:hint="eastAsia"/>
          <w:sz w:val="24"/>
        </w:rPr>
        <w:t>诉讼</w:t>
      </w:r>
      <w:r w:rsidRPr="00C74EB6">
        <w:rPr>
          <w:rFonts w:hint="eastAsia"/>
          <w:sz w:val="24"/>
        </w:rPr>
        <w:t>损失的两个动机，企业会更倾向于配置董</w:t>
      </w:r>
      <w:proofErr w:type="gramStart"/>
      <w:r w:rsidRPr="00C74EB6">
        <w:rPr>
          <w:rFonts w:hint="eastAsia"/>
          <w:sz w:val="24"/>
        </w:rPr>
        <w:t>监高责任</w:t>
      </w:r>
      <w:proofErr w:type="gramEnd"/>
      <w:r w:rsidRPr="00C74EB6">
        <w:rPr>
          <w:rFonts w:hint="eastAsia"/>
          <w:sz w:val="24"/>
        </w:rPr>
        <w:t>险。结合</w:t>
      </w:r>
      <w:r w:rsidR="008E596C" w:rsidRPr="00C74EB6">
        <w:rPr>
          <w:rFonts w:hint="eastAsia"/>
          <w:sz w:val="24"/>
        </w:rPr>
        <w:t>前文理论和本章实证结果</w:t>
      </w:r>
      <w:r w:rsidRPr="00C74EB6">
        <w:rPr>
          <w:rFonts w:hint="eastAsia"/>
          <w:sz w:val="24"/>
        </w:rPr>
        <w:t>，本文认为假设</w:t>
      </w:r>
      <w:r w:rsidRPr="00C74EB6">
        <w:rPr>
          <w:rFonts w:hint="eastAsia"/>
          <w:sz w:val="24"/>
        </w:rPr>
        <w:t>H2</w:t>
      </w:r>
      <w:r w:rsidRPr="00C74EB6">
        <w:rPr>
          <w:rFonts w:hint="eastAsia"/>
          <w:sz w:val="24"/>
        </w:rPr>
        <w:t>成立，即组织资本通过</w:t>
      </w:r>
      <w:r w:rsidR="00A37415" w:rsidRPr="00C74EB6">
        <w:rPr>
          <w:rFonts w:hint="eastAsia"/>
          <w:sz w:val="24"/>
        </w:rPr>
        <w:t>增加</w:t>
      </w:r>
      <w:r w:rsidR="00513DDD" w:rsidRPr="00C74EB6">
        <w:rPr>
          <w:rFonts w:hint="eastAsia"/>
          <w:sz w:val="24"/>
        </w:rPr>
        <w:t>股东与管理</w:t>
      </w:r>
      <w:proofErr w:type="gramStart"/>
      <w:r w:rsidR="00513DDD" w:rsidRPr="00C74EB6">
        <w:rPr>
          <w:rFonts w:hint="eastAsia"/>
          <w:sz w:val="24"/>
        </w:rPr>
        <w:t>层利益</w:t>
      </w:r>
      <w:proofErr w:type="gramEnd"/>
      <w:r w:rsidR="00513DDD" w:rsidRPr="00C74EB6">
        <w:rPr>
          <w:rFonts w:hint="eastAsia"/>
          <w:sz w:val="24"/>
        </w:rPr>
        <w:t>冲突等委托代理成本</w:t>
      </w:r>
      <w:r w:rsidR="001F35F2" w:rsidRPr="00C74EB6">
        <w:rPr>
          <w:rFonts w:hint="eastAsia"/>
          <w:sz w:val="24"/>
        </w:rPr>
        <w:t>提升</w:t>
      </w:r>
      <w:r w:rsidR="00597A49" w:rsidRPr="00C74EB6">
        <w:rPr>
          <w:rFonts w:hint="eastAsia"/>
          <w:sz w:val="24"/>
        </w:rPr>
        <w:t>公司对</w:t>
      </w:r>
      <w:r w:rsidRPr="00C74EB6">
        <w:rPr>
          <w:rFonts w:hint="eastAsia"/>
          <w:sz w:val="24"/>
        </w:rPr>
        <w:t>董</w:t>
      </w:r>
      <w:proofErr w:type="gramStart"/>
      <w:r w:rsidRPr="00C74EB6">
        <w:rPr>
          <w:rFonts w:hint="eastAsia"/>
          <w:sz w:val="24"/>
        </w:rPr>
        <w:t>监高责任</w:t>
      </w:r>
      <w:proofErr w:type="gramEnd"/>
      <w:r w:rsidRPr="00C74EB6">
        <w:rPr>
          <w:rFonts w:hint="eastAsia"/>
          <w:sz w:val="24"/>
        </w:rPr>
        <w:t>险的</w:t>
      </w:r>
      <w:r w:rsidR="00D473F8" w:rsidRPr="00C74EB6">
        <w:rPr>
          <w:rFonts w:hint="eastAsia"/>
          <w:sz w:val="24"/>
        </w:rPr>
        <w:t>投保意向</w:t>
      </w:r>
      <w:r w:rsidRPr="00C74EB6">
        <w:rPr>
          <w:rFonts w:hint="eastAsia"/>
          <w:sz w:val="24"/>
        </w:rPr>
        <w:t>。</w:t>
      </w:r>
    </w:p>
    <w:p w14:paraId="4DDA1FD8" w14:textId="77777777" w:rsidR="00687289" w:rsidRPr="00687289" w:rsidRDefault="00687289" w:rsidP="00687289">
      <w:pPr>
        <w:spacing w:line="360" w:lineRule="auto"/>
        <w:ind w:firstLineChars="200" w:firstLine="480"/>
        <w:rPr>
          <w:sz w:val="24"/>
        </w:rPr>
      </w:pPr>
    </w:p>
    <w:p w14:paraId="30F18CA0" w14:textId="56E56D62" w:rsidR="00AD6184" w:rsidRPr="00734874" w:rsidRDefault="00734874" w:rsidP="00734874">
      <w:pPr>
        <w:pStyle w:val="af5"/>
        <w:ind w:firstLine="482"/>
        <w:rPr>
          <w:rFonts w:ascii="Times New Roman" w:hAnsi="Times New Roman"/>
        </w:rPr>
      </w:pPr>
      <w:bookmarkStart w:id="121" w:name="_Ref190769215"/>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7</w:t>
      </w:r>
      <w:r w:rsidRPr="00734874">
        <w:rPr>
          <w:rFonts w:ascii="Times New Roman" w:hAnsi="Times New Roman" w:hint="eastAsia"/>
        </w:rPr>
        <w:fldChar w:fldCharType="end"/>
      </w:r>
      <w:bookmarkEnd w:id="121"/>
      <w:r w:rsidR="00AD6184" w:rsidRPr="00734874">
        <w:rPr>
          <w:rFonts w:ascii="Times New Roman" w:hAnsi="Times New Roman" w:hint="eastAsia"/>
        </w:rPr>
        <w:t>：第一类委托代理成本的机制检验</w:t>
      </w:r>
    </w:p>
    <w:tbl>
      <w:tblPr>
        <w:tblW w:w="5000" w:type="pct"/>
        <w:tblLook w:val="0000" w:firstRow="0" w:lastRow="0" w:firstColumn="0" w:lastColumn="0" w:noHBand="0" w:noVBand="0"/>
      </w:tblPr>
      <w:tblGrid>
        <w:gridCol w:w="2662"/>
        <w:gridCol w:w="2822"/>
        <w:gridCol w:w="2822"/>
      </w:tblGrid>
      <w:tr w:rsidR="009E1F71" w:rsidRPr="00FD0D8E" w14:paraId="59E434D0" w14:textId="77777777" w:rsidTr="009E1F71">
        <w:trPr>
          <w:trHeight w:val="260"/>
        </w:trPr>
        <w:tc>
          <w:tcPr>
            <w:tcW w:w="1602" w:type="pct"/>
            <w:tcBorders>
              <w:top w:val="single" w:sz="4" w:space="0" w:color="auto"/>
              <w:left w:val="nil"/>
              <w:bottom w:val="nil"/>
              <w:right w:val="nil"/>
            </w:tcBorders>
          </w:tcPr>
          <w:p w14:paraId="3DACB642" w14:textId="77777777" w:rsidR="009E1F71" w:rsidRPr="00FD0D8E" w:rsidRDefault="009E1F71" w:rsidP="00C74EB6">
            <w:pPr>
              <w:autoSpaceDE w:val="0"/>
              <w:autoSpaceDN w:val="0"/>
              <w:adjustRightInd w:val="0"/>
              <w:rPr>
                <w:kern w:val="0"/>
                <w:szCs w:val="21"/>
              </w:rPr>
            </w:pPr>
          </w:p>
        </w:tc>
        <w:tc>
          <w:tcPr>
            <w:tcW w:w="1699" w:type="pct"/>
            <w:tcBorders>
              <w:top w:val="single" w:sz="4" w:space="0" w:color="auto"/>
              <w:left w:val="nil"/>
              <w:bottom w:val="nil"/>
              <w:right w:val="nil"/>
            </w:tcBorders>
          </w:tcPr>
          <w:p w14:paraId="0BB7CFA0" w14:textId="1F6018CC" w:rsidR="009E1F71" w:rsidRPr="00FD0D8E" w:rsidRDefault="009E1F71" w:rsidP="00C74EB6">
            <w:pPr>
              <w:autoSpaceDE w:val="0"/>
              <w:autoSpaceDN w:val="0"/>
              <w:adjustRightInd w:val="0"/>
              <w:jc w:val="center"/>
              <w:rPr>
                <w:kern w:val="0"/>
                <w:szCs w:val="21"/>
              </w:rPr>
            </w:pPr>
            <w:r w:rsidRPr="00FD0D8E">
              <w:rPr>
                <w:kern w:val="0"/>
                <w:szCs w:val="21"/>
              </w:rPr>
              <w:t>(</w:t>
            </w:r>
            <w:r w:rsidR="0010059E" w:rsidRPr="00FD0D8E">
              <w:rPr>
                <w:rFonts w:hint="eastAsia"/>
                <w:kern w:val="0"/>
                <w:szCs w:val="21"/>
              </w:rPr>
              <w:t>1</w:t>
            </w:r>
            <w:r w:rsidRPr="00FD0D8E">
              <w:rPr>
                <w:kern w:val="0"/>
                <w:szCs w:val="21"/>
              </w:rPr>
              <w:t>)</w:t>
            </w:r>
          </w:p>
        </w:tc>
        <w:tc>
          <w:tcPr>
            <w:tcW w:w="1699" w:type="pct"/>
            <w:tcBorders>
              <w:top w:val="single" w:sz="4" w:space="0" w:color="auto"/>
              <w:left w:val="nil"/>
              <w:bottom w:val="nil"/>
              <w:right w:val="nil"/>
            </w:tcBorders>
          </w:tcPr>
          <w:p w14:paraId="44430359" w14:textId="61DF99B0" w:rsidR="009E1F71" w:rsidRPr="00FD0D8E" w:rsidRDefault="009E1F71" w:rsidP="00C74EB6">
            <w:pPr>
              <w:autoSpaceDE w:val="0"/>
              <w:autoSpaceDN w:val="0"/>
              <w:adjustRightInd w:val="0"/>
              <w:jc w:val="center"/>
              <w:rPr>
                <w:kern w:val="0"/>
                <w:szCs w:val="21"/>
              </w:rPr>
            </w:pPr>
            <w:r w:rsidRPr="00FD0D8E">
              <w:rPr>
                <w:kern w:val="0"/>
                <w:szCs w:val="21"/>
              </w:rPr>
              <w:t>(</w:t>
            </w:r>
            <w:r w:rsidR="0010059E" w:rsidRPr="00FD0D8E">
              <w:rPr>
                <w:rFonts w:hint="eastAsia"/>
                <w:kern w:val="0"/>
                <w:szCs w:val="21"/>
              </w:rPr>
              <w:t>2</w:t>
            </w:r>
            <w:r w:rsidRPr="00FD0D8E">
              <w:rPr>
                <w:kern w:val="0"/>
                <w:szCs w:val="21"/>
              </w:rPr>
              <w:t>)</w:t>
            </w:r>
          </w:p>
        </w:tc>
      </w:tr>
      <w:tr w:rsidR="009E1F71" w:rsidRPr="00FD0D8E" w14:paraId="2BF1E134" w14:textId="77777777" w:rsidTr="009E1F71">
        <w:trPr>
          <w:trHeight w:val="250"/>
        </w:trPr>
        <w:tc>
          <w:tcPr>
            <w:tcW w:w="1602" w:type="pct"/>
            <w:tcBorders>
              <w:top w:val="nil"/>
              <w:left w:val="nil"/>
              <w:bottom w:val="nil"/>
              <w:right w:val="nil"/>
            </w:tcBorders>
          </w:tcPr>
          <w:p w14:paraId="22CAF458" w14:textId="77777777" w:rsidR="009E1F71" w:rsidRPr="00FD0D8E" w:rsidRDefault="009E1F71" w:rsidP="00C74EB6">
            <w:pPr>
              <w:autoSpaceDE w:val="0"/>
              <w:autoSpaceDN w:val="0"/>
              <w:adjustRightInd w:val="0"/>
              <w:rPr>
                <w:kern w:val="0"/>
                <w:szCs w:val="21"/>
              </w:rPr>
            </w:pPr>
          </w:p>
        </w:tc>
        <w:tc>
          <w:tcPr>
            <w:tcW w:w="1699" w:type="pct"/>
            <w:tcBorders>
              <w:top w:val="nil"/>
              <w:left w:val="nil"/>
              <w:bottom w:val="nil"/>
              <w:right w:val="nil"/>
            </w:tcBorders>
          </w:tcPr>
          <w:p w14:paraId="00783DC9" w14:textId="2480A067" w:rsidR="009E1F71" w:rsidRPr="00FD0D8E" w:rsidRDefault="009E1F71" w:rsidP="00C74EB6">
            <w:pPr>
              <w:autoSpaceDE w:val="0"/>
              <w:autoSpaceDN w:val="0"/>
              <w:adjustRightInd w:val="0"/>
              <w:jc w:val="center"/>
              <w:rPr>
                <w:kern w:val="0"/>
                <w:szCs w:val="21"/>
              </w:rPr>
            </w:pPr>
            <w:r w:rsidRPr="00FD0D8E">
              <w:rPr>
                <w:rFonts w:hint="eastAsia"/>
                <w:kern w:val="0"/>
                <w:szCs w:val="21"/>
              </w:rPr>
              <w:t>E</w:t>
            </w:r>
            <w:r w:rsidR="0010059E" w:rsidRPr="00FD0D8E">
              <w:rPr>
                <w:rFonts w:hint="eastAsia"/>
                <w:kern w:val="0"/>
                <w:szCs w:val="21"/>
              </w:rPr>
              <w:t>PMC</w:t>
            </w:r>
            <w:r w:rsidRPr="00FD0D8E">
              <w:rPr>
                <w:rFonts w:hint="eastAsia"/>
                <w:kern w:val="0"/>
                <w:szCs w:val="21"/>
                <w:vertAlign w:val="subscript"/>
              </w:rPr>
              <w:t>t+1</w:t>
            </w:r>
          </w:p>
        </w:tc>
        <w:tc>
          <w:tcPr>
            <w:tcW w:w="1699" w:type="pct"/>
            <w:tcBorders>
              <w:top w:val="nil"/>
              <w:left w:val="nil"/>
              <w:bottom w:val="nil"/>
              <w:right w:val="nil"/>
            </w:tcBorders>
          </w:tcPr>
          <w:p w14:paraId="7C0020A9" w14:textId="59314FF1" w:rsidR="009E1F71" w:rsidRPr="00FD0D8E" w:rsidRDefault="009E1F71" w:rsidP="00C74EB6">
            <w:pPr>
              <w:autoSpaceDE w:val="0"/>
              <w:autoSpaceDN w:val="0"/>
              <w:adjustRightInd w:val="0"/>
              <w:jc w:val="center"/>
              <w:rPr>
                <w:kern w:val="0"/>
                <w:szCs w:val="21"/>
              </w:rPr>
            </w:pPr>
            <w:r w:rsidRPr="00FD0D8E">
              <w:rPr>
                <w:kern w:val="0"/>
                <w:szCs w:val="21"/>
              </w:rPr>
              <w:t>A</w:t>
            </w:r>
            <w:r w:rsidRPr="00FD0D8E">
              <w:rPr>
                <w:rFonts w:hint="eastAsia"/>
                <w:kern w:val="0"/>
                <w:szCs w:val="21"/>
              </w:rPr>
              <w:t>gencyI</w:t>
            </w:r>
            <w:r w:rsidRPr="00FD0D8E">
              <w:rPr>
                <w:rFonts w:hint="eastAsia"/>
                <w:kern w:val="0"/>
                <w:szCs w:val="21"/>
                <w:vertAlign w:val="subscript"/>
              </w:rPr>
              <w:t>t+1</w:t>
            </w:r>
          </w:p>
        </w:tc>
      </w:tr>
      <w:tr w:rsidR="00F57A22" w:rsidRPr="00FD0D8E" w14:paraId="178BE7E4" w14:textId="77777777" w:rsidTr="009E1F71">
        <w:trPr>
          <w:trHeight w:val="260"/>
        </w:trPr>
        <w:tc>
          <w:tcPr>
            <w:tcW w:w="1602" w:type="pct"/>
            <w:tcBorders>
              <w:top w:val="single" w:sz="4" w:space="0" w:color="auto"/>
              <w:left w:val="nil"/>
              <w:bottom w:val="nil"/>
              <w:right w:val="nil"/>
            </w:tcBorders>
          </w:tcPr>
          <w:p w14:paraId="7959560A" w14:textId="61725EB3" w:rsidR="00F57A22" w:rsidRPr="00FD0D8E" w:rsidRDefault="00F57A22" w:rsidP="00C74EB6">
            <w:pPr>
              <w:autoSpaceDE w:val="0"/>
              <w:autoSpaceDN w:val="0"/>
              <w:adjustRightInd w:val="0"/>
              <w:rPr>
                <w:kern w:val="0"/>
                <w:szCs w:val="21"/>
              </w:rPr>
            </w:pPr>
            <w:r w:rsidRPr="00FD0D8E">
              <w:rPr>
                <w:kern w:val="0"/>
                <w:szCs w:val="21"/>
              </w:rPr>
              <w:t>OC</w:t>
            </w:r>
          </w:p>
        </w:tc>
        <w:tc>
          <w:tcPr>
            <w:tcW w:w="1699" w:type="pct"/>
            <w:tcBorders>
              <w:top w:val="single" w:sz="4" w:space="0" w:color="auto"/>
              <w:left w:val="nil"/>
              <w:bottom w:val="nil"/>
              <w:right w:val="nil"/>
            </w:tcBorders>
          </w:tcPr>
          <w:p w14:paraId="78C5D0E7" w14:textId="77777777" w:rsidR="00F57A22" w:rsidRPr="00FD0D8E" w:rsidRDefault="00F57A22" w:rsidP="00C74EB6">
            <w:pPr>
              <w:autoSpaceDE w:val="0"/>
              <w:autoSpaceDN w:val="0"/>
              <w:adjustRightInd w:val="0"/>
              <w:jc w:val="center"/>
              <w:rPr>
                <w:kern w:val="0"/>
                <w:szCs w:val="21"/>
              </w:rPr>
            </w:pPr>
            <w:r w:rsidRPr="00FD0D8E">
              <w:rPr>
                <w:kern w:val="0"/>
                <w:szCs w:val="21"/>
              </w:rPr>
              <w:t>0.092</w:t>
            </w:r>
            <w:r w:rsidRPr="00FD0D8E">
              <w:rPr>
                <w:kern w:val="0"/>
                <w:szCs w:val="21"/>
                <w:vertAlign w:val="superscript"/>
              </w:rPr>
              <w:t>***</w:t>
            </w:r>
          </w:p>
        </w:tc>
        <w:tc>
          <w:tcPr>
            <w:tcW w:w="1699" w:type="pct"/>
            <w:tcBorders>
              <w:top w:val="single" w:sz="4" w:space="0" w:color="auto"/>
              <w:left w:val="nil"/>
              <w:bottom w:val="nil"/>
              <w:right w:val="nil"/>
            </w:tcBorders>
          </w:tcPr>
          <w:p w14:paraId="180BCB88" w14:textId="1EADE39D" w:rsidR="00F57A22" w:rsidRPr="00FD0D8E" w:rsidRDefault="00F57A22" w:rsidP="00C74EB6">
            <w:pPr>
              <w:autoSpaceDE w:val="0"/>
              <w:autoSpaceDN w:val="0"/>
              <w:adjustRightInd w:val="0"/>
              <w:jc w:val="center"/>
              <w:rPr>
                <w:kern w:val="0"/>
                <w:szCs w:val="21"/>
              </w:rPr>
            </w:pPr>
            <w:r w:rsidRPr="00FD0D8E">
              <w:rPr>
                <w:kern w:val="0"/>
                <w:szCs w:val="21"/>
              </w:rPr>
              <w:t>0.121</w:t>
            </w:r>
            <w:r w:rsidRPr="00FD0D8E">
              <w:rPr>
                <w:kern w:val="0"/>
                <w:szCs w:val="21"/>
                <w:vertAlign w:val="superscript"/>
              </w:rPr>
              <w:t>***</w:t>
            </w:r>
          </w:p>
        </w:tc>
      </w:tr>
      <w:tr w:rsidR="00F57A22" w:rsidRPr="00FD0D8E" w14:paraId="1FB0C28F" w14:textId="77777777" w:rsidTr="009E1F71">
        <w:trPr>
          <w:trHeight w:val="250"/>
        </w:trPr>
        <w:tc>
          <w:tcPr>
            <w:tcW w:w="1602" w:type="pct"/>
            <w:tcBorders>
              <w:top w:val="nil"/>
              <w:left w:val="nil"/>
              <w:bottom w:val="nil"/>
              <w:right w:val="nil"/>
            </w:tcBorders>
          </w:tcPr>
          <w:p w14:paraId="6D4BD43E"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354E9527" w14:textId="77777777" w:rsidR="00F57A22" w:rsidRPr="00FD0D8E" w:rsidRDefault="00F57A22" w:rsidP="00C74EB6">
            <w:pPr>
              <w:autoSpaceDE w:val="0"/>
              <w:autoSpaceDN w:val="0"/>
              <w:adjustRightInd w:val="0"/>
              <w:jc w:val="center"/>
              <w:rPr>
                <w:kern w:val="0"/>
                <w:szCs w:val="21"/>
              </w:rPr>
            </w:pPr>
            <w:r w:rsidRPr="00FD0D8E">
              <w:rPr>
                <w:kern w:val="0"/>
                <w:szCs w:val="21"/>
              </w:rPr>
              <w:t>(0.008)</w:t>
            </w:r>
          </w:p>
        </w:tc>
        <w:tc>
          <w:tcPr>
            <w:tcW w:w="1699" w:type="pct"/>
            <w:tcBorders>
              <w:top w:val="nil"/>
              <w:left w:val="nil"/>
              <w:bottom w:val="nil"/>
              <w:right w:val="nil"/>
            </w:tcBorders>
          </w:tcPr>
          <w:p w14:paraId="41ACDD40" w14:textId="2C3D3DAD" w:rsidR="00F57A22" w:rsidRPr="00FD0D8E" w:rsidRDefault="00F57A22" w:rsidP="00C74EB6">
            <w:pPr>
              <w:autoSpaceDE w:val="0"/>
              <w:autoSpaceDN w:val="0"/>
              <w:adjustRightInd w:val="0"/>
              <w:jc w:val="center"/>
              <w:rPr>
                <w:kern w:val="0"/>
                <w:szCs w:val="21"/>
              </w:rPr>
            </w:pPr>
            <w:r w:rsidRPr="00FD0D8E">
              <w:rPr>
                <w:kern w:val="0"/>
                <w:szCs w:val="21"/>
              </w:rPr>
              <w:t>(0.009)</w:t>
            </w:r>
          </w:p>
        </w:tc>
      </w:tr>
      <w:tr w:rsidR="00F57A22" w:rsidRPr="00FD0D8E" w14:paraId="3163B605" w14:textId="77777777" w:rsidTr="009E1F71">
        <w:trPr>
          <w:trHeight w:val="260"/>
        </w:trPr>
        <w:tc>
          <w:tcPr>
            <w:tcW w:w="1602" w:type="pct"/>
            <w:tcBorders>
              <w:top w:val="nil"/>
              <w:left w:val="nil"/>
              <w:bottom w:val="nil"/>
              <w:right w:val="nil"/>
            </w:tcBorders>
          </w:tcPr>
          <w:p w14:paraId="5B24A76A" w14:textId="77777777" w:rsidR="00F57A22" w:rsidRPr="00FD0D8E" w:rsidRDefault="00F57A22" w:rsidP="00C74EB6">
            <w:pPr>
              <w:autoSpaceDE w:val="0"/>
              <w:autoSpaceDN w:val="0"/>
              <w:adjustRightInd w:val="0"/>
              <w:rPr>
                <w:kern w:val="0"/>
                <w:szCs w:val="21"/>
              </w:rPr>
            </w:pPr>
            <w:r w:rsidRPr="00FD0D8E">
              <w:rPr>
                <w:kern w:val="0"/>
                <w:szCs w:val="21"/>
              </w:rPr>
              <w:t>BH</w:t>
            </w:r>
          </w:p>
        </w:tc>
        <w:tc>
          <w:tcPr>
            <w:tcW w:w="1699" w:type="pct"/>
            <w:tcBorders>
              <w:top w:val="nil"/>
              <w:left w:val="nil"/>
              <w:bottom w:val="nil"/>
              <w:right w:val="nil"/>
            </w:tcBorders>
          </w:tcPr>
          <w:p w14:paraId="6FA73CF6" w14:textId="77777777" w:rsidR="00F57A22" w:rsidRPr="00FD0D8E" w:rsidRDefault="00F57A22" w:rsidP="00C74EB6">
            <w:pPr>
              <w:autoSpaceDE w:val="0"/>
              <w:autoSpaceDN w:val="0"/>
              <w:adjustRightInd w:val="0"/>
              <w:jc w:val="center"/>
              <w:rPr>
                <w:kern w:val="0"/>
                <w:szCs w:val="21"/>
              </w:rPr>
            </w:pPr>
            <w:r w:rsidRPr="00FD0D8E">
              <w:rPr>
                <w:kern w:val="0"/>
                <w:szCs w:val="21"/>
              </w:rPr>
              <w:t>-0.011</w:t>
            </w:r>
          </w:p>
        </w:tc>
        <w:tc>
          <w:tcPr>
            <w:tcW w:w="1699" w:type="pct"/>
            <w:tcBorders>
              <w:top w:val="nil"/>
              <w:left w:val="nil"/>
              <w:bottom w:val="nil"/>
              <w:right w:val="nil"/>
            </w:tcBorders>
          </w:tcPr>
          <w:p w14:paraId="4466A8BA" w14:textId="3AC78AAF" w:rsidR="00F57A22" w:rsidRPr="00FD0D8E" w:rsidRDefault="00F57A22" w:rsidP="00C74EB6">
            <w:pPr>
              <w:autoSpaceDE w:val="0"/>
              <w:autoSpaceDN w:val="0"/>
              <w:adjustRightInd w:val="0"/>
              <w:jc w:val="center"/>
              <w:rPr>
                <w:kern w:val="0"/>
                <w:szCs w:val="21"/>
              </w:rPr>
            </w:pPr>
            <w:r w:rsidRPr="00FD0D8E">
              <w:rPr>
                <w:kern w:val="0"/>
                <w:szCs w:val="21"/>
              </w:rPr>
              <w:t>0.045</w:t>
            </w:r>
            <w:r w:rsidRPr="00FD0D8E">
              <w:rPr>
                <w:kern w:val="0"/>
                <w:szCs w:val="21"/>
                <w:vertAlign w:val="superscript"/>
              </w:rPr>
              <w:t>**</w:t>
            </w:r>
          </w:p>
        </w:tc>
      </w:tr>
      <w:tr w:rsidR="00F57A22" w:rsidRPr="00FD0D8E" w14:paraId="1EF12406" w14:textId="77777777" w:rsidTr="009E1F71">
        <w:trPr>
          <w:trHeight w:val="250"/>
        </w:trPr>
        <w:tc>
          <w:tcPr>
            <w:tcW w:w="1602" w:type="pct"/>
            <w:tcBorders>
              <w:top w:val="nil"/>
              <w:left w:val="nil"/>
              <w:bottom w:val="nil"/>
              <w:right w:val="nil"/>
            </w:tcBorders>
          </w:tcPr>
          <w:p w14:paraId="594ABE79"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1C756BD5" w14:textId="77777777" w:rsidR="00F57A22" w:rsidRPr="00FD0D8E" w:rsidRDefault="00F57A22" w:rsidP="00C74EB6">
            <w:pPr>
              <w:autoSpaceDE w:val="0"/>
              <w:autoSpaceDN w:val="0"/>
              <w:adjustRightInd w:val="0"/>
              <w:jc w:val="center"/>
              <w:rPr>
                <w:kern w:val="0"/>
                <w:szCs w:val="21"/>
              </w:rPr>
            </w:pPr>
            <w:r w:rsidRPr="00FD0D8E">
              <w:rPr>
                <w:kern w:val="0"/>
                <w:szCs w:val="21"/>
              </w:rPr>
              <w:t>(0.016)</w:t>
            </w:r>
          </w:p>
        </w:tc>
        <w:tc>
          <w:tcPr>
            <w:tcW w:w="1699" w:type="pct"/>
            <w:tcBorders>
              <w:top w:val="nil"/>
              <w:left w:val="nil"/>
              <w:bottom w:val="nil"/>
              <w:right w:val="nil"/>
            </w:tcBorders>
          </w:tcPr>
          <w:p w14:paraId="7A65656E" w14:textId="3382AB9C" w:rsidR="00F57A22" w:rsidRPr="00FD0D8E" w:rsidRDefault="00F57A22" w:rsidP="00C74EB6">
            <w:pPr>
              <w:autoSpaceDE w:val="0"/>
              <w:autoSpaceDN w:val="0"/>
              <w:adjustRightInd w:val="0"/>
              <w:jc w:val="center"/>
              <w:rPr>
                <w:kern w:val="0"/>
                <w:szCs w:val="21"/>
              </w:rPr>
            </w:pPr>
            <w:r w:rsidRPr="00FD0D8E">
              <w:rPr>
                <w:kern w:val="0"/>
                <w:szCs w:val="21"/>
              </w:rPr>
              <w:t>(0.020)</w:t>
            </w:r>
          </w:p>
        </w:tc>
      </w:tr>
      <w:tr w:rsidR="00F57A22" w:rsidRPr="00FD0D8E" w14:paraId="3567417C" w14:textId="77777777" w:rsidTr="009E1F71">
        <w:trPr>
          <w:trHeight w:val="260"/>
        </w:trPr>
        <w:tc>
          <w:tcPr>
            <w:tcW w:w="1602" w:type="pct"/>
            <w:tcBorders>
              <w:top w:val="nil"/>
              <w:left w:val="nil"/>
              <w:bottom w:val="nil"/>
              <w:right w:val="nil"/>
            </w:tcBorders>
          </w:tcPr>
          <w:p w14:paraId="23FFC5C9" w14:textId="77777777" w:rsidR="00F57A22" w:rsidRPr="00FD0D8E" w:rsidRDefault="00F57A22" w:rsidP="00C74EB6">
            <w:pPr>
              <w:autoSpaceDE w:val="0"/>
              <w:autoSpaceDN w:val="0"/>
              <w:adjustRightInd w:val="0"/>
              <w:rPr>
                <w:kern w:val="0"/>
                <w:szCs w:val="21"/>
              </w:rPr>
            </w:pPr>
            <w:r w:rsidRPr="00FD0D8E">
              <w:rPr>
                <w:kern w:val="0"/>
                <w:szCs w:val="21"/>
              </w:rPr>
              <w:t>Big4</w:t>
            </w:r>
          </w:p>
        </w:tc>
        <w:tc>
          <w:tcPr>
            <w:tcW w:w="1699" w:type="pct"/>
            <w:tcBorders>
              <w:top w:val="nil"/>
              <w:left w:val="nil"/>
              <w:bottom w:val="nil"/>
              <w:right w:val="nil"/>
            </w:tcBorders>
          </w:tcPr>
          <w:p w14:paraId="69B21E92" w14:textId="77777777" w:rsidR="00F57A22" w:rsidRPr="00FD0D8E" w:rsidRDefault="00F57A22" w:rsidP="00C74EB6">
            <w:pPr>
              <w:autoSpaceDE w:val="0"/>
              <w:autoSpaceDN w:val="0"/>
              <w:adjustRightInd w:val="0"/>
              <w:jc w:val="center"/>
              <w:rPr>
                <w:kern w:val="0"/>
                <w:szCs w:val="21"/>
              </w:rPr>
            </w:pPr>
            <w:r w:rsidRPr="00FD0D8E">
              <w:rPr>
                <w:kern w:val="0"/>
                <w:szCs w:val="21"/>
              </w:rPr>
              <w:t>0.089</w:t>
            </w:r>
            <w:r w:rsidRPr="00FD0D8E">
              <w:rPr>
                <w:kern w:val="0"/>
                <w:szCs w:val="21"/>
                <w:vertAlign w:val="superscript"/>
              </w:rPr>
              <w:t>***</w:t>
            </w:r>
          </w:p>
        </w:tc>
        <w:tc>
          <w:tcPr>
            <w:tcW w:w="1699" w:type="pct"/>
            <w:tcBorders>
              <w:top w:val="nil"/>
              <w:left w:val="nil"/>
              <w:bottom w:val="nil"/>
              <w:right w:val="nil"/>
            </w:tcBorders>
          </w:tcPr>
          <w:p w14:paraId="023E91AD" w14:textId="56F645AD" w:rsidR="00F57A22" w:rsidRPr="00FD0D8E" w:rsidRDefault="00F57A22" w:rsidP="00C74EB6">
            <w:pPr>
              <w:autoSpaceDE w:val="0"/>
              <w:autoSpaceDN w:val="0"/>
              <w:adjustRightInd w:val="0"/>
              <w:jc w:val="center"/>
              <w:rPr>
                <w:kern w:val="0"/>
                <w:szCs w:val="21"/>
              </w:rPr>
            </w:pPr>
            <w:r w:rsidRPr="00FD0D8E">
              <w:rPr>
                <w:kern w:val="0"/>
                <w:szCs w:val="21"/>
              </w:rPr>
              <w:t>-0.017</w:t>
            </w:r>
          </w:p>
        </w:tc>
      </w:tr>
      <w:tr w:rsidR="00F57A22" w:rsidRPr="00FD0D8E" w14:paraId="1DEFB33B" w14:textId="77777777" w:rsidTr="009E1F71">
        <w:trPr>
          <w:trHeight w:val="250"/>
        </w:trPr>
        <w:tc>
          <w:tcPr>
            <w:tcW w:w="1602" w:type="pct"/>
            <w:tcBorders>
              <w:top w:val="nil"/>
              <w:left w:val="nil"/>
              <w:bottom w:val="nil"/>
              <w:right w:val="nil"/>
            </w:tcBorders>
          </w:tcPr>
          <w:p w14:paraId="55480F42"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2F5C8E7C" w14:textId="77777777" w:rsidR="00F57A22" w:rsidRPr="00FD0D8E" w:rsidRDefault="00F57A22" w:rsidP="00C74EB6">
            <w:pPr>
              <w:autoSpaceDE w:val="0"/>
              <w:autoSpaceDN w:val="0"/>
              <w:adjustRightInd w:val="0"/>
              <w:jc w:val="center"/>
              <w:rPr>
                <w:kern w:val="0"/>
                <w:szCs w:val="21"/>
              </w:rPr>
            </w:pPr>
            <w:r w:rsidRPr="00FD0D8E">
              <w:rPr>
                <w:kern w:val="0"/>
                <w:szCs w:val="21"/>
              </w:rPr>
              <w:t>(0.019)</w:t>
            </w:r>
          </w:p>
        </w:tc>
        <w:tc>
          <w:tcPr>
            <w:tcW w:w="1699" w:type="pct"/>
            <w:tcBorders>
              <w:top w:val="nil"/>
              <w:left w:val="nil"/>
              <w:bottom w:val="nil"/>
              <w:right w:val="nil"/>
            </w:tcBorders>
          </w:tcPr>
          <w:p w14:paraId="119861E1" w14:textId="4C029737" w:rsidR="00F57A22" w:rsidRPr="00FD0D8E" w:rsidRDefault="00F57A22" w:rsidP="00C74EB6">
            <w:pPr>
              <w:autoSpaceDE w:val="0"/>
              <w:autoSpaceDN w:val="0"/>
              <w:adjustRightInd w:val="0"/>
              <w:jc w:val="center"/>
              <w:rPr>
                <w:kern w:val="0"/>
                <w:szCs w:val="21"/>
              </w:rPr>
            </w:pPr>
            <w:r w:rsidRPr="00FD0D8E">
              <w:rPr>
                <w:kern w:val="0"/>
                <w:szCs w:val="21"/>
              </w:rPr>
              <w:t>(0.012)</w:t>
            </w:r>
          </w:p>
        </w:tc>
      </w:tr>
      <w:tr w:rsidR="00F57A22" w:rsidRPr="00FD0D8E" w14:paraId="36647C53" w14:textId="77777777" w:rsidTr="009E1F71">
        <w:trPr>
          <w:trHeight w:val="260"/>
        </w:trPr>
        <w:tc>
          <w:tcPr>
            <w:tcW w:w="1602" w:type="pct"/>
            <w:tcBorders>
              <w:top w:val="nil"/>
              <w:left w:val="nil"/>
              <w:bottom w:val="nil"/>
              <w:right w:val="nil"/>
            </w:tcBorders>
          </w:tcPr>
          <w:p w14:paraId="0FBBA4A5" w14:textId="77777777" w:rsidR="00F57A22" w:rsidRPr="00FD0D8E" w:rsidRDefault="00F57A22" w:rsidP="00C74EB6">
            <w:pPr>
              <w:autoSpaceDE w:val="0"/>
              <w:autoSpaceDN w:val="0"/>
              <w:adjustRightInd w:val="0"/>
              <w:rPr>
                <w:kern w:val="0"/>
                <w:szCs w:val="21"/>
              </w:rPr>
            </w:pPr>
            <w:r w:rsidRPr="00FD0D8E">
              <w:rPr>
                <w:kern w:val="0"/>
                <w:szCs w:val="21"/>
              </w:rPr>
              <w:t>Lev</w:t>
            </w:r>
          </w:p>
        </w:tc>
        <w:tc>
          <w:tcPr>
            <w:tcW w:w="1699" w:type="pct"/>
            <w:tcBorders>
              <w:top w:val="nil"/>
              <w:left w:val="nil"/>
              <w:bottom w:val="nil"/>
              <w:right w:val="nil"/>
            </w:tcBorders>
          </w:tcPr>
          <w:p w14:paraId="456D8A7B" w14:textId="77777777" w:rsidR="00F57A22" w:rsidRPr="00FD0D8E" w:rsidRDefault="00F57A22" w:rsidP="00C74EB6">
            <w:pPr>
              <w:autoSpaceDE w:val="0"/>
              <w:autoSpaceDN w:val="0"/>
              <w:adjustRightInd w:val="0"/>
              <w:jc w:val="center"/>
              <w:rPr>
                <w:kern w:val="0"/>
                <w:szCs w:val="21"/>
              </w:rPr>
            </w:pPr>
            <w:r w:rsidRPr="00FD0D8E">
              <w:rPr>
                <w:kern w:val="0"/>
                <w:szCs w:val="21"/>
              </w:rPr>
              <w:t>-0.125</w:t>
            </w:r>
            <w:r w:rsidRPr="00FD0D8E">
              <w:rPr>
                <w:kern w:val="0"/>
                <w:szCs w:val="21"/>
                <w:vertAlign w:val="superscript"/>
              </w:rPr>
              <w:t>***</w:t>
            </w:r>
          </w:p>
        </w:tc>
        <w:tc>
          <w:tcPr>
            <w:tcW w:w="1699" w:type="pct"/>
            <w:tcBorders>
              <w:top w:val="nil"/>
              <w:left w:val="nil"/>
              <w:bottom w:val="nil"/>
              <w:right w:val="nil"/>
            </w:tcBorders>
          </w:tcPr>
          <w:p w14:paraId="72DD7F2B" w14:textId="52984169" w:rsidR="00F57A22" w:rsidRPr="00FD0D8E" w:rsidRDefault="00F57A22" w:rsidP="00C74EB6">
            <w:pPr>
              <w:autoSpaceDE w:val="0"/>
              <w:autoSpaceDN w:val="0"/>
              <w:adjustRightInd w:val="0"/>
              <w:jc w:val="center"/>
              <w:rPr>
                <w:kern w:val="0"/>
                <w:szCs w:val="21"/>
              </w:rPr>
            </w:pPr>
            <w:r w:rsidRPr="00FD0D8E">
              <w:rPr>
                <w:kern w:val="0"/>
                <w:szCs w:val="21"/>
              </w:rPr>
              <w:t>-0.243</w:t>
            </w:r>
            <w:r w:rsidRPr="00FD0D8E">
              <w:rPr>
                <w:kern w:val="0"/>
                <w:szCs w:val="21"/>
                <w:vertAlign w:val="superscript"/>
              </w:rPr>
              <w:t>***</w:t>
            </w:r>
          </w:p>
        </w:tc>
      </w:tr>
      <w:tr w:rsidR="00F57A22" w:rsidRPr="00FD0D8E" w14:paraId="72AE8E57" w14:textId="77777777" w:rsidTr="009E1F71">
        <w:trPr>
          <w:trHeight w:val="250"/>
        </w:trPr>
        <w:tc>
          <w:tcPr>
            <w:tcW w:w="1602" w:type="pct"/>
            <w:tcBorders>
              <w:top w:val="nil"/>
              <w:left w:val="nil"/>
              <w:bottom w:val="nil"/>
              <w:right w:val="nil"/>
            </w:tcBorders>
          </w:tcPr>
          <w:p w14:paraId="48023E9D"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51D7896A" w14:textId="77777777" w:rsidR="00F57A22" w:rsidRPr="00FD0D8E" w:rsidRDefault="00F57A22" w:rsidP="00C74EB6">
            <w:pPr>
              <w:autoSpaceDE w:val="0"/>
              <w:autoSpaceDN w:val="0"/>
              <w:adjustRightInd w:val="0"/>
              <w:jc w:val="center"/>
              <w:rPr>
                <w:kern w:val="0"/>
                <w:szCs w:val="21"/>
              </w:rPr>
            </w:pPr>
            <w:r w:rsidRPr="00FD0D8E">
              <w:rPr>
                <w:kern w:val="0"/>
                <w:szCs w:val="21"/>
              </w:rPr>
              <w:t>(0.022)</w:t>
            </w:r>
          </w:p>
        </w:tc>
        <w:tc>
          <w:tcPr>
            <w:tcW w:w="1699" w:type="pct"/>
            <w:tcBorders>
              <w:top w:val="nil"/>
              <w:left w:val="nil"/>
              <w:bottom w:val="nil"/>
              <w:right w:val="nil"/>
            </w:tcBorders>
          </w:tcPr>
          <w:p w14:paraId="558F39F0" w14:textId="7426749C" w:rsidR="00F57A22" w:rsidRPr="00FD0D8E" w:rsidRDefault="00F57A22" w:rsidP="00C74EB6">
            <w:pPr>
              <w:autoSpaceDE w:val="0"/>
              <w:autoSpaceDN w:val="0"/>
              <w:adjustRightInd w:val="0"/>
              <w:jc w:val="center"/>
              <w:rPr>
                <w:kern w:val="0"/>
                <w:szCs w:val="21"/>
              </w:rPr>
            </w:pPr>
            <w:r w:rsidRPr="00FD0D8E">
              <w:rPr>
                <w:kern w:val="0"/>
                <w:szCs w:val="21"/>
              </w:rPr>
              <w:t>(0.043)</w:t>
            </w:r>
          </w:p>
        </w:tc>
      </w:tr>
      <w:tr w:rsidR="00F57A22" w:rsidRPr="00FD0D8E" w14:paraId="4606F771" w14:textId="77777777" w:rsidTr="009E1F71">
        <w:trPr>
          <w:trHeight w:val="260"/>
        </w:trPr>
        <w:tc>
          <w:tcPr>
            <w:tcW w:w="1602" w:type="pct"/>
            <w:tcBorders>
              <w:top w:val="nil"/>
              <w:left w:val="nil"/>
              <w:bottom w:val="nil"/>
              <w:right w:val="nil"/>
            </w:tcBorders>
          </w:tcPr>
          <w:p w14:paraId="2D979DDC" w14:textId="77777777" w:rsidR="00F57A22" w:rsidRPr="00FD0D8E" w:rsidRDefault="00F57A22" w:rsidP="00C74EB6">
            <w:pPr>
              <w:autoSpaceDE w:val="0"/>
              <w:autoSpaceDN w:val="0"/>
              <w:adjustRightInd w:val="0"/>
              <w:rPr>
                <w:kern w:val="0"/>
                <w:szCs w:val="21"/>
              </w:rPr>
            </w:pPr>
            <w:r w:rsidRPr="00FD0D8E">
              <w:rPr>
                <w:kern w:val="0"/>
                <w:szCs w:val="21"/>
              </w:rPr>
              <w:t>FTA</w:t>
            </w:r>
          </w:p>
        </w:tc>
        <w:tc>
          <w:tcPr>
            <w:tcW w:w="1699" w:type="pct"/>
            <w:tcBorders>
              <w:top w:val="nil"/>
              <w:left w:val="nil"/>
              <w:bottom w:val="nil"/>
              <w:right w:val="nil"/>
            </w:tcBorders>
          </w:tcPr>
          <w:p w14:paraId="2629F81E" w14:textId="77777777" w:rsidR="00F57A22" w:rsidRPr="00FD0D8E" w:rsidRDefault="00F57A22" w:rsidP="00C74EB6">
            <w:pPr>
              <w:autoSpaceDE w:val="0"/>
              <w:autoSpaceDN w:val="0"/>
              <w:adjustRightInd w:val="0"/>
              <w:jc w:val="center"/>
              <w:rPr>
                <w:kern w:val="0"/>
                <w:szCs w:val="21"/>
              </w:rPr>
            </w:pPr>
            <w:r w:rsidRPr="00FD0D8E">
              <w:rPr>
                <w:kern w:val="0"/>
                <w:szCs w:val="21"/>
              </w:rPr>
              <w:t>-0.098</w:t>
            </w:r>
            <w:r w:rsidRPr="00FD0D8E">
              <w:rPr>
                <w:kern w:val="0"/>
                <w:szCs w:val="21"/>
                <w:vertAlign w:val="superscript"/>
              </w:rPr>
              <w:t>***</w:t>
            </w:r>
          </w:p>
        </w:tc>
        <w:tc>
          <w:tcPr>
            <w:tcW w:w="1699" w:type="pct"/>
            <w:tcBorders>
              <w:top w:val="nil"/>
              <w:left w:val="nil"/>
              <w:bottom w:val="nil"/>
              <w:right w:val="nil"/>
            </w:tcBorders>
          </w:tcPr>
          <w:p w14:paraId="7AC0804D" w14:textId="0082CB3A" w:rsidR="00F57A22" w:rsidRPr="00FD0D8E" w:rsidRDefault="00F57A22" w:rsidP="00C74EB6">
            <w:pPr>
              <w:autoSpaceDE w:val="0"/>
              <w:autoSpaceDN w:val="0"/>
              <w:adjustRightInd w:val="0"/>
              <w:jc w:val="center"/>
              <w:rPr>
                <w:kern w:val="0"/>
                <w:szCs w:val="21"/>
              </w:rPr>
            </w:pPr>
            <w:r w:rsidRPr="00FD0D8E">
              <w:rPr>
                <w:kern w:val="0"/>
                <w:szCs w:val="21"/>
              </w:rPr>
              <w:t>-0.065</w:t>
            </w:r>
          </w:p>
        </w:tc>
      </w:tr>
      <w:tr w:rsidR="00F57A22" w:rsidRPr="00FD0D8E" w14:paraId="764B32EE" w14:textId="77777777" w:rsidTr="009E1F71">
        <w:trPr>
          <w:trHeight w:val="250"/>
        </w:trPr>
        <w:tc>
          <w:tcPr>
            <w:tcW w:w="1602" w:type="pct"/>
            <w:tcBorders>
              <w:top w:val="nil"/>
              <w:left w:val="nil"/>
              <w:bottom w:val="nil"/>
              <w:right w:val="nil"/>
            </w:tcBorders>
          </w:tcPr>
          <w:p w14:paraId="144F926E"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691AADAD" w14:textId="77777777" w:rsidR="00F57A22" w:rsidRPr="00FD0D8E" w:rsidRDefault="00F57A22" w:rsidP="00C74EB6">
            <w:pPr>
              <w:autoSpaceDE w:val="0"/>
              <w:autoSpaceDN w:val="0"/>
              <w:adjustRightInd w:val="0"/>
              <w:jc w:val="center"/>
              <w:rPr>
                <w:kern w:val="0"/>
                <w:szCs w:val="21"/>
              </w:rPr>
            </w:pPr>
            <w:r w:rsidRPr="00FD0D8E">
              <w:rPr>
                <w:kern w:val="0"/>
                <w:szCs w:val="21"/>
              </w:rPr>
              <w:t>(0.018)</w:t>
            </w:r>
          </w:p>
        </w:tc>
        <w:tc>
          <w:tcPr>
            <w:tcW w:w="1699" w:type="pct"/>
            <w:tcBorders>
              <w:top w:val="nil"/>
              <w:left w:val="nil"/>
              <w:bottom w:val="nil"/>
              <w:right w:val="nil"/>
            </w:tcBorders>
          </w:tcPr>
          <w:p w14:paraId="07B2ED6D" w14:textId="0BF62785" w:rsidR="00F57A22" w:rsidRPr="00FD0D8E" w:rsidRDefault="00F57A22" w:rsidP="00C74EB6">
            <w:pPr>
              <w:autoSpaceDE w:val="0"/>
              <w:autoSpaceDN w:val="0"/>
              <w:adjustRightInd w:val="0"/>
              <w:jc w:val="center"/>
              <w:rPr>
                <w:kern w:val="0"/>
                <w:szCs w:val="21"/>
              </w:rPr>
            </w:pPr>
            <w:r w:rsidRPr="00FD0D8E">
              <w:rPr>
                <w:kern w:val="0"/>
                <w:szCs w:val="21"/>
              </w:rPr>
              <w:t>(0.036)</w:t>
            </w:r>
          </w:p>
        </w:tc>
      </w:tr>
      <w:tr w:rsidR="00F57A22" w:rsidRPr="00FD0D8E" w14:paraId="50958639" w14:textId="77777777" w:rsidTr="009E1F71">
        <w:trPr>
          <w:trHeight w:val="260"/>
        </w:trPr>
        <w:tc>
          <w:tcPr>
            <w:tcW w:w="1602" w:type="pct"/>
            <w:tcBorders>
              <w:top w:val="nil"/>
              <w:left w:val="nil"/>
              <w:bottom w:val="nil"/>
              <w:right w:val="nil"/>
            </w:tcBorders>
          </w:tcPr>
          <w:p w14:paraId="3DEDC77A" w14:textId="77777777" w:rsidR="00F57A22" w:rsidRPr="00FD0D8E" w:rsidRDefault="00F57A22" w:rsidP="00C74EB6">
            <w:pPr>
              <w:autoSpaceDE w:val="0"/>
              <w:autoSpaceDN w:val="0"/>
              <w:adjustRightInd w:val="0"/>
              <w:rPr>
                <w:kern w:val="0"/>
                <w:szCs w:val="21"/>
              </w:rPr>
            </w:pPr>
            <w:r w:rsidRPr="00FD0D8E">
              <w:rPr>
                <w:kern w:val="0"/>
                <w:szCs w:val="21"/>
              </w:rPr>
              <w:t>Cash</w:t>
            </w:r>
          </w:p>
        </w:tc>
        <w:tc>
          <w:tcPr>
            <w:tcW w:w="1699" w:type="pct"/>
            <w:tcBorders>
              <w:top w:val="nil"/>
              <w:left w:val="nil"/>
              <w:bottom w:val="nil"/>
              <w:right w:val="nil"/>
            </w:tcBorders>
          </w:tcPr>
          <w:p w14:paraId="38021B77" w14:textId="77777777" w:rsidR="00F57A22" w:rsidRPr="00FD0D8E" w:rsidRDefault="00F57A22" w:rsidP="00C74EB6">
            <w:pPr>
              <w:autoSpaceDE w:val="0"/>
              <w:autoSpaceDN w:val="0"/>
              <w:adjustRightInd w:val="0"/>
              <w:jc w:val="center"/>
              <w:rPr>
                <w:kern w:val="0"/>
                <w:szCs w:val="21"/>
              </w:rPr>
            </w:pPr>
            <w:r w:rsidRPr="00FD0D8E">
              <w:rPr>
                <w:kern w:val="0"/>
                <w:szCs w:val="21"/>
              </w:rPr>
              <w:t>0.090</w:t>
            </w:r>
            <w:r w:rsidRPr="00FD0D8E">
              <w:rPr>
                <w:kern w:val="0"/>
                <w:szCs w:val="21"/>
                <w:vertAlign w:val="superscript"/>
              </w:rPr>
              <w:t>***</w:t>
            </w:r>
          </w:p>
        </w:tc>
        <w:tc>
          <w:tcPr>
            <w:tcW w:w="1699" w:type="pct"/>
            <w:tcBorders>
              <w:top w:val="nil"/>
              <w:left w:val="nil"/>
              <w:bottom w:val="nil"/>
              <w:right w:val="nil"/>
            </w:tcBorders>
          </w:tcPr>
          <w:p w14:paraId="2F0792BF" w14:textId="08A32AD6" w:rsidR="00F57A22" w:rsidRPr="00FD0D8E" w:rsidRDefault="00F57A22" w:rsidP="00C74EB6">
            <w:pPr>
              <w:autoSpaceDE w:val="0"/>
              <w:autoSpaceDN w:val="0"/>
              <w:adjustRightInd w:val="0"/>
              <w:jc w:val="center"/>
              <w:rPr>
                <w:kern w:val="0"/>
                <w:szCs w:val="21"/>
              </w:rPr>
            </w:pPr>
            <w:r w:rsidRPr="00FD0D8E">
              <w:rPr>
                <w:kern w:val="0"/>
                <w:szCs w:val="21"/>
              </w:rPr>
              <w:t>-0.199</w:t>
            </w:r>
            <w:r w:rsidRPr="00FD0D8E">
              <w:rPr>
                <w:kern w:val="0"/>
                <w:szCs w:val="21"/>
                <w:vertAlign w:val="superscript"/>
              </w:rPr>
              <w:t>***</w:t>
            </w:r>
          </w:p>
        </w:tc>
      </w:tr>
      <w:tr w:rsidR="00F57A22" w:rsidRPr="00FD0D8E" w14:paraId="256BFF17" w14:textId="77777777" w:rsidTr="009E1F71">
        <w:trPr>
          <w:trHeight w:val="250"/>
        </w:trPr>
        <w:tc>
          <w:tcPr>
            <w:tcW w:w="1602" w:type="pct"/>
            <w:tcBorders>
              <w:top w:val="nil"/>
              <w:left w:val="nil"/>
              <w:bottom w:val="nil"/>
              <w:right w:val="nil"/>
            </w:tcBorders>
          </w:tcPr>
          <w:p w14:paraId="134B1492"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1C58A3D9" w14:textId="77777777" w:rsidR="00F57A22" w:rsidRPr="00FD0D8E" w:rsidRDefault="00F57A22" w:rsidP="00C74EB6">
            <w:pPr>
              <w:autoSpaceDE w:val="0"/>
              <w:autoSpaceDN w:val="0"/>
              <w:adjustRightInd w:val="0"/>
              <w:jc w:val="center"/>
              <w:rPr>
                <w:kern w:val="0"/>
                <w:szCs w:val="21"/>
              </w:rPr>
            </w:pPr>
            <w:r w:rsidRPr="00FD0D8E">
              <w:rPr>
                <w:kern w:val="0"/>
                <w:szCs w:val="21"/>
              </w:rPr>
              <w:t>(0.015)</w:t>
            </w:r>
          </w:p>
        </w:tc>
        <w:tc>
          <w:tcPr>
            <w:tcW w:w="1699" w:type="pct"/>
            <w:tcBorders>
              <w:top w:val="nil"/>
              <w:left w:val="nil"/>
              <w:bottom w:val="nil"/>
              <w:right w:val="nil"/>
            </w:tcBorders>
          </w:tcPr>
          <w:p w14:paraId="7F8B7DF4" w14:textId="34333B54" w:rsidR="00F57A22" w:rsidRPr="00FD0D8E" w:rsidRDefault="00F57A22" w:rsidP="00C74EB6">
            <w:pPr>
              <w:autoSpaceDE w:val="0"/>
              <w:autoSpaceDN w:val="0"/>
              <w:adjustRightInd w:val="0"/>
              <w:jc w:val="center"/>
              <w:rPr>
                <w:kern w:val="0"/>
                <w:szCs w:val="21"/>
              </w:rPr>
            </w:pPr>
            <w:r w:rsidRPr="00FD0D8E">
              <w:rPr>
                <w:kern w:val="0"/>
                <w:szCs w:val="21"/>
              </w:rPr>
              <w:t>(0.040)</w:t>
            </w:r>
          </w:p>
        </w:tc>
      </w:tr>
      <w:tr w:rsidR="00F57A22" w:rsidRPr="00FD0D8E" w14:paraId="6BA8BC0E" w14:textId="77777777" w:rsidTr="009E1F71">
        <w:trPr>
          <w:trHeight w:val="260"/>
        </w:trPr>
        <w:tc>
          <w:tcPr>
            <w:tcW w:w="1602" w:type="pct"/>
            <w:tcBorders>
              <w:top w:val="nil"/>
              <w:left w:val="nil"/>
              <w:bottom w:val="nil"/>
              <w:right w:val="nil"/>
            </w:tcBorders>
          </w:tcPr>
          <w:p w14:paraId="3B25DC2A" w14:textId="77777777" w:rsidR="00F57A22" w:rsidRPr="00FD0D8E" w:rsidRDefault="00F57A22" w:rsidP="00C74EB6">
            <w:pPr>
              <w:autoSpaceDE w:val="0"/>
              <w:autoSpaceDN w:val="0"/>
              <w:adjustRightInd w:val="0"/>
              <w:rPr>
                <w:kern w:val="0"/>
                <w:szCs w:val="21"/>
              </w:rPr>
            </w:pPr>
            <w:r w:rsidRPr="00FD0D8E">
              <w:rPr>
                <w:kern w:val="0"/>
                <w:szCs w:val="21"/>
              </w:rPr>
              <w:t>Volatility</w:t>
            </w:r>
          </w:p>
        </w:tc>
        <w:tc>
          <w:tcPr>
            <w:tcW w:w="1699" w:type="pct"/>
            <w:tcBorders>
              <w:top w:val="nil"/>
              <w:left w:val="nil"/>
              <w:bottom w:val="nil"/>
              <w:right w:val="nil"/>
            </w:tcBorders>
          </w:tcPr>
          <w:p w14:paraId="4EA634E7" w14:textId="77777777" w:rsidR="00F57A22" w:rsidRPr="00FD0D8E" w:rsidRDefault="00F57A22" w:rsidP="00C74EB6">
            <w:pPr>
              <w:autoSpaceDE w:val="0"/>
              <w:autoSpaceDN w:val="0"/>
              <w:adjustRightInd w:val="0"/>
              <w:jc w:val="center"/>
              <w:rPr>
                <w:kern w:val="0"/>
                <w:szCs w:val="21"/>
              </w:rPr>
            </w:pPr>
            <w:r w:rsidRPr="00FD0D8E">
              <w:rPr>
                <w:kern w:val="0"/>
                <w:szCs w:val="21"/>
              </w:rPr>
              <w:t>0.365</w:t>
            </w:r>
            <w:r w:rsidRPr="00FD0D8E">
              <w:rPr>
                <w:kern w:val="0"/>
                <w:szCs w:val="21"/>
                <w:vertAlign w:val="superscript"/>
              </w:rPr>
              <w:t>***</w:t>
            </w:r>
          </w:p>
        </w:tc>
        <w:tc>
          <w:tcPr>
            <w:tcW w:w="1699" w:type="pct"/>
            <w:tcBorders>
              <w:top w:val="nil"/>
              <w:left w:val="nil"/>
              <w:bottom w:val="nil"/>
              <w:right w:val="nil"/>
            </w:tcBorders>
          </w:tcPr>
          <w:p w14:paraId="493404CB" w14:textId="0987A85C" w:rsidR="00F57A22" w:rsidRPr="00FD0D8E" w:rsidRDefault="00F57A22" w:rsidP="00C74EB6">
            <w:pPr>
              <w:autoSpaceDE w:val="0"/>
              <w:autoSpaceDN w:val="0"/>
              <w:adjustRightInd w:val="0"/>
              <w:jc w:val="center"/>
              <w:rPr>
                <w:kern w:val="0"/>
                <w:szCs w:val="21"/>
              </w:rPr>
            </w:pPr>
            <w:r w:rsidRPr="00FD0D8E">
              <w:rPr>
                <w:kern w:val="0"/>
                <w:szCs w:val="21"/>
              </w:rPr>
              <w:t>0.364</w:t>
            </w:r>
            <w:r w:rsidRPr="00FD0D8E">
              <w:rPr>
                <w:kern w:val="0"/>
                <w:szCs w:val="21"/>
                <w:vertAlign w:val="superscript"/>
              </w:rPr>
              <w:t>***</w:t>
            </w:r>
          </w:p>
        </w:tc>
      </w:tr>
      <w:tr w:rsidR="00F57A22" w:rsidRPr="00FD0D8E" w14:paraId="1D52A45D" w14:textId="77777777" w:rsidTr="009E1F71">
        <w:trPr>
          <w:trHeight w:val="250"/>
        </w:trPr>
        <w:tc>
          <w:tcPr>
            <w:tcW w:w="1602" w:type="pct"/>
            <w:tcBorders>
              <w:top w:val="nil"/>
              <w:left w:val="nil"/>
              <w:bottom w:val="nil"/>
              <w:right w:val="nil"/>
            </w:tcBorders>
          </w:tcPr>
          <w:p w14:paraId="43435CE5"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2CF14218" w14:textId="77777777" w:rsidR="00F57A22" w:rsidRPr="00FD0D8E" w:rsidRDefault="00F57A22" w:rsidP="00C74EB6">
            <w:pPr>
              <w:autoSpaceDE w:val="0"/>
              <w:autoSpaceDN w:val="0"/>
              <w:adjustRightInd w:val="0"/>
              <w:jc w:val="center"/>
              <w:rPr>
                <w:kern w:val="0"/>
                <w:szCs w:val="21"/>
              </w:rPr>
            </w:pPr>
            <w:r w:rsidRPr="00FD0D8E">
              <w:rPr>
                <w:kern w:val="0"/>
                <w:szCs w:val="21"/>
              </w:rPr>
              <w:t>(0.074)</w:t>
            </w:r>
          </w:p>
        </w:tc>
        <w:tc>
          <w:tcPr>
            <w:tcW w:w="1699" w:type="pct"/>
            <w:tcBorders>
              <w:top w:val="nil"/>
              <w:left w:val="nil"/>
              <w:bottom w:val="nil"/>
              <w:right w:val="nil"/>
            </w:tcBorders>
          </w:tcPr>
          <w:p w14:paraId="0348DCFE" w14:textId="5EEEE423" w:rsidR="00F57A22" w:rsidRPr="00FD0D8E" w:rsidRDefault="00F57A22" w:rsidP="00C74EB6">
            <w:pPr>
              <w:autoSpaceDE w:val="0"/>
              <w:autoSpaceDN w:val="0"/>
              <w:adjustRightInd w:val="0"/>
              <w:jc w:val="center"/>
              <w:rPr>
                <w:kern w:val="0"/>
                <w:szCs w:val="21"/>
              </w:rPr>
            </w:pPr>
            <w:r w:rsidRPr="00FD0D8E">
              <w:rPr>
                <w:kern w:val="0"/>
                <w:szCs w:val="21"/>
              </w:rPr>
              <w:t>(0.103)</w:t>
            </w:r>
          </w:p>
        </w:tc>
      </w:tr>
      <w:tr w:rsidR="00F57A22" w:rsidRPr="00FD0D8E" w14:paraId="6508209D" w14:textId="77777777" w:rsidTr="009E1F71">
        <w:trPr>
          <w:trHeight w:val="260"/>
        </w:trPr>
        <w:tc>
          <w:tcPr>
            <w:tcW w:w="1602" w:type="pct"/>
            <w:tcBorders>
              <w:top w:val="nil"/>
              <w:left w:val="nil"/>
              <w:bottom w:val="nil"/>
              <w:right w:val="nil"/>
            </w:tcBorders>
          </w:tcPr>
          <w:p w14:paraId="06783E16" w14:textId="77777777" w:rsidR="00F57A22" w:rsidRPr="00FD0D8E" w:rsidRDefault="00F57A22" w:rsidP="00C74EB6">
            <w:pPr>
              <w:autoSpaceDE w:val="0"/>
              <w:autoSpaceDN w:val="0"/>
              <w:adjustRightInd w:val="0"/>
              <w:rPr>
                <w:kern w:val="0"/>
                <w:szCs w:val="21"/>
              </w:rPr>
            </w:pPr>
            <w:r w:rsidRPr="00FD0D8E">
              <w:rPr>
                <w:kern w:val="0"/>
                <w:szCs w:val="21"/>
              </w:rPr>
              <w:t>PB</w:t>
            </w:r>
          </w:p>
        </w:tc>
        <w:tc>
          <w:tcPr>
            <w:tcW w:w="1699" w:type="pct"/>
            <w:tcBorders>
              <w:top w:val="nil"/>
              <w:left w:val="nil"/>
              <w:bottom w:val="nil"/>
              <w:right w:val="nil"/>
            </w:tcBorders>
          </w:tcPr>
          <w:p w14:paraId="6B7B83D3" w14:textId="77777777" w:rsidR="00F57A22" w:rsidRPr="00FD0D8E" w:rsidRDefault="00F57A22" w:rsidP="00C74EB6">
            <w:pPr>
              <w:autoSpaceDE w:val="0"/>
              <w:autoSpaceDN w:val="0"/>
              <w:adjustRightInd w:val="0"/>
              <w:jc w:val="center"/>
              <w:rPr>
                <w:kern w:val="0"/>
                <w:szCs w:val="21"/>
              </w:rPr>
            </w:pPr>
            <w:r w:rsidRPr="00FD0D8E">
              <w:rPr>
                <w:kern w:val="0"/>
                <w:szCs w:val="21"/>
              </w:rPr>
              <w:t>0.013</w:t>
            </w:r>
            <w:r w:rsidRPr="00FD0D8E">
              <w:rPr>
                <w:kern w:val="0"/>
                <w:szCs w:val="21"/>
                <w:vertAlign w:val="superscript"/>
              </w:rPr>
              <w:t>***</w:t>
            </w:r>
          </w:p>
        </w:tc>
        <w:tc>
          <w:tcPr>
            <w:tcW w:w="1699" w:type="pct"/>
            <w:tcBorders>
              <w:top w:val="nil"/>
              <w:left w:val="nil"/>
              <w:bottom w:val="nil"/>
              <w:right w:val="nil"/>
            </w:tcBorders>
          </w:tcPr>
          <w:p w14:paraId="68461E5F" w14:textId="25044B6E" w:rsidR="00F57A22" w:rsidRPr="00FD0D8E" w:rsidRDefault="00F57A22" w:rsidP="00C74EB6">
            <w:pPr>
              <w:autoSpaceDE w:val="0"/>
              <w:autoSpaceDN w:val="0"/>
              <w:adjustRightInd w:val="0"/>
              <w:jc w:val="center"/>
              <w:rPr>
                <w:kern w:val="0"/>
                <w:szCs w:val="21"/>
              </w:rPr>
            </w:pPr>
            <w:r w:rsidRPr="00FD0D8E">
              <w:rPr>
                <w:kern w:val="0"/>
                <w:szCs w:val="21"/>
              </w:rPr>
              <w:t>0.006</w:t>
            </w:r>
            <w:r w:rsidRPr="00FD0D8E">
              <w:rPr>
                <w:kern w:val="0"/>
                <w:szCs w:val="21"/>
                <w:vertAlign w:val="superscript"/>
              </w:rPr>
              <w:t>**</w:t>
            </w:r>
          </w:p>
        </w:tc>
      </w:tr>
      <w:tr w:rsidR="00F57A22" w:rsidRPr="00FD0D8E" w14:paraId="0CA3F7AB" w14:textId="77777777" w:rsidTr="009E1F71">
        <w:trPr>
          <w:trHeight w:val="250"/>
        </w:trPr>
        <w:tc>
          <w:tcPr>
            <w:tcW w:w="1602" w:type="pct"/>
            <w:tcBorders>
              <w:top w:val="nil"/>
              <w:left w:val="nil"/>
              <w:bottom w:val="nil"/>
              <w:right w:val="nil"/>
            </w:tcBorders>
          </w:tcPr>
          <w:p w14:paraId="03D81BC7"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7EF11B7E" w14:textId="77777777" w:rsidR="00F57A22" w:rsidRPr="00FD0D8E" w:rsidRDefault="00F57A22" w:rsidP="00C74EB6">
            <w:pPr>
              <w:autoSpaceDE w:val="0"/>
              <w:autoSpaceDN w:val="0"/>
              <w:adjustRightInd w:val="0"/>
              <w:jc w:val="center"/>
              <w:rPr>
                <w:kern w:val="0"/>
                <w:szCs w:val="21"/>
              </w:rPr>
            </w:pPr>
            <w:r w:rsidRPr="00FD0D8E">
              <w:rPr>
                <w:kern w:val="0"/>
                <w:szCs w:val="21"/>
              </w:rPr>
              <w:t>(0.002)</w:t>
            </w:r>
          </w:p>
        </w:tc>
        <w:tc>
          <w:tcPr>
            <w:tcW w:w="1699" w:type="pct"/>
            <w:tcBorders>
              <w:top w:val="nil"/>
              <w:left w:val="nil"/>
              <w:bottom w:val="nil"/>
              <w:right w:val="nil"/>
            </w:tcBorders>
          </w:tcPr>
          <w:p w14:paraId="03952B1F" w14:textId="7F2C99C8" w:rsidR="00F57A22" w:rsidRPr="00FD0D8E" w:rsidRDefault="00F57A22" w:rsidP="00C74EB6">
            <w:pPr>
              <w:autoSpaceDE w:val="0"/>
              <w:autoSpaceDN w:val="0"/>
              <w:adjustRightInd w:val="0"/>
              <w:jc w:val="center"/>
              <w:rPr>
                <w:kern w:val="0"/>
                <w:szCs w:val="21"/>
              </w:rPr>
            </w:pPr>
            <w:r w:rsidRPr="00FD0D8E">
              <w:rPr>
                <w:kern w:val="0"/>
                <w:szCs w:val="21"/>
              </w:rPr>
              <w:t>(0.003)</w:t>
            </w:r>
          </w:p>
        </w:tc>
      </w:tr>
      <w:tr w:rsidR="00F57A22" w:rsidRPr="00FD0D8E" w14:paraId="65BD7FA4" w14:textId="77777777" w:rsidTr="009E1F71">
        <w:trPr>
          <w:trHeight w:val="260"/>
        </w:trPr>
        <w:tc>
          <w:tcPr>
            <w:tcW w:w="1602" w:type="pct"/>
            <w:tcBorders>
              <w:top w:val="nil"/>
              <w:left w:val="nil"/>
              <w:bottom w:val="nil"/>
              <w:right w:val="nil"/>
            </w:tcBorders>
          </w:tcPr>
          <w:p w14:paraId="09611675" w14:textId="77777777" w:rsidR="00F57A22" w:rsidRPr="00FD0D8E" w:rsidRDefault="00F57A22" w:rsidP="00C74EB6">
            <w:pPr>
              <w:autoSpaceDE w:val="0"/>
              <w:autoSpaceDN w:val="0"/>
              <w:adjustRightInd w:val="0"/>
              <w:rPr>
                <w:kern w:val="0"/>
                <w:szCs w:val="21"/>
              </w:rPr>
            </w:pPr>
            <w:proofErr w:type="spellStart"/>
            <w:r w:rsidRPr="00FD0D8E">
              <w:rPr>
                <w:kern w:val="0"/>
                <w:szCs w:val="21"/>
              </w:rPr>
              <w:t>GrowthRev</w:t>
            </w:r>
            <w:proofErr w:type="spellEnd"/>
          </w:p>
        </w:tc>
        <w:tc>
          <w:tcPr>
            <w:tcW w:w="1699" w:type="pct"/>
            <w:tcBorders>
              <w:top w:val="nil"/>
              <w:left w:val="nil"/>
              <w:bottom w:val="nil"/>
              <w:right w:val="nil"/>
            </w:tcBorders>
          </w:tcPr>
          <w:p w14:paraId="690F9949" w14:textId="77777777" w:rsidR="00F57A22" w:rsidRPr="00FD0D8E" w:rsidRDefault="00F57A22" w:rsidP="00C74EB6">
            <w:pPr>
              <w:autoSpaceDE w:val="0"/>
              <w:autoSpaceDN w:val="0"/>
              <w:adjustRightInd w:val="0"/>
              <w:jc w:val="center"/>
              <w:rPr>
                <w:kern w:val="0"/>
                <w:szCs w:val="21"/>
              </w:rPr>
            </w:pPr>
            <w:r w:rsidRPr="00FD0D8E">
              <w:rPr>
                <w:kern w:val="0"/>
                <w:szCs w:val="21"/>
              </w:rPr>
              <w:t>0.040</w:t>
            </w:r>
            <w:r w:rsidRPr="00FD0D8E">
              <w:rPr>
                <w:kern w:val="0"/>
                <w:szCs w:val="21"/>
                <w:vertAlign w:val="superscript"/>
              </w:rPr>
              <w:t>**</w:t>
            </w:r>
          </w:p>
        </w:tc>
        <w:tc>
          <w:tcPr>
            <w:tcW w:w="1699" w:type="pct"/>
            <w:tcBorders>
              <w:top w:val="nil"/>
              <w:left w:val="nil"/>
              <w:bottom w:val="nil"/>
              <w:right w:val="nil"/>
            </w:tcBorders>
          </w:tcPr>
          <w:p w14:paraId="2436CF5A" w14:textId="4699196E" w:rsidR="00F57A22" w:rsidRPr="00FD0D8E" w:rsidRDefault="00F57A22" w:rsidP="00C74EB6">
            <w:pPr>
              <w:autoSpaceDE w:val="0"/>
              <w:autoSpaceDN w:val="0"/>
              <w:adjustRightInd w:val="0"/>
              <w:jc w:val="center"/>
              <w:rPr>
                <w:kern w:val="0"/>
                <w:szCs w:val="21"/>
              </w:rPr>
            </w:pPr>
            <w:r w:rsidRPr="00FD0D8E">
              <w:rPr>
                <w:kern w:val="0"/>
                <w:szCs w:val="21"/>
              </w:rPr>
              <w:t>0.027</w:t>
            </w:r>
            <w:r w:rsidRPr="00FD0D8E">
              <w:rPr>
                <w:kern w:val="0"/>
                <w:szCs w:val="21"/>
                <w:vertAlign w:val="superscript"/>
              </w:rPr>
              <w:t>**</w:t>
            </w:r>
          </w:p>
        </w:tc>
      </w:tr>
      <w:tr w:rsidR="00F57A22" w:rsidRPr="00FD0D8E" w14:paraId="4491921B" w14:textId="77777777" w:rsidTr="009E1F71">
        <w:trPr>
          <w:trHeight w:val="250"/>
        </w:trPr>
        <w:tc>
          <w:tcPr>
            <w:tcW w:w="1602" w:type="pct"/>
            <w:tcBorders>
              <w:top w:val="nil"/>
              <w:left w:val="nil"/>
              <w:bottom w:val="nil"/>
              <w:right w:val="nil"/>
            </w:tcBorders>
          </w:tcPr>
          <w:p w14:paraId="31D6AF83"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7AE59882" w14:textId="77777777" w:rsidR="00F57A22" w:rsidRPr="00FD0D8E" w:rsidRDefault="00F57A22" w:rsidP="00C74EB6">
            <w:pPr>
              <w:autoSpaceDE w:val="0"/>
              <w:autoSpaceDN w:val="0"/>
              <w:adjustRightInd w:val="0"/>
              <w:jc w:val="center"/>
              <w:rPr>
                <w:kern w:val="0"/>
                <w:szCs w:val="21"/>
              </w:rPr>
            </w:pPr>
            <w:r w:rsidRPr="00FD0D8E">
              <w:rPr>
                <w:kern w:val="0"/>
                <w:szCs w:val="21"/>
              </w:rPr>
              <w:t>(0.014)</w:t>
            </w:r>
          </w:p>
        </w:tc>
        <w:tc>
          <w:tcPr>
            <w:tcW w:w="1699" w:type="pct"/>
            <w:tcBorders>
              <w:top w:val="nil"/>
              <w:left w:val="nil"/>
              <w:bottom w:val="nil"/>
              <w:right w:val="nil"/>
            </w:tcBorders>
          </w:tcPr>
          <w:p w14:paraId="2E386543" w14:textId="6C8E06F8" w:rsidR="00F57A22" w:rsidRPr="00FD0D8E" w:rsidRDefault="00F57A22" w:rsidP="00C74EB6">
            <w:pPr>
              <w:autoSpaceDE w:val="0"/>
              <w:autoSpaceDN w:val="0"/>
              <w:adjustRightInd w:val="0"/>
              <w:jc w:val="center"/>
              <w:rPr>
                <w:kern w:val="0"/>
                <w:szCs w:val="21"/>
              </w:rPr>
            </w:pPr>
            <w:r w:rsidRPr="00FD0D8E">
              <w:rPr>
                <w:kern w:val="0"/>
                <w:szCs w:val="21"/>
              </w:rPr>
              <w:t>(0.011)</w:t>
            </w:r>
          </w:p>
        </w:tc>
      </w:tr>
      <w:tr w:rsidR="00F57A22" w:rsidRPr="00FD0D8E" w14:paraId="19D8F326" w14:textId="77777777" w:rsidTr="009E1F71">
        <w:trPr>
          <w:trHeight w:val="260"/>
        </w:trPr>
        <w:tc>
          <w:tcPr>
            <w:tcW w:w="1602" w:type="pct"/>
            <w:tcBorders>
              <w:top w:val="nil"/>
              <w:left w:val="nil"/>
              <w:bottom w:val="nil"/>
              <w:right w:val="nil"/>
            </w:tcBorders>
          </w:tcPr>
          <w:p w14:paraId="1F9EFCB0" w14:textId="77777777" w:rsidR="00F57A22" w:rsidRPr="00FD0D8E" w:rsidRDefault="00F57A22" w:rsidP="00C74EB6">
            <w:pPr>
              <w:autoSpaceDE w:val="0"/>
              <w:autoSpaceDN w:val="0"/>
              <w:adjustRightInd w:val="0"/>
              <w:rPr>
                <w:kern w:val="0"/>
                <w:szCs w:val="21"/>
              </w:rPr>
            </w:pPr>
            <w:r w:rsidRPr="00FD0D8E">
              <w:rPr>
                <w:kern w:val="0"/>
                <w:szCs w:val="21"/>
              </w:rPr>
              <w:t>ROA</w:t>
            </w:r>
          </w:p>
        </w:tc>
        <w:tc>
          <w:tcPr>
            <w:tcW w:w="1699" w:type="pct"/>
            <w:tcBorders>
              <w:top w:val="nil"/>
              <w:left w:val="nil"/>
              <w:bottom w:val="nil"/>
              <w:right w:val="nil"/>
            </w:tcBorders>
          </w:tcPr>
          <w:p w14:paraId="7F423D2E" w14:textId="77777777" w:rsidR="00F57A22" w:rsidRPr="00FD0D8E" w:rsidRDefault="00F57A22"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3C942194" w14:textId="7CBDC187" w:rsidR="00F57A22" w:rsidRPr="00FD0D8E" w:rsidRDefault="00F57A22" w:rsidP="00C74EB6">
            <w:pPr>
              <w:autoSpaceDE w:val="0"/>
              <w:autoSpaceDN w:val="0"/>
              <w:adjustRightInd w:val="0"/>
              <w:jc w:val="center"/>
              <w:rPr>
                <w:kern w:val="0"/>
                <w:szCs w:val="21"/>
              </w:rPr>
            </w:pPr>
            <w:r w:rsidRPr="00FD0D8E">
              <w:rPr>
                <w:kern w:val="0"/>
                <w:szCs w:val="21"/>
              </w:rPr>
              <w:t>0.486</w:t>
            </w:r>
            <w:r w:rsidRPr="00FD0D8E">
              <w:rPr>
                <w:kern w:val="0"/>
                <w:szCs w:val="21"/>
                <w:vertAlign w:val="superscript"/>
              </w:rPr>
              <w:t>***</w:t>
            </w:r>
          </w:p>
        </w:tc>
      </w:tr>
      <w:tr w:rsidR="00F57A22" w:rsidRPr="00FD0D8E" w14:paraId="56AFD13B" w14:textId="77777777" w:rsidTr="009E1F71">
        <w:trPr>
          <w:trHeight w:val="250"/>
        </w:trPr>
        <w:tc>
          <w:tcPr>
            <w:tcW w:w="1602" w:type="pct"/>
            <w:tcBorders>
              <w:top w:val="nil"/>
              <w:left w:val="nil"/>
              <w:bottom w:val="nil"/>
              <w:right w:val="nil"/>
            </w:tcBorders>
          </w:tcPr>
          <w:p w14:paraId="32F4BE1D"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724F6B61" w14:textId="77777777" w:rsidR="00F57A22" w:rsidRPr="00FD0D8E" w:rsidRDefault="00F57A22" w:rsidP="00C74EB6">
            <w:pPr>
              <w:autoSpaceDE w:val="0"/>
              <w:autoSpaceDN w:val="0"/>
              <w:adjustRightInd w:val="0"/>
              <w:jc w:val="center"/>
              <w:rPr>
                <w:kern w:val="0"/>
                <w:szCs w:val="21"/>
              </w:rPr>
            </w:pPr>
            <w:r w:rsidRPr="00FD0D8E">
              <w:rPr>
                <w:kern w:val="0"/>
                <w:szCs w:val="21"/>
              </w:rPr>
              <w:t>(0.120)</w:t>
            </w:r>
          </w:p>
        </w:tc>
        <w:tc>
          <w:tcPr>
            <w:tcW w:w="1699" w:type="pct"/>
            <w:tcBorders>
              <w:top w:val="nil"/>
              <w:left w:val="nil"/>
              <w:bottom w:val="nil"/>
              <w:right w:val="nil"/>
            </w:tcBorders>
          </w:tcPr>
          <w:p w14:paraId="41F1073F" w14:textId="6BF9DF7E" w:rsidR="00F57A22" w:rsidRPr="00FD0D8E" w:rsidRDefault="00F57A22" w:rsidP="00C74EB6">
            <w:pPr>
              <w:autoSpaceDE w:val="0"/>
              <w:autoSpaceDN w:val="0"/>
              <w:adjustRightInd w:val="0"/>
              <w:jc w:val="center"/>
              <w:rPr>
                <w:kern w:val="0"/>
                <w:szCs w:val="21"/>
              </w:rPr>
            </w:pPr>
            <w:r w:rsidRPr="00FD0D8E">
              <w:rPr>
                <w:kern w:val="0"/>
                <w:szCs w:val="21"/>
              </w:rPr>
              <w:t>(0.109)</w:t>
            </w:r>
          </w:p>
        </w:tc>
      </w:tr>
      <w:tr w:rsidR="00F57A22" w:rsidRPr="00FD0D8E" w14:paraId="696B09A4" w14:textId="77777777" w:rsidTr="009E1F71">
        <w:trPr>
          <w:trHeight w:val="260"/>
        </w:trPr>
        <w:tc>
          <w:tcPr>
            <w:tcW w:w="1602" w:type="pct"/>
            <w:tcBorders>
              <w:top w:val="nil"/>
              <w:left w:val="nil"/>
              <w:bottom w:val="nil"/>
              <w:right w:val="nil"/>
            </w:tcBorders>
          </w:tcPr>
          <w:p w14:paraId="31FA9A01" w14:textId="77777777" w:rsidR="00F57A22" w:rsidRPr="00FD0D8E" w:rsidRDefault="00F57A22" w:rsidP="00C74EB6">
            <w:pPr>
              <w:autoSpaceDE w:val="0"/>
              <w:autoSpaceDN w:val="0"/>
              <w:adjustRightInd w:val="0"/>
              <w:rPr>
                <w:kern w:val="0"/>
                <w:szCs w:val="21"/>
              </w:rPr>
            </w:pPr>
            <w:r w:rsidRPr="00FD0D8E">
              <w:rPr>
                <w:kern w:val="0"/>
                <w:szCs w:val="21"/>
              </w:rPr>
              <w:t>Penalty</w:t>
            </w:r>
          </w:p>
        </w:tc>
        <w:tc>
          <w:tcPr>
            <w:tcW w:w="1699" w:type="pct"/>
            <w:tcBorders>
              <w:top w:val="nil"/>
              <w:left w:val="nil"/>
              <w:bottom w:val="nil"/>
              <w:right w:val="nil"/>
            </w:tcBorders>
          </w:tcPr>
          <w:p w14:paraId="0100EC12" w14:textId="77777777" w:rsidR="00F57A22" w:rsidRPr="00FD0D8E" w:rsidRDefault="00F57A22" w:rsidP="00C74EB6">
            <w:pPr>
              <w:autoSpaceDE w:val="0"/>
              <w:autoSpaceDN w:val="0"/>
              <w:adjustRightInd w:val="0"/>
              <w:jc w:val="center"/>
              <w:rPr>
                <w:kern w:val="0"/>
                <w:szCs w:val="21"/>
              </w:rPr>
            </w:pPr>
            <w:r w:rsidRPr="00FD0D8E">
              <w:rPr>
                <w:kern w:val="0"/>
                <w:szCs w:val="21"/>
              </w:rPr>
              <w:t>0.017</w:t>
            </w:r>
          </w:p>
        </w:tc>
        <w:tc>
          <w:tcPr>
            <w:tcW w:w="1699" w:type="pct"/>
            <w:tcBorders>
              <w:top w:val="nil"/>
              <w:left w:val="nil"/>
              <w:bottom w:val="nil"/>
              <w:right w:val="nil"/>
            </w:tcBorders>
          </w:tcPr>
          <w:p w14:paraId="458DBBD1" w14:textId="4F206942" w:rsidR="00F57A22" w:rsidRPr="00FD0D8E" w:rsidRDefault="00F57A22" w:rsidP="00C74EB6">
            <w:pPr>
              <w:autoSpaceDE w:val="0"/>
              <w:autoSpaceDN w:val="0"/>
              <w:adjustRightInd w:val="0"/>
              <w:jc w:val="center"/>
              <w:rPr>
                <w:kern w:val="0"/>
                <w:szCs w:val="21"/>
              </w:rPr>
            </w:pPr>
            <w:r w:rsidRPr="00FD0D8E">
              <w:rPr>
                <w:kern w:val="0"/>
                <w:szCs w:val="21"/>
              </w:rPr>
              <w:t>-0.005</w:t>
            </w:r>
          </w:p>
        </w:tc>
      </w:tr>
      <w:tr w:rsidR="00F57A22" w:rsidRPr="00FD0D8E" w14:paraId="5D09838B" w14:textId="77777777" w:rsidTr="009E1F71">
        <w:trPr>
          <w:trHeight w:val="250"/>
        </w:trPr>
        <w:tc>
          <w:tcPr>
            <w:tcW w:w="1602" w:type="pct"/>
            <w:tcBorders>
              <w:top w:val="nil"/>
              <w:left w:val="nil"/>
              <w:bottom w:val="nil"/>
              <w:right w:val="nil"/>
            </w:tcBorders>
          </w:tcPr>
          <w:p w14:paraId="4A5DD077"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573F800A" w14:textId="77777777" w:rsidR="00F57A22" w:rsidRPr="00FD0D8E" w:rsidRDefault="00F57A22" w:rsidP="00C74EB6">
            <w:pPr>
              <w:autoSpaceDE w:val="0"/>
              <w:autoSpaceDN w:val="0"/>
              <w:adjustRightInd w:val="0"/>
              <w:jc w:val="center"/>
              <w:rPr>
                <w:kern w:val="0"/>
                <w:szCs w:val="21"/>
              </w:rPr>
            </w:pPr>
            <w:r w:rsidRPr="00FD0D8E">
              <w:rPr>
                <w:kern w:val="0"/>
                <w:szCs w:val="21"/>
              </w:rPr>
              <w:t>(0.012)</w:t>
            </w:r>
          </w:p>
        </w:tc>
        <w:tc>
          <w:tcPr>
            <w:tcW w:w="1699" w:type="pct"/>
            <w:tcBorders>
              <w:top w:val="nil"/>
              <w:left w:val="nil"/>
              <w:bottom w:val="nil"/>
              <w:right w:val="nil"/>
            </w:tcBorders>
          </w:tcPr>
          <w:p w14:paraId="766D6004" w14:textId="39D5A22E" w:rsidR="00F57A22" w:rsidRPr="00FD0D8E" w:rsidRDefault="00F57A22" w:rsidP="00C74EB6">
            <w:pPr>
              <w:autoSpaceDE w:val="0"/>
              <w:autoSpaceDN w:val="0"/>
              <w:adjustRightInd w:val="0"/>
              <w:jc w:val="center"/>
              <w:rPr>
                <w:kern w:val="0"/>
                <w:szCs w:val="21"/>
              </w:rPr>
            </w:pPr>
            <w:r w:rsidRPr="00FD0D8E">
              <w:rPr>
                <w:kern w:val="0"/>
                <w:szCs w:val="21"/>
              </w:rPr>
              <w:t>(0.010)</w:t>
            </w:r>
          </w:p>
        </w:tc>
      </w:tr>
      <w:tr w:rsidR="00F57A22" w:rsidRPr="00FD0D8E" w14:paraId="47F9C0F2" w14:textId="77777777" w:rsidTr="009E1F71">
        <w:trPr>
          <w:trHeight w:val="260"/>
        </w:trPr>
        <w:tc>
          <w:tcPr>
            <w:tcW w:w="1602" w:type="pct"/>
            <w:tcBorders>
              <w:top w:val="nil"/>
              <w:left w:val="nil"/>
              <w:bottom w:val="nil"/>
              <w:right w:val="nil"/>
            </w:tcBorders>
          </w:tcPr>
          <w:p w14:paraId="510862B5" w14:textId="77777777" w:rsidR="00F57A22" w:rsidRPr="00FD0D8E" w:rsidRDefault="00F57A22" w:rsidP="00C74EB6">
            <w:pPr>
              <w:autoSpaceDE w:val="0"/>
              <w:autoSpaceDN w:val="0"/>
              <w:adjustRightInd w:val="0"/>
              <w:rPr>
                <w:kern w:val="0"/>
                <w:szCs w:val="21"/>
              </w:rPr>
            </w:pPr>
            <w:proofErr w:type="spellStart"/>
            <w:r w:rsidRPr="00FD0D8E">
              <w:rPr>
                <w:kern w:val="0"/>
                <w:szCs w:val="21"/>
              </w:rPr>
              <w:t>IndepR</w:t>
            </w:r>
            <w:proofErr w:type="spellEnd"/>
          </w:p>
        </w:tc>
        <w:tc>
          <w:tcPr>
            <w:tcW w:w="1699" w:type="pct"/>
            <w:tcBorders>
              <w:top w:val="nil"/>
              <w:left w:val="nil"/>
              <w:bottom w:val="nil"/>
              <w:right w:val="nil"/>
            </w:tcBorders>
          </w:tcPr>
          <w:p w14:paraId="557FA089" w14:textId="77777777" w:rsidR="00F57A22" w:rsidRPr="00FD0D8E" w:rsidRDefault="00F57A22" w:rsidP="00C74EB6">
            <w:pPr>
              <w:autoSpaceDE w:val="0"/>
              <w:autoSpaceDN w:val="0"/>
              <w:adjustRightInd w:val="0"/>
              <w:jc w:val="center"/>
              <w:rPr>
                <w:kern w:val="0"/>
                <w:szCs w:val="21"/>
              </w:rPr>
            </w:pPr>
            <w:r w:rsidRPr="00FD0D8E">
              <w:rPr>
                <w:kern w:val="0"/>
                <w:szCs w:val="21"/>
              </w:rPr>
              <w:t>-0.176</w:t>
            </w:r>
            <w:r w:rsidRPr="00FD0D8E">
              <w:rPr>
                <w:kern w:val="0"/>
                <w:szCs w:val="21"/>
                <w:vertAlign w:val="superscript"/>
              </w:rPr>
              <w:t>***</w:t>
            </w:r>
          </w:p>
        </w:tc>
        <w:tc>
          <w:tcPr>
            <w:tcW w:w="1699" w:type="pct"/>
            <w:tcBorders>
              <w:top w:val="nil"/>
              <w:left w:val="nil"/>
              <w:bottom w:val="nil"/>
              <w:right w:val="nil"/>
            </w:tcBorders>
          </w:tcPr>
          <w:p w14:paraId="28044C8F" w14:textId="60145CAB" w:rsidR="00F57A22" w:rsidRPr="00FD0D8E" w:rsidRDefault="00F57A22" w:rsidP="00C74EB6">
            <w:pPr>
              <w:autoSpaceDE w:val="0"/>
              <w:autoSpaceDN w:val="0"/>
              <w:adjustRightInd w:val="0"/>
              <w:jc w:val="center"/>
              <w:rPr>
                <w:kern w:val="0"/>
                <w:szCs w:val="21"/>
              </w:rPr>
            </w:pPr>
            <w:r w:rsidRPr="00FD0D8E">
              <w:rPr>
                <w:kern w:val="0"/>
                <w:szCs w:val="21"/>
              </w:rPr>
              <w:t>-0.086</w:t>
            </w:r>
          </w:p>
        </w:tc>
      </w:tr>
      <w:tr w:rsidR="00F57A22" w:rsidRPr="00FD0D8E" w14:paraId="69D5C90A" w14:textId="77777777" w:rsidTr="009E1F71">
        <w:trPr>
          <w:trHeight w:val="250"/>
        </w:trPr>
        <w:tc>
          <w:tcPr>
            <w:tcW w:w="1602" w:type="pct"/>
            <w:tcBorders>
              <w:top w:val="nil"/>
              <w:left w:val="nil"/>
              <w:bottom w:val="nil"/>
              <w:right w:val="nil"/>
            </w:tcBorders>
          </w:tcPr>
          <w:p w14:paraId="536BEA31"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31E4D043" w14:textId="77777777" w:rsidR="00F57A22" w:rsidRPr="00FD0D8E" w:rsidRDefault="00F57A22" w:rsidP="00C74EB6">
            <w:pPr>
              <w:autoSpaceDE w:val="0"/>
              <w:autoSpaceDN w:val="0"/>
              <w:adjustRightInd w:val="0"/>
              <w:jc w:val="center"/>
              <w:rPr>
                <w:kern w:val="0"/>
                <w:szCs w:val="21"/>
              </w:rPr>
            </w:pPr>
            <w:r w:rsidRPr="00FD0D8E">
              <w:rPr>
                <w:kern w:val="0"/>
                <w:szCs w:val="21"/>
              </w:rPr>
              <w:t>(0.030)</w:t>
            </w:r>
          </w:p>
        </w:tc>
        <w:tc>
          <w:tcPr>
            <w:tcW w:w="1699" w:type="pct"/>
            <w:tcBorders>
              <w:top w:val="nil"/>
              <w:left w:val="nil"/>
              <w:bottom w:val="nil"/>
              <w:right w:val="nil"/>
            </w:tcBorders>
          </w:tcPr>
          <w:p w14:paraId="1E8B8764" w14:textId="4B06D4A8" w:rsidR="00F57A22" w:rsidRPr="00FD0D8E" w:rsidRDefault="00F57A22" w:rsidP="00C74EB6">
            <w:pPr>
              <w:autoSpaceDE w:val="0"/>
              <w:autoSpaceDN w:val="0"/>
              <w:adjustRightInd w:val="0"/>
              <w:jc w:val="center"/>
              <w:rPr>
                <w:kern w:val="0"/>
                <w:szCs w:val="21"/>
              </w:rPr>
            </w:pPr>
            <w:r w:rsidRPr="00FD0D8E">
              <w:rPr>
                <w:kern w:val="0"/>
                <w:szCs w:val="21"/>
              </w:rPr>
              <w:t>(0.052)</w:t>
            </w:r>
          </w:p>
        </w:tc>
      </w:tr>
      <w:tr w:rsidR="00F57A22" w:rsidRPr="00FD0D8E" w14:paraId="1475F75E" w14:textId="77777777" w:rsidTr="009E1F71">
        <w:trPr>
          <w:trHeight w:val="260"/>
        </w:trPr>
        <w:tc>
          <w:tcPr>
            <w:tcW w:w="1602" w:type="pct"/>
            <w:tcBorders>
              <w:top w:val="nil"/>
              <w:left w:val="nil"/>
              <w:bottom w:val="nil"/>
              <w:right w:val="nil"/>
            </w:tcBorders>
          </w:tcPr>
          <w:p w14:paraId="498E69F0" w14:textId="77777777" w:rsidR="00F57A22" w:rsidRPr="00FD0D8E" w:rsidRDefault="00F57A22" w:rsidP="00C74EB6">
            <w:pPr>
              <w:autoSpaceDE w:val="0"/>
              <w:autoSpaceDN w:val="0"/>
              <w:adjustRightInd w:val="0"/>
              <w:rPr>
                <w:kern w:val="0"/>
                <w:szCs w:val="21"/>
              </w:rPr>
            </w:pPr>
            <w:proofErr w:type="spellStart"/>
            <w:r w:rsidRPr="00FD0D8E">
              <w:rPr>
                <w:kern w:val="0"/>
                <w:szCs w:val="21"/>
              </w:rPr>
              <w:t>DSize</w:t>
            </w:r>
            <w:proofErr w:type="spellEnd"/>
          </w:p>
        </w:tc>
        <w:tc>
          <w:tcPr>
            <w:tcW w:w="1699" w:type="pct"/>
            <w:tcBorders>
              <w:top w:val="nil"/>
              <w:left w:val="nil"/>
              <w:bottom w:val="nil"/>
              <w:right w:val="nil"/>
            </w:tcBorders>
          </w:tcPr>
          <w:p w14:paraId="73B85825" w14:textId="77777777" w:rsidR="00F57A22" w:rsidRPr="00FD0D8E" w:rsidRDefault="00F57A22" w:rsidP="00C74EB6">
            <w:pPr>
              <w:autoSpaceDE w:val="0"/>
              <w:autoSpaceDN w:val="0"/>
              <w:adjustRightInd w:val="0"/>
              <w:jc w:val="center"/>
              <w:rPr>
                <w:kern w:val="0"/>
                <w:szCs w:val="21"/>
              </w:rPr>
            </w:pPr>
            <w:r w:rsidRPr="00FD0D8E">
              <w:rPr>
                <w:kern w:val="0"/>
                <w:szCs w:val="21"/>
              </w:rPr>
              <w:t>0.003</w:t>
            </w:r>
            <w:r w:rsidRPr="00FD0D8E">
              <w:rPr>
                <w:kern w:val="0"/>
                <w:szCs w:val="21"/>
                <w:vertAlign w:val="superscript"/>
              </w:rPr>
              <w:t>**</w:t>
            </w:r>
          </w:p>
        </w:tc>
        <w:tc>
          <w:tcPr>
            <w:tcW w:w="1699" w:type="pct"/>
            <w:tcBorders>
              <w:top w:val="nil"/>
              <w:left w:val="nil"/>
              <w:bottom w:val="nil"/>
              <w:right w:val="nil"/>
            </w:tcBorders>
          </w:tcPr>
          <w:p w14:paraId="4F5895C1" w14:textId="3ED67B40" w:rsidR="00F57A22" w:rsidRPr="00FD0D8E" w:rsidRDefault="00F57A22" w:rsidP="00C74EB6">
            <w:pPr>
              <w:autoSpaceDE w:val="0"/>
              <w:autoSpaceDN w:val="0"/>
              <w:adjustRightInd w:val="0"/>
              <w:jc w:val="center"/>
              <w:rPr>
                <w:kern w:val="0"/>
                <w:szCs w:val="21"/>
              </w:rPr>
            </w:pPr>
            <w:r w:rsidRPr="00FD0D8E">
              <w:rPr>
                <w:kern w:val="0"/>
                <w:szCs w:val="21"/>
              </w:rPr>
              <w:t>0.001</w:t>
            </w:r>
          </w:p>
        </w:tc>
      </w:tr>
      <w:tr w:rsidR="00F57A22" w:rsidRPr="00FD0D8E" w14:paraId="0123742E" w14:textId="77777777" w:rsidTr="009E1F71">
        <w:trPr>
          <w:trHeight w:val="250"/>
        </w:trPr>
        <w:tc>
          <w:tcPr>
            <w:tcW w:w="1602" w:type="pct"/>
            <w:tcBorders>
              <w:top w:val="nil"/>
              <w:left w:val="nil"/>
              <w:bottom w:val="nil"/>
              <w:right w:val="nil"/>
            </w:tcBorders>
          </w:tcPr>
          <w:p w14:paraId="0C9F8AFF"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34BEF735" w14:textId="77777777" w:rsidR="00F57A22" w:rsidRPr="00FD0D8E" w:rsidRDefault="00F57A22"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345377B0" w14:textId="38A38184" w:rsidR="00F57A22" w:rsidRPr="00FD0D8E" w:rsidRDefault="00F57A22" w:rsidP="00C74EB6">
            <w:pPr>
              <w:autoSpaceDE w:val="0"/>
              <w:autoSpaceDN w:val="0"/>
              <w:adjustRightInd w:val="0"/>
              <w:jc w:val="center"/>
              <w:rPr>
                <w:kern w:val="0"/>
                <w:szCs w:val="21"/>
              </w:rPr>
            </w:pPr>
            <w:r w:rsidRPr="00FD0D8E">
              <w:rPr>
                <w:kern w:val="0"/>
                <w:szCs w:val="21"/>
              </w:rPr>
              <w:t>(0.002)</w:t>
            </w:r>
          </w:p>
        </w:tc>
      </w:tr>
      <w:tr w:rsidR="00F57A22" w:rsidRPr="00FD0D8E" w14:paraId="64CA775B" w14:textId="77777777" w:rsidTr="009E1F71">
        <w:trPr>
          <w:trHeight w:val="260"/>
        </w:trPr>
        <w:tc>
          <w:tcPr>
            <w:tcW w:w="1602" w:type="pct"/>
            <w:tcBorders>
              <w:top w:val="nil"/>
              <w:left w:val="nil"/>
              <w:bottom w:val="nil"/>
              <w:right w:val="nil"/>
            </w:tcBorders>
          </w:tcPr>
          <w:p w14:paraId="482CC900" w14:textId="77777777" w:rsidR="00F57A22" w:rsidRPr="00FD0D8E" w:rsidRDefault="00F57A22" w:rsidP="00C74EB6">
            <w:pPr>
              <w:autoSpaceDE w:val="0"/>
              <w:autoSpaceDN w:val="0"/>
              <w:adjustRightInd w:val="0"/>
              <w:rPr>
                <w:kern w:val="0"/>
                <w:szCs w:val="21"/>
              </w:rPr>
            </w:pPr>
            <w:r w:rsidRPr="00FD0D8E">
              <w:rPr>
                <w:kern w:val="0"/>
                <w:szCs w:val="21"/>
              </w:rPr>
              <w:t>Duality</w:t>
            </w:r>
          </w:p>
        </w:tc>
        <w:tc>
          <w:tcPr>
            <w:tcW w:w="1699" w:type="pct"/>
            <w:tcBorders>
              <w:top w:val="nil"/>
              <w:left w:val="nil"/>
              <w:bottom w:val="nil"/>
              <w:right w:val="nil"/>
            </w:tcBorders>
          </w:tcPr>
          <w:p w14:paraId="08BC8555" w14:textId="77777777" w:rsidR="00F57A22" w:rsidRPr="00FD0D8E" w:rsidRDefault="00F57A22"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c>
          <w:tcPr>
            <w:tcW w:w="1699" w:type="pct"/>
            <w:tcBorders>
              <w:top w:val="nil"/>
              <w:left w:val="nil"/>
              <w:bottom w:val="nil"/>
              <w:right w:val="nil"/>
            </w:tcBorders>
          </w:tcPr>
          <w:p w14:paraId="00194721" w14:textId="388C65D2" w:rsidR="00F57A22" w:rsidRPr="00FD0D8E" w:rsidRDefault="00F57A22" w:rsidP="00C74EB6">
            <w:pPr>
              <w:autoSpaceDE w:val="0"/>
              <w:autoSpaceDN w:val="0"/>
              <w:adjustRightInd w:val="0"/>
              <w:jc w:val="center"/>
              <w:rPr>
                <w:kern w:val="0"/>
                <w:szCs w:val="21"/>
              </w:rPr>
            </w:pPr>
            <w:r w:rsidRPr="00FD0D8E">
              <w:rPr>
                <w:kern w:val="0"/>
                <w:szCs w:val="21"/>
              </w:rPr>
              <w:t>-0.034</w:t>
            </w:r>
            <w:r w:rsidRPr="00FD0D8E">
              <w:rPr>
                <w:kern w:val="0"/>
                <w:szCs w:val="21"/>
                <w:vertAlign w:val="superscript"/>
              </w:rPr>
              <w:t>***</w:t>
            </w:r>
          </w:p>
        </w:tc>
      </w:tr>
      <w:tr w:rsidR="00F57A22" w:rsidRPr="00FD0D8E" w14:paraId="329CBF1B" w14:textId="77777777" w:rsidTr="009E1F71">
        <w:trPr>
          <w:trHeight w:val="250"/>
        </w:trPr>
        <w:tc>
          <w:tcPr>
            <w:tcW w:w="1602" w:type="pct"/>
            <w:tcBorders>
              <w:top w:val="nil"/>
              <w:left w:val="nil"/>
              <w:bottom w:val="nil"/>
              <w:right w:val="nil"/>
            </w:tcBorders>
          </w:tcPr>
          <w:p w14:paraId="4651CB01"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6D8B610A" w14:textId="77777777" w:rsidR="00F57A22" w:rsidRPr="00FD0D8E" w:rsidRDefault="00F57A22" w:rsidP="00C74EB6">
            <w:pPr>
              <w:autoSpaceDE w:val="0"/>
              <w:autoSpaceDN w:val="0"/>
              <w:adjustRightInd w:val="0"/>
              <w:jc w:val="center"/>
              <w:rPr>
                <w:kern w:val="0"/>
                <w:szCs w:val="21"/>
              </w:rPr>
            </w:pPr>
            <w:r w:rsidRPr="00FD0D8E">
              <w:rPr>
                <w:kern w:val="0"/>
                <w:szCs w:val="21"/>
              </w:rPr>
              <w:t>(0.004)</w:t>
            </w:r>
          </w:p>
        </w:tc>
        <w:tc>
          <w:tcPr>
            <w:tcW w:w="1699" w:type="pct"/>
            <w:tcBorders>
              <w:top w:val="nil"/>
              <w:left w:val="nil"/>
              <w:bottom w:val="nil"/>
              <w:right w:val="nil"/>
            </w:tcBorders>
          </w:tcPr>
          <w:p w14:paraId="5C40878B" w14:textId="739FF7A0" w:rsidR="00F57A22" w:rsidRPr="00FD0D8E" w:rsidRDefault="00F57A22" w:rsidP="00C74EB6">
            <w:pPr>
              <w:autoSpaceDE w:val="0"/>
              <w:autoSpaceDN w:val="0"/>
              <w:adjustRightInd w:val="0"/>
              <w:jc w:val="center"/>
              <w:rPr>
                <w:kern w:val="0"/>
                <w:szCs w:val="21"/>
              </w:rPr>
            </w:pPr>
            <w:r w:rsidRPr="00FD0D8E">
              <w:rPr>
                <w:kern w:val="0"/>
                <w:szCs w:val="21"/>
              </w:rPr>
              <w:t>(0.010)</w:t>
            </w:r>
          </w:p>
        </w:tc>
      </w:tr>
      <w:tr w:rsidR="00F57A22" w:rsidRPr="00FD0D8E" w14:paraId="4AA2CD89" w14:textId="77777777" w:rsidTr="009E1F71">
        <w:trPr>
          <w:trHeight w:val="260"/>
        </w:trPr>
        <w:tc>
          <w:tcPr>
            <w:tcW w:w="1602" w:type="pct"/>
            <w:tcBorders>
              <w:top w:val="nil"/>
              <w:left w:val="nil"/>
              <w:bottom w:val="nil"/>
              <w:right w:val="nil"/>
            </w:tcBorders>
          </w:tcPr>
          <w:p w14:paraId="425C3FF5" w14:textId="77777777" w:rsidR="00F57A22" w:rsidRPr="00FD0D8E" w:rsidRDefault="00F57A22" w:rsidP="00C74EB6">
            <w:pPr>
              <w:autoSpaceDE w:val="0"/>
              <w:autoSpaceDN w:val="0"/>
              <w:adjustRightInd w:val="0"/>
              <w:rPr>
                <w:kern w:val="0"/>
                <w:szCs w:val="21"/>
              </w:rPr>
            </w:pPr>
            <w:r w:rsidRPr="00FD0D8E">
              <w:rPr>
                <w:kern w:val="0"/>
                <w:szCs w:val="21"/>
              </w:rPr>
              <w:t>DOSR</w:t>
            </w:r>
          </w:p>
        </w:tc>
        <w:tc>
          <w:tcPr>
            <w:tcW w:w="1699" w:type="pct"/>
            <w:tcBorders>
              <w:top w:val="nil"/>
              <w:left w:val="nil"/>
              <w:bottom w:val="nil"/>
              <w:right w:val="nil"/>
            </w:tcBorders>
          </w:tcPr>
          <w:p w14:paraId="0BDE29E5" w14:textId="77777777" w:rsidR="00F57A22" w:rsidRPr="00FD0D8E" w:rsidRDefault="00F57A22" w:rsidP="00C74EB6">
            <w:pPr>
              <w:autoSpaceDE w:val="0"/>
              <w:autoSpaceDN w:val="0"/>
              <w:adjustRightInd w:val="0"/>
              <w:jc w:val="center"/>
              <w:rPr>
                <w:kern w:val="0"/>
                <w:szCs w:val="21"/>
              </w:rPr>
            </w:pPr>
            <w:r w:rsidRPr="00FD0D8E">
              <w:rPr>
                <w:kern w:val="0"/>
                <w:szCs w:val="21"/>
              </w:rPr>
              <w:t>-0.161</w:t>
            </w:r>
            <w:r w:rsidRPr="00FD0D8E">
              <w:rPr>
                <w:kern w:val="0"/>
                <w:szCs w:val="21"/>
                <w:vertAlign w:val="superscript"/>
              </w:rPr>
              <w:t>***</w:t>
            </w:r>
          </w:p>
        </w:tc>
        <w:tc>
          <w:tcPr>
            <w:tcW w:w="1699" w:type="pct"/>
            <w:tcBorders>
              <w:top w:val="nil"/>
              <w:left w:val="nil"/>
              <w:bottom w:val="nil"/>
              <w:right w:val="nil"/>
            </w:tcBorders>
          </w:tcPr>
          <w:p w14:paraId="65C4D16A" w14:textId="1FE8A5A5" w:rsidR="00F57A22" w:rsidRPr="00FD0D8E" w:rsidRDefault="00F57A22" w:rsidP="00C74EB6">
            <w:pPr>
              <w:autoSpaceDE w:val="0"/>
              <w:autoSpaceDN w:val="0"/>
              <w:adjustRightInd w:val="0"/>
              <w:jc w:val="center"/>
              <w:rPr>
                <w:kern w:val="0"/>
                <w:szCs w:val="21"/>
              </w:rPr>
            </w:pPr>
            <w:r w:rsidRPr="00FD0D8E">
              <w:rPr>
                <w:kern w:val="0"/>
                <w:szCs w:val="21"/>
              </w:rPr>
              <w:t>-0.262</w:t>
            </w:r>
            <w:r w:rsidRPr="00FD0D8E">
              <w:rPr>
                <w:kern w:val="0"/>
                <w:szCs w:val="21"/>
                <w:vertAlign w:val="superscript"/>
              </w:rPr>
              <w:t>***</w:t>
            </w:r>
          </w:p>
        </w:tc>
      </w:tr>
      <w:tr w:rsidR="00F57A22" w:rsidRPr="00FD0D8E" w14:paraId="3EB16C8A" w14:textId="77777777" w:rsidTr="009E1F71">
        <w:trPr>
          <w:trHeight w:val="250"/>
        </w:trPr>
        <w:tc>
          <w:tcPr>
            <w:tcW w:w="1602" w:type="pct"/>
            <w:tcBorders>
              <w:top w:val="nil"/>
              <w:left w:val="nil"/>
              <w:bottom w:val="nil"/>
              <w:right w:val="nil"/>
            </w:tcBorders>
          </w:tcPr>
          <w:p w14:paraId="62B3EE8A"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58FE6446" w14:textId="77777777" w:rsidR="00F57A22" w:rsidRPr="00FD0D8E" w:rsidRDefault="00F57A22" w:rsidP="00C74EB6">
            <w:pPr>
              <w:autoSpaceDE w:val="0"/>
              <w:autoSpaceDN w:val="0"/>
              <w:adjustRightInd w:val="0"/>
              <w:jc w:val="center"/>
              <w:rPr>
                <w:kern w:val="0"/>
                <w:szCs w:val="21"/>
              </w:rPr>
            </w:pPr>
            <w:r w:rsidRPr="00FD0D8E">
              <w:rPr>
                <w:kern w:val="0"/>
                <w:szCs w:val="21"/>
              </w:rPr>
              <w:t>(0.022)</w:t>
            </w:r>
          </w:p>
        </w:tc>
        <w:tc>
          <w:tcPr>
            <w:tcW w:w="1699" w:type="pct"/>
            <w:tcBorders>
              <w:top w:val="nil"/>
              <w:left w:val="nil"/>
              <w:bottom w:val="nil"/>
              <w:right w:val="nil"/>
            </w:tcBorders>
          </w:tcPr>
          <w:p w14:paraId="36BE5436" w14:textId="714C95CE" w:rsidR="00F57A22" w:rsidRPr="00FD0D8E" w:rsidRDefault="00F57A22" w:rsidP="00C74EB6">
            <w:pPr>
              <w:autoSpaceDE w:val="0"/>
              <w:autoSpaceDN w:val="0"/>
              <w:adjustRightInd w:val="0"/>
              <w:jc w:val="center"/>
              <w:rPr>
                <w:kern w:val="0"/>
                <w:szCs w:val="21"/>
              </w:rPr>
            </w:pPr>
            <w:r w:rsidRPr="00FD0D8E">
              <w:rPr>
                <w:kern w:val="0"/>
                <w:szCs w:val="21"/>
              </w:rPr>
              <w:t>(0.023)</w:t>
            </w:r>
          </w:p>
        </w:tc>
      </w:tr>
      <w:tr w:rsidR="00F57A22" w:rsidRPr="00FD0D8E" w14:paraId="05BA3E4C" w14:textId="77777777" w:rsidTr="009E1F71">
        <w:trPr>
          <w:trHeight w:val="260"/>
        </w:trPr>
        <w:tc>
          <w:tcPr>
            <w:tcW w:w="1602" w:type="pct"/>
            <w:tcBorders>
              <w:top w:val="nil"/>
              <w:left w:val="nil"/>
              <w:bottom w:val="nil"/>
              <w:right w:val="nil"/>
            </w:tcBorders>
          </w:tcPr>
          <w:p w14:paraId="379DCA91" w14:textId="77777777" w:rsidR="00F57A22" w:rsidRPr="00FD0D8E" w:rsidRDefault="00F57A22" w:rsidP="00C74EB6">
            <w:pPr>
              <w:autoSpaceDE w:val="0"/>
              <w:autoSpaceDN w:val="0"/>
              <w:adjustRightInd w:val="0"/>
              <w:rPr>
                <w:kern w:val="0"/>
                <w:szCs w:val="21"/>
              </w:rPr>
            </w:pPr>
            <w:r w:rsidRPr="00FD0D8E">
              <w:rPr>
                <w:kern w:val="0"/>
                <w:szCs w:val="21"/>
              </w:rPr>
              <w:t>Size</w:t>
            </w:r>
          </w:p>
        </w:tc>
        <w:tc>
          <w:tcPr>
            <w:tcW w:w="1699" w:type="pct"/>
            <w:tcBorders>
              <w:top w:val="nil"/>
              <w:left w:val="nil"/>
              <w:bottom w:val="nil"/>
              <w:right w:val="nil"/>
            </w:tcBorders>
          </w:tcPr>
          <w:p w14:paraId="765DA6C1" w14:textId="77777777" w:rsidR="00F57A22" w:rsidRPr="00FD0D8E" w:rsidRDefault="00F57A22" w:rsidP="00C74EB6">
            <w:pPr>
              <w:autoSpaceDE w:val="0"/>
              <w:autoSpaceDN w:val="0"/>
              <w:adjustRightInd w:val="0"/>
              <w:jc w:val="center"/>
              <w:rPr>
                <w:kern w:val="0"/>
                <w:szCs w:val="21"/>
              </w:rPr>
            </w:pPr>
            <w:r w:rsidRPr="00FD0D8E">
              <w:rPr>
                <w:kern w:val="0"/>
                <w:szCs w:val="21"/>
              </w:rPr>
              <w:t>-0.088</w:t>
            </w:r>
            <w:r w:rsidRPr="00FD0D8E">
              <w:rPr>
                <w:kern w:val="0"/>
                <w:szCs w:val="21"/>
                <w:vertAlign w:val="superscript"/>
              </w:rPr>
              <w:t>***</w:t>
            </w:r>
          </w:p>
        </w:tc>
        <w:tc>
          <w:tcPr>
            <w:tcW w:w="1699" w:type="pct"/>
            <w:tcBorders>
              <w:top w:val="nil"/>
              <w:left w:val="nil"/>
              <w:bottom w:val="nil"/>
              <w:right w:val="nil"/>
            </w:tcBorders>
          </w:tcPr>
          <w:p w14:paraId="1CE48475" w14:textId="27A4AC85" w:rsidR="00F57A22" w:rsidRPr="00FD0D8E" w:rsidRDefault="00F57A22" w:rsidP="00C74EB6">
            <w:pPr>
              <w:autoSpaceDE w:val="0"/>
              <w:autoSpaceDN w:val="0"/>
              <w:adjustRightInd w:val="0"/>
              <w:jc w:val="center"/>
              <w:rPr>
                <w:kern w:val="0"/>
                <w:szCs w:val="21"/>
              </w:rPr>
            </w:pPr>
            <w:r w:rsidRPr="00FD0D8E">
              <w:rPr>
                <w:kern w:val="0"/>
                <w:szCs w:val="21"/>
              </w:rPr>
              <w:t>0.157</w:t>
            </w:r>
            <w:r w:rsidRPr="00FD0D8E">
              <w:rPr>
                <w:kern w:val="0"/>
                <w:szCs w:val="21"/>
                <w:vertAlign w:val="superscript"/>
              </w:rPr>
              <w:t>***</w:t>
            </w:r>
          </w:p>
        </w:tc>
      </w:tr>
      <w:tr w:rsidR="00F57A22" w:rsidRPr="00FD0D8E" w14:paraId="1A852169" w14:textId="77777777" w:rsidTr="009E1F71">
        <w:trPr>
          <w:trHeight w:val="250"/>
        </w:trPr>
        <w:tc>
          <w:tcPr>
            <w:tcW w:w="1602" w:type="pct"/>
            <w:tcBorders>
              <w:top w:val="nil"/>
              <w:left w:val="nil"/>
              <w:bottom w:val="nil"/>
              <w:right w:val="nil"/>
            </w:tcBorders>
          </w:tcPr>
          <w:p w14:paraId="54F4A028" w14:textId="77777777" w:rsidR="00F57A22" w:rsidRPr="00FD0D8E" w:rsidRDefault="00F57A22" w:rsidP="00C74EB6">
            <w:pPr>
              <w:autoSpaceDE w:val="0"/>
              <w:autoSpaceDN w:val="0"/>
              <w:adjustRightInd w:val="0"/>
              <w:rPr>
                <w:kern w:val="0"/>
                <w:szCs w:val="21"/>
              </w:rPr>
            </w:pPr>
          </w:p>
        </w:tc>
        <w:tc>
          <w:tcPr>
            <w:tcW w:w="1699" w:type="pct"/>
            <w:tcBorders>
              <w:top w:val="nil"/>
              <w:left w:val="nil"/>
              <w:bottom w:val="nil"/>
              <w:right w:val="nil"/>
            </w:tcBorders>
          </w:tcPr>
          <w:p w14:paraId="6C8E16A9" w14:textId="77777777" w:rsidR="00F57A22" w:rsidRPr="00FD0D8E" w:rsidRDefault="00F57A22" w:rsidP="00C74EB6">
            <w:pPr>
              <w:autoSpaceDE w:val="0"/>
              <w:autoSpaceDN w:val="0"/>
              <w:adjustRightInd w:val="0"/>
              <w:jc w:val="center"/>
              <w:rPr>
                <w:kern w:val="0"/>
                <w:szCs w:val="21"/>
              </w:rPr>
            </w:pPr>
            <w:r w:rsidRPr="00FD0D8E">
              <w:rPr>
                <w:kern w:val="0"/>
                <w:szCs w:val="21"/>
              </w:rPr>
              <w:t>(0.007)</w:t>
            </w:r>
          </w:p>
        </w:tc>
        <w:tc>
          <w:tcPr>
            <w:tcW w:w="1699" w:type="pct"/>
            <w:tcBorders>
              <w:top w:val="nil"/>
              <w:left w:val="nil"/>
              <w:bottom w:val="nil"/>
              <w:right w:val="nil"/>
            </w:tcBorders>
          </w:tcPr>
          <w:p w14:paraId="34BEE5DD" w14:textId="5B06A34C" w:rsidR="00F57A22" w:rsidRPr="00FD0D8E" w:rsidRDefault="00F57A22" w:rsidP="00C74EB6">
            <w:pPr>
              <w:autoSpaceDE w:val="0"/>
              <w:autoSpaceDN w:val="0"/>
              <w:adjustRightInd w:val="0"/>
              <w:jc w:val="center"/>
              <w:rPr>
                <w:kern w:val="0"/>
                <w:szCs w:val="21"/>
              </w:rPr>
            </w:pPr>
            <w:r w:rsidRPr="00FD0D8E">
              <w:rPr>
                <w:kern w:val="0"/>
                <w:szCs w:val="21"/>
              </w:rPr>
              <w:t>(0.011)</w:t>
            </w:r>
          </w:p>
        </w:tc>
      </w:tr>
      <w:tr w:rsidR="00F57A22" w:rsidRPr="00FD0D8E" w14:paraId="01542779" w14:textId="77777777" w:rsidTr="009E1F71">
        <w:trPr>
          <w:trHeight w:val="260"/>
        </w:trPr>
        <w:tc>
          <w:tcPr>
            <w:tcW w:w="1602" w:type="pct"/>
            <w:tcBorders>
              <w:top w:val="nil"/>
              <w:left w:val="nil"/>
              <w:bottom w:val="nil"/>
              <w:right w:val="nil"/>
            </w:tcBorders>
          </w:tcPr>
          <w:p w14:paraId="005F6F9F" w14:textId="77777777" w:rsidR="00F57A22" w:rsidRPr="00FD0D8E" w:rsidRDefault="00F57A22" w:rsidP="00C74EB6">
            <w:pPr>
              <w:autoSpaceDE w:val="0"/>
              <w:autoSpaceDN w:val="0"/>
              <w:adjustRightInd w:val="0"/>
              <w:rPr>
                <w:kern w:val="0"/>
                <w:szCs w:val="21"/>
              </w:rPr>
            </w:pPr>
            <w:r w:rsidRPr="00FD0D8E">
              <w:rPr>
                <w:kern w:val="0"/>
                <w:szCs w:val="21"/>
              </w:rPr>
              <w:t>SOE</w:t>
            </w:r>
          </w:p>
        </w:tc>
        <w:tc>
          <w:tcPr>
            <w:tcW w:w="1699" w:type="pct"/>
            <w:tcBorders>
              <w:top w:val="nil"/>
              <w:left w:val="nil"/>
              <w:bottom w:val="nil"/>
              <w:right w:val="nil"/>
            </w:tcBorders>
          </w:tcPr>
          <w:p w14:paraId="7493C457" w14:textId="77777777" w:rsidR="00F57A22" w:rsidRPr="00FD0D8E" w:rsidRDefault="00F57A22" w:rsidP="00C74EB6">
            <w:pPr>
              <w:autoSpaceDE w:val="0"/>
              <w:autoSpaceDN w:val="0"/>
              <w:adjustRightInd w:val="0"/>
              <w:jc w:val="center"/>
              <w:rPr>
                <w:kern w:val="0"/>
                <w:szCs w:val="21"/>
              </w:rPr>
            </w:pPr>
            <w:r w:rsidRPr="00FD0D8E">
              <w:rPr>
                <w:kern w:val="0"/>
                <w:szCs w:val="21"/>
              </w:rPr>
              <w:t>-0.143</w:t>
            </w:r>
            <w:r w:rsidRPr="00FD0D8E">
              <w:rPr>
                <w:kern w:val="0"/>
                <w:szCs w:val="21"/>
                <w:vertAlign w:val="superscript"/>
              </w:rPr>
              <w:t>***</w:t>
            </w:r>
          </w:p>
        </w:tc>
        <w:tc>
          <w:tcPr>
            <w:tcW w:w="1699" w:type="pct"/>
            <w:tcBorders>
              <w:top w:val="nil"/>
              <w:left w:val="nil"/>
              <w:bottom w:val="nil"/>
              <w:right w:val="nil"/>
            </w:tcBorders>
          </w:tcPr>
          <w:p w14:paraId="29998370" w14:textId="08E5E1AD" w:rsidR="00F57A22" w:rsidRPr="00FD0D8E" w:rsidRDefault="00F57A22" w:rsidP="00C74EB6">
            <w:pPr>
              <w:autoSpaceDE w:val="0"/>
              <w:autoSpaceDN w:val="0"/>
              <w:adjustRightInd w:val="0"/>
              <w:jc w:val="center"/>
              <w:rPr>
                <w:kern w:val="0"/>
                <w:szCs w:val="21"/>
              </w:rPr>
            </w:pPr>
            <w:r w:rsidRPr="00FD0D8E">
              <w:rPr>
                <w:kern w:val="0"/>
                <w:szCs w:val="21"/>
              </w:rPr>
              <w:t>0.029</w:t>
            </w:r>
            <w:r w:rsidRPr="00FD0D8E">
              <w:rPr>
                <w:kern w:val="0"/>
                <w:szCs w:val="21"/>
                <w:vertAlign w:val="superscript"/>
              </w:rPr>
              <w:t>*</w:t>
            </w:r>
          </w:p>
        </w:tc>
      </w:tr>
      <w:tr w:rsidR="00F57A22" w:rsidRPr="00FD0D8E" w14:paraId="45C9BD5A" w14:textId="77777777" w:rsidTr="009E1F71">
        <w:trPr>
          <w:trHeight w:val="250"/>
        </w:trPr>
        <w:tc>
          <w:tcPr>
            <w:tcW w:w="1602" w:type="pct"/>
            <w:tcBorders>
              <w:top w:val="nil"/>
              <w:left w:val="nil"/>
              <w:right w:val="nil"/>
            </w:tcBorders>
          </w:tcPr>
          <w:p w14:paraId="147B00E3" w14:textId="77777777" w:rsidR="00F57A22" w:rsidRPr="00FD0D8E" w:rsidRDefault="00F57A22" w:rsidP="00C74EB6">
            <w:pPr>
              <w:autoSpaceDE w:val="0"/>
              <w:autoSpaceDN w:val="0"/>
              <w:adjustRightInd w:val="0"/>
              <w:rPr>
                <w:kern w:val="0"/>
                <w:szCs w:val="21"/>
              </w:rPr>
            </w:pPr>
          </w:p>
        </w:tc>
        <w:tc>
          <w:tcPr>
            <w:tcW w:w="1699" w:type="pct"/>
            <w:tcBorders>
              <w:top w:val="nil"/>
              <w:left w:val="nil"/>
              <w:right w:val="nil"/>
            </w:tcBorders>
          </w:tcPr>
          <w:p w14:paraId="4D315DDF" w14:textId="77777777" w:rsidR="00F57A22" w:rsidRPr="00FD0D8E" w:rsidRDefault="00F57A22" w:rsidP="00C74EB6">
            <w:pPr>
              <w:autoSpaceDE w:val="0"/>
              <w:autoSpaceDN w:val="0"/>
              <w:adjustRightInd w:val="0"/>
              <w:jc w:val="center"/>
              <w:rPr>
                <w:kern w:val="0"/>
                <w:szCs w:val="21"/>
              </w:rPr>
            </w:pPr>
            <w:r w:rsidRPr="00FD0D8E">
              <w:rPr>
                <w:kern w:val="0"/>
                <w:szCs w:val="21"/>
              </w:rPr>
              <w:t>(0.015)</w:t>
            </w:r>
          </w:p>
        </w:tc>
        <w:tc>
          <w:tcPr>
            <w:tcW w:w="1699" w:type="pct"/>
            <w:tcBorders>
              <w:top w:val="nil"/>
              <w:left w:val="nil"/>
              <w:right w:val="nil"/>
            </w:tcBorders>
          </w:tcPr>
          <w:p w14:paraId="4A4B4CAF" w14:textId="45CF9295" w:rsidR="00F57A22" w:rsidRPr="00FD0D8E" w:rsidRDefault="00F57A22" w:rsidP="00C74EB6">
            <w:pPr>
              <w:autoSpaceDE w:val="0"/>
              <w:autoSpaceDN w:val="0"/>
              <w:adjustRightInd w:val="0"/>
              <w:jc w:val="center"/>
              <w:rPr>
                <w:kern w:val="0"/>
                <w:szCs w:val="21"/>
              </w:rPr>
            </w:pPr>
            <w:r w:rsidRPr="00FD0D8E">
              <w:rPr>
                <w:kern w:val="0"/>
                <w:szCs w:val="21"/>
              </w:rPr>
              <w:t>(0.015)</w:t>
            </w:r>
          </w:p>
        </w:tc>
      </w:tr>
      <w:tr w:rsidR="009E1F71" w:rsidRPr="00FD0D8E" w14:paraId="2AB0E98B" w14:textId="77777777" w:rsidTr="009E1F71">
        <w:trPr>
          <w:trHeight w:val="260"/>
        </w:trPr>
        <w:tc>
          <w:tcPr>
            <w:tcW w:w="1602" w:type="pct"/>
            <w:tcBorders>
              <w:left w:val="nil"/>
              <w:bottom w:val="nil"/>
              <w:right w:val="nil"/>
            </w:tcBorders>
          </w:tcPr>
          <w:p w14:paraId="0A19AC50" w14:textId="28601F96" w:rsidR="009E1F71" w:rsidRPr="00FD0D8E" w:rsidRDefault="009E1F71" w:rsidP="00C74EB6">
            <w:pPr>
              <w:autoSpaceDE w:val="0"/>
              <w:autoSpaceDN w:val="0"/>
              <w:adjustRightInd w:val="0"/>
              <w:rPr>
                <w:kern w:val="0"/>
                <w:szCs w:val="21"/>
              </w:rPr>
            </w:pPr>
            <w:r w:rsidRPr="00FD0D8E">
              <w:rPr>
                <w:rFonts w:hint="eastAsia"/>
                <w:kern w:val="0"/>
                <w:szCs w:val="21"/>
              </w:rPr>
              <w:t>行业</w:t>
            </w:r>
            <w:r w:rsidRPr="00FD0D8E">
              <w:rPr>
                <w:rFonts w:hint="eastAsia"/>
                <w:kern w:val="0"/>
                <w:szCs w:val="21"/>
              </w:rPr>
              <w:t>FE</w:t>
            </w:r>
          </w:p>
        </w:tc>
        <w:tc>
          <w:tcPr>
            <w:tcW w:w="1699" w:type="pct"/>
            <w:tcBorders>
              <w:left w:val="nil"/>
              <w:bottom w:val="nil"/>
              <w:right w:val="nil"/>
            </w:tcBorders>
          </w:tcPr>
          <w:p w14:paraId="15F43070" w14:textId="0AA87398" w:rsidR="009E1F71" w:rsidRPr="00FD0D8E" w:rsidRDefault="009E1F71" w:rsidP="00C74EB6">
            <w:pPr>
              <w:autoSpaceDE w:val="0"/>
              <w:autoSpaceDN w:val="0"/>
              <w:adjustRightInd w:val="0"/>
              <w:jc w:val="center"/>
              <w:rPr>
                <w:kern w:val="0"/>
                <w:szCs w:val="21"/>
              </w:rPr>
            </w:pPr>
            <w:r w:rsidRPr="00FD0D8E">
              <w:rPr>
                <w:rFonts w:hint="eastAsia"/>
                <w:kern w:val="0"/>
                <w:szCs w:val="21"/>
              </w:rPr>
              <w:t>控制</w:t>
            </w:r>
          </w:p>
        </w:tc>
        <w:tc>
          <w:tcPr>
            <w:tcW w:w="1699" w:type="pct"/>
            <w:tcBorders>
              <w:left w:val="nil"/>
              <w:bottom w:val="nil"/>
              <w:right w:val="nil"/>
            </w:tcBorders>
          </w:tcPr>
          <w:p w14:paraId="53F2F514" w14:textId="7B67473C" w:rsidR="009E1F71" w:rsidRPr="00FD0D8E" w:rsidRDefault="009E1F71" w:rsidP="00C74EB6">
            <w:pPr>
              <w:autoSpaceDE w:val="0"/>
              <w:autoSpaceDN w:val="0"/>
              <w:adjustRightInd w:val="0"/>
              <w:jc w:val="center"/>
              <w:rPr>
                <w:kern w:val="0"/>
                <w:szCs w:val="21"/>
              </w:rPr>
            </w:pPr>
            <w:r w:rsidRPr="00FD0D8E">
              <w:rPr>
                <w:rFonts w:hint="eastAsia"/>
                <w:kern w:val="0"/>
                <w:szCs w:val="21"/>
              </w:rPr>
              <w:t>控制</w:t>
            </w:r>
          </w:p>
        </w:tc>
      </w:tr>
      <w:tr w:rsidR="009E1F71" w:rsidRPr="00FD0D8E" w14:paraId="50C489C1" w14:textId="77777777" w:rsidTr="009E1F71">
        <w:trPr>
          <w:trHeight w:val="260"/>
        </w:trPr>
        <w:tc>
          <w:tcPr>
            <w:tcW w:w="1602" w:type="pct"/>
            <w:tcBorders>
              <w:left w:val="nil"/>
              <w:bottom w:val="nil"/>
              <w:right w:val="nil"/>
            </w:tcBorders>
          </w:tcPr>
          <w:p w14:paraId="5FFC34D6" w14:textId="4424D1C4" w:rsidR="009E1F71" w:rsidRPr="00FD0D8E" w:rsidRDefault="009E1F71" w:rsidP="00C74EB6">
            <w:pPr>
              <w:autoSpaceDE w:val="0"/>
              <w:autoSpaceDN w:val="0"/>
              <w:adjustRightInd w:val="0"/>
              <w:rPr>
                <w:kern w:val="0"/>
                <w:szCs w:val="21"/>
              </w:rPr>
            </w:pPr>
            <w:r w:rsidRPr="00FD0D8E">
              <w:rPr>
                <w:rFonts w:hint="eastAsia"/>
                <w:kern w:val="0"/>
                <w:szCs w:val="21"/>
              </w:rPr>
              <w:t>年份</w:t>
            </w:r>
            <w:r w:rsidRPr="00FD0D8E">
              <w:rPr>
                <w:rFonts w:hint="eastAsia"/>
                <w:kern w:val="0"/>
                <w:szCs w:val="21"/>
              </w:rPr>
              <w:t>FE</w:t>
            </w:r>
          </w:p>
        </w:tc>
        <w:tc>
          <w:tcPr>
            <w:tcW w:w="1699" w:type="pct"/>
            <w:tcBorders>
              <w:left w:val="nil"/>
              <w:bottom w:val="nil"/>
              <w:right w:val="nil"/>
            </w:tcBorders>
          </w:tcPr>
          <w:p w14:paraId="6983F08C" w14:textId="5390278A" w:rsidR="009E1F71" w:rsidRPr="00FD0D8E" w:rsidRDefault="009E1F71" w:rsidP="00C74EB6">
            <w:pPr>
              <w:autoSpaceDE w:val="0"/>
              <w:autoSpaceDN w:val="0"/>
              <w:adjustRightInd w:val="0"/>
              <w:jc w:val="center"/>
              <w:rPr>
                <w:kern w:val="0"/>
                <w:szCs w:val="21"/>
              </w:rPr>
            </w:pPr>
            <w:r w:rsidRPr="00FD0D8E">
              <w:rPr>
                <w:rFonts w:hint="eastAsia"/>
                <w:kern w:val="0"/>
                <w:szCs w:val="21"/>
              </w:rPr>
              <w:t>控制</w:t>
            </w:r>
          </w:p>
        </w:tc>
        <w:tc>
          <w:tcPr>
            <w:tcW w:w="1699" w:type="pct"/>
            <w:tcBorders>
              <w:left w:val="nil"/>
              <w:bottom w:val="nil"/>
              <w:right w:val="nil"/>
            </w:tcBorders>
          </w:tcPr>
          <w:p w14:paraId="05B01FE7" w14:textId="5C49C314" w:rsidR="009E1F71" w:rsidRPr="00FD0D8E" w:rsidRDefault="009E1F71" w:rsidP="00C74EB6">
            <w:pPr>
              <w:autoSpaceDE w:val="0"/>
              <w:autoSpaceDN w:val="0"/>
              <w:adjustRightInd w:val="0"/>
              <w:jc w:val="center"/>
              <w:rPr>
                <w:kern w:val="0"/>
                <w:szCs w:val="21"/>
              </w:rPr>
            </w:pPr>
            <w:r w:rsidRPr="00FD0D8E">
              <w:rPr>
                <w:rFonts w:hint="eastAsia"/>
                <w:kern w:val="0"/>
                <w:szCs w:val="21"/>
              </w:rPr>
              <w:t>控制</w:t>
            </w:r>
          </w:p>
        </w:tc>
      </w:tr>
      <w:tr w:rsidR="009E1F71" w:rsidRPr="00FD0D8E" w14:paraId="326EA1C2" w14:textId="77777777" w:rsidTr="009E1F71">
        <w:trPr>
          <w:trHeight w:val="260"/>
        </w:trPr>
        <w:tc>
          <w:tcPr>
            <w:tcW w:w="1602" w:type="pct"/>
            <w:tcBorders>
              <w:left w:val="nil"/>
              <w:bottom w:val="nil"/>
              <w:right w:val="nil"/>
            </w:tcBorders>
          </w:tcPr>
          <w:p w14:paraId="1EE58ABB" w14:textId="31751B82" w:rsidR="009E1F71" w:rsidRPr="00FD0D8E" w:rsidRDefault="009E1F71" w:rsidP="00C74EB6">
            <w:pPr>
              <w:autoSpaceDE w:val="0"/>
              <w:autoSpaceDN w:val="0"/>
              <w:adjustRightInd w:val="0"/>
              <w:rPr>
                <w:kern w:val="0"/>
                <w:szCs w:val="21"/>
              </w:rPr>
            </w:pPr>
            <w:r w:rsidRPr="00FD0D8E">
              <w:rPr>
                <w:kern w:val="0"/>
                <w:szCs w:val="21"/>
              </w:rPr>
              <w:t>N</w:t>
            </w:r>
          </w:p>
        </w:tc>
        <w:tc>
          <w:tcPr>
            <w:tcW w:w="1699" w:type="pct"/>
            <w:tcBorders>
              <w:left w:val="nil"/>
              <w:bottom w:val="nil"/>
              <w:right w:val="nil"/>
            </w:tcBorders>
          </w:tcPr>
          <w:p w14:paraId="6707E4B3" w14:textId="392EADD3" w:rsidR="009E1F71" w:rsidRPr="00FD0D8E" w:rsidRDefault="0010059E" w:rsidP="00C74EB6">
            <w:pPr>
              <w:autoSpaceDE w:val="0"/>
              <w:autoSpaceDN w:val="0"/>
              <w:adjustRightInd w:val="0"/>
              <w:jc w:val="center"/>
              <w:rPr>
                <w:kern w:val="0"/>
                <w:szCs w:val="21"/>
              </w:rPr>
            </w:pPr>
            <w:r w:rsidRPr="00FD0D8E">
              <w:rPr>
                <w:rFonts w:hint="eastAsia"/>
                <w:kern w:val="0"/>
                <w:szCs w:val="21"/>
              </w:rPr>
              <w:t>20815</w:t>
            </w:r>
          </w:p>
        </w:tc>
        <w:tc>
          <w:tcPr>
            <w:tcW w:w="1699" w:type="pct"/>
            <w:tcBorders>
              <w:left w:val="nil"/>
              <w:bottom w:val="nil"/>
              <w:right w:val="nil"/>
            </w:tcBorders>
          </w:tcPr>
          <w:p w14:paraId="34DD8CC8" w14:textId="5D79A843" w:rsidR="009E1F71" w:rsidRPr="00FD0D8E" w:rsidRDefault="0010059E" w:rsidP="00C74EB6">
            <w:pPr>
              <w:autoSpaceDE w:val="0"/>
              <w:autoSpaceDN w:val="0"/>
              <w:adjustRightInd w:val="0"/>
              <w:jc w:val="center"/>
              <w:rPr>
                <w:kern w:val="0"/>
                <w:szCs w:val="21"/>
              </w:rPr>
            </w:pPr>
            <w:r w:rsidRPr="00FD0D8E">
              <w:rPr>
                <w:rFonts w:hint="eastAsia"/>
                <w:kern w:val="0"/>
                <w:szCs w:val="21"/>
              </w:rPr>
              <w:t>20</w:t>
            </w:r>
            <w:r w:rsidR="009748DF" w:rsidRPr="00FD0D8E">
              <w:rPr>
                <w:rFonts w:hint="eastAsia"/>
                <w:kern w:val="0"/>
                <w:szCs w:val="21"/>
              </w:rPr>
              <w:t>771</w:t>
            </w:r>
          </w:p>
        </w:tc>
      </w:tr>
      <w:tr w:rsidR="009E1F71" w:rsidRPr="00FD0D8E" w14:paraId="6230E653" w14:textId="77777777" w:rsidTr="009E1F71">
        <w:trPr>
          <w:trHeight w:val="260"/>
        </w:trPr>
        <w:tc>
          <w:tcPr>
            <w:tcW w:w="1602" w:type="pct"/>
            <w:tcBorders>
              <w:left w:val="nil"/>
              <w:bottom w:val="single" w:sz="4" w:space="0" w:color="auto"/>
              <w:right w:val="nil"/>
            </w:tcBorders>
          </w:tcPr>
          <w:p w14:paraId="6771EF1F" w14:textId="2629D452" w:rsidR="009E1F71" w:rsidRPr="00FD0D8E" w:rsidRDefault="009E1F71" w:rsidP="00C74EB6">
            <w:pPr>
              <w:autoSpaceDE w:val="0"/>
              <w:autoSpaceDN w:val="0"/>
              <w:adjustRightInd w:val="0"/>
              <w:rPr>
                <w:kern w:val="0"/>
                <w:szCs w:val="21"/>
              </w:rPr>
            </w:pPr>
            <w:r w:rsidRPr="00FD0D8E">
              <w:rPr>
                <w:rFonts w:hint="eastAsia"/>
                <w:kern w:val="0"/>
                <w:szCs w:val="21"/>
              </w:rPr>
              <w:t>Adj R</w:t>
            </w:r>
            <w:r w:rsidRPr="00FD0D8E">
              <w:rPr>
                <w:rFonts w:hint="eastAsia"/>
                <w:kern w:val="0"/>
                <w:szCs w:val="21"/>
              </w:rPr>
              <w:t>²</w:t>
            </w:r>
          </w:p>
        </w:tc>
        <w:tc>
          <w:tcPr>
            <w:tcW w:w="1699" w:type="pct"/>
            <w:tcBorders>
              <w:left w:val="nil"/>
              <w:bottom w:val="single" w:sz="4" w:space="0" w:color="auto"/>
              <w:right w:val="nil"/>
            </w:tcBorders>
          </w:tcPr>
          <w:p w14:paraId="35F8BE63" w14:textId="70FA95D7" w:rsidR="009E1F71" w:rsidRPr="00FD0D8E" w:rsidRDefault="00F57A22" w:rsidP="00C74EB6">
            <w:pPr>
              <w:autoSpaceDE w:val="0"/>
              <w:autoSpaceDN w:val="0"/>
              <w:adjustRightInd w:val="0"/>
              <w:jc w:val="center"/>
              <w:rPr>
                <w:kern w:val="0"/>
                <w:szCs w:val="21"/>
              </w:rPr>
            </w:pPr>
            <w:r w:rsidRPr="00FD0D8E">
              <w:rPr>
                <w:rFonts w:hint="eastAsia"/>
                <w:kern w:val="0"/>
                <w:szCs w:val="21"/>
              </w:rPr>
              <w:t>0.07</w:t>
            </w:r>
          </w:p>
        </w:tc>
        <w:tc>
          <w:tcPr>
            <w:tcW w:w="1699" w:type="pct"/>
            <w:tcBorders>
              <w:left w:val="nil"/>
              <w:bottom w:val="single" w:sz="4" w:space="0" w:color="auto"/>
              <w:right w:val="nil"/>
            </w:tcBorders>
          </w:tcPr>
          <w:p w14:paraId="543DCEBC" w14:textId="7DE73EAB" w:rsidR="009E1F71" w:rsidRPr="00FD0D8E" w:rsidRDefault="00F57A22" w:rsidP="00C74EB6">
            <w:pPr>
              <w:autoSpaceDE w:val="0"/>
              <w:autoSpaceDN w:val="0"/>
              <w:adjustRightInd w:val="0"/>
              <w:jc w:val="center"/>
              <w:rPr>
                <w:kern w:val="0"/>
                <w:szCs w:val="21"/>
              </w:rPr>
            </w:pPr>
            <w:r w:rsidRPr="00FD0D8E">
              <w:rPr>
                <w:rFonts w:hint="eastAsia"/>
                <w:kern w:val="0"/>
                <w:szCs w:val="21"/>
              </w:rPr>
              <w:t>0.18</w:t>
            </w:r>
          </w:p>
        </w:tc>
      </w:tr>
    </w:tbl>
    <w:p w14:paraId="3F873912" w14:textId="44048AD1" w:rsidR="00BE7A0E" w:rsidRDefault="00AD6184" w:rsidP="00BE7A0E">
      <w:pPr>
        <w:autoSpaceDE w:val="0"/>
        <w:autoSpaceDN w:val="0"/>
        <w:adjustRightInd w:val="0"/>
        <w:ind w:firstLine="400"/>
        <w:rPr>
          <w:kern w:val="0"/>
          <w:sz w:val="20"/>
          <w:szCs w:val="20"/>
        </w:rPr>
      </w:pPr>
      <w:r w:rsidRPr="00086241">
        <w:rPr>
          <w:rFonts w:hint="eastAsia"/>
          <w:kern w:val="0"/>
          <w:sz w:val="20"/>
          <w:szCs w:val="20"/>
        </w:rPr>
        <w:t>注：括号内代表聚类稳健标准误；</w:t>
      </w:r>
      <w:r w:rsidRPr="00086241">
        <w:rPr>
          <w:rFonts w:hint="eastAsia"/>
          <w:kern w:val="0"/>
          <w:sz w:val="20"/>
          <w:szCs w:val="20"/>
        </w:rPr>
        <w:t>*</w:t>
      </w:r>
      <w:r w:rsidRPr="00086241">
        <w:rPr>
          <w:rFonts w:hint="eastAsia"/>
          <w:kern w:val="0"/>
          <w:sz w:val="20"/>
          <w:szCs w:val="20"/>
        </w:rPr>
        <w:t>，</w:t>
      </w:r>
      <w:r w:rsidRPr="00086241">
        <w:rPr>
          <w:rFonts w:hint="eastAsia"/>
          <w:kern w:val="0"/>
          <w:sz w:val="20"/>
          <w:szCs w:val="20"/>
        </w:rPr>
        <w:t>**</w:t>
      </w:r>
      <w:r w:rsidRPr="00086241">
        <w:rPr>
          <w:rFonts w:hint="eastAsia"/>
          <w:kern w:val="0"/>
          <w:sz w:val="20"/>
          <w:szCs w:val="20"/>
        </w:rPr>
        <w:t>，</w:t>
      </w:r>
      <w:r w:rsidRPr="00086241">
        <w:rPr>
          <w:rFonts w:hint="eastAsia"/>
          <w:kern w:val="0"/>
          <w:sz w:val="20"/>
          <w:szCs w:val="20"/>
        </w:rPr>
        <w:t>***</w:t>
      </w:r>
      <w:r w:rsidRPr="00086241">
        <w:rPr>
          <w:rFonts w:hint="eastAsia"/>
          <w:kern w:val="0"/>
          <w:sz w:val="20"/>
          <w:szCs w:val="20"/>
        </w:rPr>
        <w:t>分别表示变量在</w:t>
      </w:r>
      <w:r w:rsidRPr="00086241">
        <w:rPr>
          <w:rFonts w:hint="eastAsia"/>
          <w:kern w:val="0"/>
          <w:sz w:val="20"/>
          <w:szCs w:val="20"/>
        </w:rPr>
        <w:t>10%</w:t>
      </w:r>
      <w:r w:rsidRPr="00086241">
        <w:rPr>
          <w:rFonts w:hint="eastAsia"/>
          <w:kern w:val="0"/>
          <w:sz w:val="20"/>
          <w:szCs w:val="20"/>
        </w:rPr>
        <w:t>、</w:t>
      </w:r>
      <w:r w:rsidRPr="00086241">
        <w:rPr>
          <w:rFonts w:hint="eastAsia"/>
          <w:kern w:val="0"/>
          <w:sz w:val="20"/>
          <w:szCs w:val="20"/>
        </w:rPr>
        <w:t>5%</w:t>
      </w:r>
      <w:r w:rsidRPr="00086241">
        <w:rPr>
          <w:rFonts w:hint="eastAsia"/>
          <w:kern w:val="0"/>
          <w:sz w:val="20"/>
          <w:szCs w:val="20"/>
        </w:rPr>
        <w:t>、</w:t>
      </w:r>
      <w:r w:rsidRPr="00086241">
        <w:rPr>
          <w:rFonts w:hint="eastAsia"/>
          <w:kern w:val="0"/>
          <w:sz w:val="20"/>
          <w:szCs w:val="20"/>
        </w:rPr>
        <w:t>1%</w:t>
      </w:r>
      <w:r w:rsidRPr="00086241">
        <w:rPr>
          <w:rFonts w:hint="eastAsia"/>
          <w:kern w:val="0"/>
          <w:sz w:val="20"/>
          <w:szCs w:val="20"/>
        </w:rPr>
        <w:t>水平上显著。</w:t>
      </w:r>
    </w:p>
    <w:p w14:paraId="3DA83A14" w14:textId="77777777" w:rsidR="00601DA8" w:rsidRDefault="00601DA8" w:rsidP="00BE7A0E">
      <w:pPr>
        <w:autoSpaceDE w:val="0"/>
        <w:autoSpaceDN w:val="0"/>
        <w:adjustRightInd w:val="0"/>
        <w:ind w:firstLine="400"/>
        <w:rPr>
          <w:kern w:val="0"/>
          <w:sz w:val="20"/>
          <w:szCs w:val="20"/>
        </w:rPr>
      </w:pPr>
    </w:p>
    <w:p w14:paraId="2A580ED9" w14:textId="77777777" w:rsidR="00601DA8" w:rsidRDefault="00601DA8" w:rsidP="00BE7A0E">
      <w:pPr>
        <w:autoSpaceDE w:val="0"/>
        <w:autoSpaceDN w:val="0"/>
        <w:adjustRightInd w:val="0"/>
        <w:ind w:firstLine="400"/>
        <w:rPr>
          <w:kern w:val="0"/>
          <w:sz w:val="20"/>
          <w:szCs w:val="20"/>
        </w:rPr>
      </w:pPr>
    </w:p>
    <w:p w14:paraId="544DDABE" w14:textId="77777777" w:rsidR="00E074CD" w:rsidRPr="00537E1A" w:rsidRDefault="00E074CD" w:rsidP="00601DA8">
      <w:pPr>
        <w:spacing w:line="360" w:lineRule="auto"/>
        <w:rPr>
          <w:sz w:val="24"/>
        </w:rPr>
      </w:pPr>
      <w:r w:rsidRPr="00537E1A">
        <w:rPr>
          <w:rFonts w:hint="eastAsia"/>
          <w:sz w:val="24"/>
        </w:rPr>
        <w:lastRenderedPageBreak/>
        <w:t>（</w:t>
      </w:r>
      <w:r>
        <w:rPr>
          <w:rFonts w:hint="eastAsia"/>
          <w:sz w:val="24"/>
        </w:rPr>
        <w:t>二</w:t>
      </w:r>
      <w:r w:rsidRPr="00537E1A">
        <w:rPr>
          <w:rFonts w:hint="eastAsia"/>
          <w:sz w:val="24"/>
        </w:rPr>
        <w:t>）第二类委托代理成本</w:t>
      </w:r>
    </w:p>
    <w:p w14:paraId="49CD8E27" w14:textId="15B2556A" w:rsidR="00E074CD" w:rsidRPr="00537E1A" w:rsidRDefault="00E074CD" w:rsidP="00E074CD">
      <w:pPr>
        <w:spacing w:line="360" w:lineRule="auto"/>
        <w:ind w:firstLineChars="200" w:firstLine="480"/>
        <w:rPr>
          <w:sz w:val="24"/>
        </w:rPr>
      </w:pPr>
      <w:r w:rsidRPr="00537E1A">
        <w:rPr>
          <w:rFonts w:hint="eastAsia"/>
          <w:sz w:val="24"/>
        </w:rPr>
        <w:t>借鉴</w:t>
      </w:r>
      <w:proofErr w:type="gramStart"/>
      <w:r w:rsidRPr="00537E1A">
        <w:rPr>
          <w:rFonts w:hint="eastAsia"/>
          <w:sz w:val="24"/>
        </w:rPr>
        <w:t>王垒等</w:t>
      </w:r>
      <w:proofErr w:type="gramEnd"/>
      <w:r w:rsidRPr="00537E1A">
        <w:rPr>
          <w:rFonts w:hint="eastAsia"/>
          <w:sz w:val="24"/>
        </w:rPr>
        <w:t>（</w:t>
      </w:r>
      <w:r w:rsidRPr="00537E1A">
        <w:rPr>
          <w:rFonts w:hint="eastAsia"/>
          <w:sz w:val="24"/>
        </w:rPr>
        <w:t>2020</w:t>
      </w:r>
      <w:r w:rsidRPr="00537E1A">
        <w:rPr>
          <w:rFonts w:hint="eastAsia"/>
          <w:sz w:val="24"/>
        </w:rPr>
        <w:t>）和李从刚和许荣（</w:t>
      </w:r>
      <w:r w:rsidRPr="00537E1A">
        <w:rPr>
          <w:rFonts w:hint="eastAsia"/>
          <w:sz w:val="24"/>
        </w:rPr>
        <w:t>2020</w:t>
      </w:r>
      <w:r w:rsidRPr="00537E1A">
        <w:rPr>
          <w:rFonts w:hint="eastAsia"/>
          <w:sz w:val="24"/>
        </w:rPr>
        <w:t>）等学者常用的定量做法，本文先使用</w:t>
      </w:r>
      <w:r w:rsidRPr="00B92969">
        <w:rPr>
          <w:rFonts w:hint="eastAsia"/>
          <w:sz w:val="24"/>
        </w:rPr>
        <w:t>资金占用率（</w:t>
      </w:r>
      <w:r w:rsidRPr="00B92969">
        <w:rPr>
          <w:rFonts w:hint="eastAsia"/>
          <w:sz w:val="24"/>
        </w:rPr>
        <w:t>ORTA</w:t>
      </w:r>
      <w:r w:rsidRPr="00B92969">
        <w:rPr>
          <w:rFonts w:hint="eastAsia"/>
          <w:sz w:val="24"/>
        </w:rPr>
        <w:t>）</w:t>
      </w:r>
      <w:r w:rsidRPr="00537E1A">
        <w:rPr>
          <w:rFonts w:hint="eastAsia"/>
          <w:sz w:val="24"/>
        </w:rPr>
        <w:t>衡量第二类代理成本，为其他应收</w:t>
      </w:r>
      <w:proofErr w:type="gramStart"/>
      <w:r w:rsidRPr="00537E1A">
        <w:rPr>
          <w:rFonts w:hint="eastAsia"/>
          <w:sz w:val="24"/>
        </w:rPr>
        <w:t>账款除</w:t>
      </w:r>
      <w:proofErr w:type="gramEnd"/>
      <w:r w:rsidRPr="00537E1A">
        <w:rPr>
          <w:rFonts w:hint="eastAsia"/>
          <w:sz w:val="24"/>
        </w:rPr>
        <w:t>以总资产。其他应收账款当中包含上市公司与控股股东及其母公司或子公司之间的关联交易，</w:t>
      </w:r>
      <w:r w:rsidR="00F75212">
        <w:rPr>
          <w:rFonts w:hint="eastAsia"/>
          <w:sz w:val="24"/>
        </w:rPr>
        <w:t>这些交易极易可能被用来侵占小股东的利益。</w:t>
      </w:r>
    </w:p>
    <w:p w14:paraId="1A28E806" w14:textId="19B5EF8F" w:rsidR="001F35F2" w:rsidRDefault="001F35F2" w:rsidP="00E074CD">
      <w:pPr>
        <w:spacing w:line="360" w:lineRule="auto"/>
        <w:ind w:firstLineChars="200" w:firstLine="480"/>
        <w:rPr>
          <w:sz w:val="24"/>
          <w:szCs w:val="21"/>
        </w:rPr>
      </w:pPr>
      <w:r w:rsidRPr="00AD6184">
        <w:rPr>
          <w:rFonts w:hint="eastAsia"/>
          <w:sz w:val="24"/>
          <w:szCs w:val="21"/>
        </w:rPr>
        <w:t>同样，</w:t>
      </w:r>
      <w:proofErr w:type="gramStart"/>
      <w:r w:rsidRPr="00AD6184">
        <w:rPr>
          <w:rFonts w:hint="eastAsia"/>
          <w:sz w:val="24"/>
          <w:szCs w:val="21"/>
        </w:rPr>
        <w:t>类似第</w:t>
      </w:r>
      <w:proofErr w:type="gramEnd"/>
      <w:r>
        <w:rPr>
          <w:rFonts w:hint="eastAsia"/>
          <w:sz w:val="24"/>
          <w:szCs w:val="21"/>
        </w:rPr>
        <w:t>一</w:t>
      </w:r>
      <w:r w:rsidRPr="00AD6184">
        <w:rPr>
          <w:rFonts w:hint="eastAsia"/>
          <w:sz w:val="24"/>
          <w:szCs w:val="21"/>
        </w:rPr>
        <w:t>类委托代理问题，同样构建</w:t>
      </w:r>
      <w:r>
        <w:rPr>
          <w:rFonts w:hint="eastAsia"/>
          <w:sz w:val="24"/>
          <w:szCs w:val="21"/>
        </w:rPr>
        <w:t>综合</w:t>
      </w:r>
      <w:r w:rsidRPr="00B92969">
        <w:rPr>
          <w:rFonts w:hint="eastAsia"/>
          <w:sz w:val="24"/>
          <w:szCs w:val="21"/>
        </w:rPr>
        <w:t>指标</w:t>
      </w:r>
      <w:proofErr w:type="spellStart"/>
      <w:r w:rsidRPr="00B92969">
        <w:rPr>
          <w:rFonts w:hint="eastAsia"/>
          <w:sz w:val="24"/>
          <w:szCs w:val="21"/>
        </w:rPr>
        <w:t>Agency</w:t>
      </w:r>
      <w:r w:rsidR="009E1F71" w:rsidRPr="00B92969">
        <w:rPr>
          <w:rFonts w:hint="eastAsia"/>
          <w:sz w:val="24"/>
        </w:rPr>
        <w:t>II</w:t>
      </w:r>
      <w:proofErr w:type="spellEnd"/>
      <w:r w:rsidRPr="00B92969">
        <w:rPr>
          <w:rFonts w:hint="eastAsia"/>
          <w:sz w:val="24"/>
          <w:szCs w:val="21"/>
        </w:rPr>
        <w:t>，</w:t>
      </w:r>
      <w:r w:rsidRPr="00AD6184">
        <w:rPr>
          <w:rFonts w:hint="eastAsia"/>
          <w:sz w:val="24"/>
          <w:szCs w:val="21"/>
        </w:rPr>
        <w:t>用于衡量第</w:t>
      </w:r>
      <w:r>
        <w:rPr>
          <w:rFonts w:hint="eastAsia"/>
          <w:sz w:val="24"/>
          <w:szCs w:val="21"/>
        </w:rPr>
        <w:t>二</w:t>
      </w:r>
      <w:r w:rsidRPr="00AD6184">
        <w:rPr>
          <w:rFonts w:hint="eastAsia"/>
          <w:sz w:val="24"/>
          <w:szCs w:val="21"/>
        </w:rPr>
        <w:t>类委托代理问题程度。</w:t>
      </w:r>
      <w:r>
        <w:rPr>
          <w:rFonts w:hint="eastAsia"/>
          <w:sz w:val="24"/>
          <w:szCs w:val="21"/>
        </w:rPr>
        <w:t>计算过程包含以下变量和逻辑：</w:t>
      </w:r>
    </w:p>
    <w:p w14:paraId="5F4751D6" w14:textId="3053CE95" w:rsidR="00E074CD" w:rsidRPr="00537E1A" w:rsidRDefault="00E074CD" w:rsidP="00E074CD">
      <w:pPr>
        <w:spacing w:line="360" w:lineRule="auto"/>
        <w:ind w:firstLineChars="200" w:firstLine="480"/>
        <w:rPr>
          <w:sz w:val="24"/>
        </w:rPr>
      </w:pPr>
      <w:r w:rsidRPr="00537E1A">
        <w:rPr>
          <w:rFonts w:hint="eastAsia"/>
          <w:sz w:val="24"/>
        </w:rPr>
        <w:t>从股东权力视角出发，第一大股东持股比例（</w:t>
      </w:r>
      <w:r w:rsidRPr="00537E1A">
        <w:rPr>
          <w:rFonts w:hint="eastAsia"/>
          <w:sz w:val="24"/>
        </w:rPr>
        <w:t>LHR</w:t>
      </w:r>
      <w:r w:rsidRPr="00537E1A">
        <w:rPr>
          <w:rFonts w:hint="eastAsia"/>
          <w:sz w:val="24"/>
        </w:rPr>
        <w:t>）越高、第二到第十股东持股比例平方和（</w:t>
      </w:r>
      <w:r w:rsidRPr="00537E1A">
        <w:rPr>
          <w:rFonts w:hint="eastAsia"/>
          <w:sz w:val="24"/>
        </w:rPr>
        <w:t>SHARE2_10</w:t>
      </w:r>
      <w:r w:rsidRPr="00537E1A">
        <w:rPr>
          <w:rFonts w:hint="eastAsia"/>
          <w:sz w:val="24"/>
        </w:rPr>
        <w:t>）越低（说明非控股股东的制衡作用越弱）、实际控制人拥有上市公司控制权比例（</w:t>
      </w:r>
      <w:r w:rsidRPr="00537E1A">
        <w:rPr>
          <w:rFonts w:hint="eastAsia"/>
          <w:sz w:val="24"/>
        </w:rPr>
        <w:t>CPC</w:t>
      </w:r>
      <w:r w:rsidRPr="00537E1A">
        <w:rPr>
          <w:rFonts w:hint="eastAsia"/>
          <w:sz w:val="24"/>
        </w:rPr>
        <w:t>）越高、两权分离率（</w:t>
      </w:r>
      <w:r w:rsidRPr="00537E1A">
        <w:rPr>
          <w:rFonts w:hint="eastAsia"/>
          <w:sz w:val="24"/>
        </w:rPr>
        <w:t>Sep</w:t>
      </w:r>
      <w:r w:rsidRPr="00537E1A">
        <w:rPr>
          <w:rFonts w:hint="eastAsia"/>
          <w:sz w:val="24"/>
        </w:rPr>
        <w:t>，实际控制人控制权与所有权之间的差值）越大、股权质押（</w:t>
      </w:r>
      <w:r w:rsidRPr="00537E1A">
        <w:rPr>
          <w:rFonts w:hint="eastAsia"/>
          <w:sz w:val="24"/>
        </w:rPr>
        <w:t>Pledge</w:t>
      </w:r>
      <w:r w:rsidRPr="00537E1A">
        <w:rPr>
          <w:rFonts w:hint="eastAsia"/>
          <w:sz w:val="24"/>
        </w:rPr>
        <w:t>）占比越高，大股东实际操控空间越大，中小股东的权益更容易被侵占。</w:t>
      </w:r>
    </w:p>
    <w:p w14:paraId="099DE3C1" w14:textId="6F047D9E" w:rsidR="00597A49" w:rsidRPr="00086241" w:rsidRDefault="00E074CD" w:rsidP="00597A49">
      <w:pPr>
        <w:spacing w:line="360" w:lineRule="auto"/>
        <w:ind w:firstLineChars="200" w:firstLine="480"/>
        <w:rPr>
          <w:sz w:val="24"/>
        </w:rPr>
      </w:pPr>
      <w:r w:rsidRPr="00537E1A">
        <w:rPr>
          <w:rFonts w:hint="eastAsia"/>
          <w:sz w:val="24"/>
        </w:rPr>
        <w:t>就实际操作层面而言，其他应收</w:t>
      </w:r>
      <w:proofErr w:type="gramStart"/>
      <w:r w:rsidRPr="00537E1A">
        <w:rPr>
          <w:rFonts w:hint="eastAsia"/>
          <w:sz w:val="24"/>
        </w:rPr>
        <w:t>账款占</w:t>
      </w:r>
      <w:proofErr w:type="gramEnd"/>
      <w:r w:rsidRPr="00537E1A">
        <w:rPr>
          <w:rFonts w:hint="eastAsia"/>
          <w:sz w:val="24"/>
        </w:rPr>
        <w:t>总资产比例（</w:t>
      </w:r>
      <w:r w:rsidRPr="00537E1A">
        <w:rPr>
          <w:rFonts w:hint="eastAsia"/>
          <w:sz w:val="24"/>
        </w:rPr>
        <w:t>ORTA</w:t>
      </w:r>
      <w:r w:rsidRPr="00537E1A">
        <w:rPr>
          <w:rFonts w:hint="eastAsia"/>
          <w:sz w:val="24"/>
        </w:rPr>
        <w:t>）越高时，企业越可能发生与母公司、控股公司或子公司的关联交易，加之交易的不透明性，都增加中小股东权益的风险；盈余管理（</w:t>
      </w:r>
      <w:r w:rsidRPr="00537E1A">
        <w:rPr>
          <w:rFonts w:hint="eastAsia"/>
          <w:sz w:val="24"/>
        </w:rPr>
        <w:t>EM</w:t>
      </w:r>
      <w:r w:rsidRPr="00537E1A">
        <w:rPr>
          <w:rFonts w:hint="eastAsia"/>
          <w:sz w:val="24"/>
        </w:rPr>
        <w:t>）越高，说明代理人可能应控股股东要求通过会计处理实现盈余管理，“蒙骗”处于信息劣势的中小股东，盈余管理的计算参考杜勇等（</w:t>
      </w:r>
      <w:r w:rsidRPr="00537E1A">
        <w:rPr>
          <w:rFonts w:hint="eastAsia"/>
          <w:sz w:val="24"/>
        </w:rPr>
        <w:t>2021</w:t>
      </w:r>
      <w:r w:rsidRPr="00537E1A">
        <w:rPr>
          <w:rFonts w:hint="eastAsia"/>
          <w:sz w:val="24"/>
        </w:rPr>
        <w:t>），运用修正的</w:t>
      </w:r>
      <w:r w:rsidRPr="00537E1A">
        <w:rPr>
          <w:rFonts w:hint="eastAsia"/>
          <w:sz w:val="24"/>
        </w:rPr>
        <w:t>Jones</w:t>
      </w:r>
      <w:r w:rsidRPr="00537E1A">
        <w:rPr>
          <w:rFonts w:hint="eastAsia"/>
          <w:sz w:val="24"/>
        </w:rPr>
        <w:t>模型测量。</w:t>
      </w:r>
    </w:p>
    <w:p w14:paraId="093713E5" w14:textId="52C86393" w:rsidR="00E074CD" w:rsidRPr="006B2992" w:rsidRDefault="00597A49" w:rsidP="00E074CD">
      <w:pPr>
        <w:spacing w:line="360" w:lineRule="auto"/>
        <w:ind w:firstLineChars="200" w:firstLine="480"/>
        <w:rPr>
          <w:sz w:val="24"/>
        </w:rPr>
      </w:pPr>
      <w:r>
        <w:rPr>
          <w:sz w:val="24"/>
        </w:rPr>
        <w:fldChar w:fldCharType="begin"/>
      </w:r>
      <w:r>
        <w:rPr>
          <w:sz w:val="24"/>
        </w:rPr>
        <w:instrText xml:space="preserve"> </w:instrText>
      </w:r>
      <w:r>
        <w:rPr>
          <w:rFonts w:hint="eastAsia"/>
          <w:sz w:val="24"/>
        </w:rPr>
        <w:instrText>REF _Ref191420134 \h</w:instrText>
      </w:r>
      <w:r>
        <w:rPr>
          <w:sz w:val="24"/>
        </w:rPr>
        <w:instrText xml:space="preserve">  \* MERGEFORMAT </w:instrText>
      </w:r>
      <w:r>
        <w:rPr>
          <w:sz w:val="24"/>
        </w:rPr>
      </w:r>
      <w:r>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8</w:t>
      </w:r>
      <w:r>
        <w:rPr>
          <w:sz w:val="24"/>
        </w:rPr>
        <w:fldChar w:fldCharType="end"/>
      </w:r>
      <w:r w:rsidR="00E074CD">
        <w:rPr>
          <w:rFonts w:hint="eastAsia"/>
          <w:sz w:val="24"/>
        </w:rPr>
        <w:t>表明，无论是使用资金占用率还是综合指标，组织资本均显著提升第二类代理问题。</w:t>
      </w:r>
      <w:r w:rsidR="00E074CD" w:rsidRPr="006B2992">
        <w:rPr>
          <w:rFonts w:hint="eastAsia"/>
          <w:sz w:val="24"/>
        </w:rPr>
        <w:t>上市公司</w:t>
      </w:r>
      <w:r w:rsidR="00E074CD">
        <w:rPr>
          <w:rFonts w:hint="eastAsia"/>
          <w:sz w:val="24"/>
        </w:rPr>
        <w:t>出于两个动机配置董</w:t>
      </w:r>
      <w:proofErr w:type="gramStart"/>
      <w:r w:rsidR="00E074CD">
        <w:rPr>
          <w:rFonts w:hint="eastAsia"/>
          <w:sz w:val="24"/>
        </w:rPr>
        <w:t>监高责任</w:t>
      </w:r>
      <w:proofErr w:type="gramEnd"/>
      <w:r w:rsidR="00E074CD">
        <w:rPr>
          <w:rFonts w:hint="eastAsia"/>
          <w:sz w:val="24"/>
        </w:rPr>
        <w:t>险：</w:t>
      </w:r>
      <w:r w:rsidR="00E074CD" w:rsidRPr="006B2992">
        <w:rPr>
          <w:rFonts w:hint="eastAsia"/>
          <w:sz w:val="24"/>
        </w:rPr>
        <w:t>一是将其作为激励手段，打消</w:t>
      </w:r>
      <w:proofErr w:type="gramStart"/>
      <w:r w:rsidR="00E074CD" w:rsidRPr="006B2992">
        <w:rPr>
          <w:rFonts w:hint="eastAsia"/>
          <w:sz w:val="24"/>
        </w:rPr>
        <w:t>董监高履职</w:t>
      </w:r>
      <w:proofErr w:type="gramEnd"/>
      <w:r w:rsidR="00E074CD" w:rsidRPr="006B2992">
        <w:rPr>
          <w:rFonts w:hint="eastAsia"/>
          <w:sz w:val="24"/>
        </w:rPr>
        <w:t>顾虑，稳固利益关联；二是从风险管理出发，考虑到少数股东对利益</w:t>
      </w:r>
      <w:proofErr w:type="gramStart"/>
      <w:r w:rsidR="00E074CD" w:rsidRPr="006B2992">
        <w:rPr>
          <w:rFonts w:hint="eastAsia"/>
          <w:sz w:val="24"/>
        </w:rPr>
        <w:t>冲突较</w:t>
      </w:r>
      <w:proofErr w:type="gramEnd"/>
      <w:r w:rsidR="00E074CD" w:rsidRPr="006B2992">
        <w:rPr>
          <w:rFonts w:hint="eastAsia"/>
          <w:sz w:val="24"/>
        </w:rPr>
        <w:t>敏感，</w:t>
      </w:r>
      <w:r w:rsidR="00F57A22">
        <w:rPr>
          <w:rFonts w:hint="eastAsia"/>
          <w:sz w:val="24"/>
        </w:rPr>
        <w:t>更容易</w:t>
      </w:r>
      <w:r w:rsidR="00E074CD" w:rsidRPr="006B2992">
        <w:rPr>
          <w:rFonts w:hint="eastAsia"/>
          <w:sz w:val="24"/>
        </w:rPr>
        <w:t>引发诉讼风险，购买保险可降低损失。</w:t>
      </w:r>
    </w:p>
    <w:p w14:paraId="2102F52F" w14:textId="398204C8" w:rsidR="00E074CD" w:rsidRDefault="00E074CD" w:rsidP="00E074CD">
      <w:pPr>
        <w:spacing w:line="360" w:lineRule="auto"/>
        <w:ind w:firstLineChars="200" w:firstLine="480"/>
        <w:rPr>
          <w:sz w:val="24"/>
        </w:rPr>
      </w:pPr>
      <w:r w:rsidRPr="00086241">
        <w:rPr>
          <w:rFonts w:hint="eastAsia"/>
          <w:sz w:val="24"/>
        </w:rPr>
        <w:t>结合</w:t>
      </w:r>
      <w:r w:rsidR="008E596C">
        <w:rPr>
          <w:rFonts w:hint="eastAsia"/>
          <w:sz w:val="24"/>
        </w:rPr>
        <w:t>前文理论分析和本章</w:t>
      </w:r>
      <w:r w:rsidRPr="00086241">
        <w:rPr>
          <w:rFonts w:hint="eastAsia"/>
          <w:sz w:val="24"/>
        </w:rPr>
        <w:t>实证结果，本文认为假设</w:t>
      </w:r>
      <w:r w:rsidRPr="00086241">
        <w:rPr>
          <w:rFonts w:hint="eastAsia"/>
          <w:sz w:val="24"/>
        </w:rPr>
        <w:t>H</w:t>
      </w:r>
      <w:r>
        <w:rPr>
          <w:rFonts w:hint="eastAsia"/>
          <w:sz w:val="24"/>
        </w:rPr>
        <w:t>2</w:t>
      </w:r>
      <w:r w:rsidRPr="00086241">
        <w:rPr>
          <w:rFonts w:hint="eastAsia"/>
          <w:sz w:val="24"/>
        </w:rPr>
        <w:t>成立，即组织资本通过</w:t>
      </w:r>
      <w:r w:rsidR="00A37415">
        <w:rPr>
          <w:rFonts w:hint="eastAsia"/>
          <w:sz w:val="24"/>
        </w:rPr>
        <w:t>增加</w:t>
      </w:r>
      <w:r w:rsidR="00513DDD">
        <w:rPr>
          <w:rFonts w:hint="eastAsia"/>
          <w:sz w:val="24"/>
        </w:rPr>
        <w:t>控股股东与中小股东利益冲突等委托代理成本</w:t>
      </w:r>
      <w:r w:rsidR="001F35F2">
        <w:rPr>
          <w:rFonts w:hint="eastAsia"/>
          <w:sz w:val="24"/>
        </w:rPr>
        <w:t>提升</w:t>
      </w:r>
      <w:r w:rsidR="00597A49">
        <w:rPr>
          <w:rFonts w:hint="eastAsia"/>
          <w:sz w:val="24"/>
        </w:rPr>
        <w:t>公司对</w:t>
      </w:r>
      <w:r w:rsidRPr="00086241">
        <w:rPr>
          <w:rFonts w:hint="eastAsia"/>
          <w:sz w:val="24"/>
        </w:rPr>
        <w:t>董</w:t>
      </w:r>
      <w:proofErr w:type="gramStart"/>
      <w:r w:rsidRPr="00086241">
        <w:rPr>
          <w:rFonts w:hint="eastAsia"/>
          <w:sz w:val="24"/>
        </w:rPr>
        <w:t>监高责任</w:t>
      </w:r>
      <w:proofErr w:type="gramEnd"/>
      <w:r w:rsidRPr="00086241">
        <w:rPr>
          <w:rFonts w:hint="eastAsia"/>
          <w:sz w:val="24"/>
        </w:rPr>
        <w:t>险的</w:t>
      </w:r>
      <w:r w:rsidR="00D473F8">
        <w:rPr>
          <w:rFonts w:hint="eastAsia"/>
          <w:sz w:val="24"/>
        </w:rPr>
        <w:t>投保意向</w:t>
      </w:r>
      <w:r>
        <w:rPr>
          <w:rFonts w:hint="eastAsia"/>
          <w:sz w:val="24"/>
        </w:rPr>
        <w:t>。</w:t>
      </w:r>
    </w:p>
    <w:p w14:paraId="0984E05F" w14:textId="77777777" w:rsidR="00E074CD" w:rsidRDefault="00E074CD" w:rsidP="00E074CD">
      <w:pPr>
        <w:spacing w:line="360" w:lineRule="auto"/>
        <w:ind w:firstLineChars="200" w:firstLine="480"/>
        <w:rPr>
          <w:sz w:val="24"/>
        </w:rPr>
      </w:pPr>
    </w:p>
    <w:p w14:paraId="070F45CD" w14:textId="77777777" w:rsidR="00AE339A" w:rsidRDefault="00AE339A" w:rsidP="00E074CD">
      <w:pPr>
        <w:spacing w:line="360" w:lineRule="auto"/>
        <w:ind w:firstLineChars="200" w:firstLine="480"/>
        <w:rPr>
          <w:sz w:val="24"/>
        </w:rPr>
      </w:pPr>
    </w:p>
    <w:p w14:paraId="5F83B27C" w14:textId="77777777" w:rsidR="001F35F2" w:rsidRDefault="001F35F2" w:rsidP="00E074CD">
      <w:pPr>
        <w:spacing w:line="360" w:lineRule="auto"/>
        <w:ind w:firstLineChars="200" w:firstLine="480"/>
        <w:rPr>
          <w:sz w:val="24"/>
        </w:rPr>
      </w:pPr>
    </w:p>
    <w:p w14:paraId="42435045" w14:textId="77777777" w:rsidR="00687289" w:rsidRDefault="00687289" w:rsidP="00601DA8">
      <w:pPr>
        <w:spacing w:line="360" w:lineRule="auto"/>
        <w:rPr>
          <w:sz w:val="24"/>
        </w:rPr>
      </w:pPr>
    </w:p>
    <w:p w14:paraId="29734EF9" w14:textId="77777777" w:rsidR="001F35F2" w:rsidRDefault="001F35F2" w:rsidP="00E074CD">
      <w:pPr>
        <w:spacing w:line="360" w:lineRule="auto"/>
        <w:ind w:firstLineChars="200" w:firstLine="480"/>
        <w:rPr>
          <w:sz w:val="24"/>
        </w:rPr>
      </w:pPr>
    </w:p>
    <w:p w14:paraId="477E90E6" w14:textId="77777777" w:rsidR="001F35F2" w:rsidRDefault="001F35F2" w:rsidP="00E074CD">
      <w:pPr>
        <w:spacing w:line="360" w:lineRule="auto"/>
        <w:ind w:firstLineChars="200" w:firstLine="480"/>
        <w:rPr>
          <w:sz w:val="24"/>
        </w:rPr>
      </w:pPr>
    </w:p>
    <w:p w14:paraId="375A0CDD" w14:textId="77777777" w:rsidR="00AE339A" w:rsidRPr="00F57A22" w:rsidRDefault="00AE339A" w:rsidP="00F57A22">
      <w:pPr>
        <w:spacing w:line="360" w:lineRule="auto"/>
        <w:ind w:firstLine="480"/>
        <w:rPr>
          <w:sz w:val="24"/>
        </w:rPr>
      </w:pPr>
    </w:p>
    <w:p w14:paraId="49A05D40" w14:textId="6C2AEBCA" w:rsidR="00E074CD" w:rsidRPr="00734874" w:rsidRDefault="00E074CD" w:rsidP="00E074CD">
      <w:pPr>
        <w:pStyle w:val="af5"/>
        <w:ind w:firstLine="482"/>
        <w:rPr>
          <w:rFonts w:ascii="Times New Roman" w:hAnsi="Times New Roman"/>
        </w:rPr>
      </w:pPr>
      <w:bookmarkStart w:id="122" w:name="_Ref191420134"/>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8</w:t>
      </w:r>
      <w:r w:rsidRPr="00734874">
        <w:rPr>
          <w:rFonts w:ascii="Times New Roman" w:hAnsi="Times New Roman" w:hint="eastAsia"/>
        </w:rPr>
        <w:fldChar w:fldCharType="end"/>
      </w:r>
      <w:bookmarkEnd w:id="122"/>
      <w:r w:rsidRPr="00734874">
        <w:rPr>
          <w:rFonts w:ascii="Times New Roman" w:hAnsi="Times New Roman"/>
        </w:rPr>
        <w:t>：</w:t>
      </w:r>
      <w:r w:rsidRPr="00734874">
        <w:rPr>
          <w:rFonts w:ascii="Times New Roman" w:hAnsi="Times New Roman" w:hint="eastAsia"/>
        </w:rPr>
        <w:t>第二类委托代理成本的机制检验</w:t>
      </w:r>
    </w:p>
    <w:tbl>
      <w:tblPr>
        <w:tblW w:w="5000" w:type="pct"/>
        <w:tblLook w:val="0000" w:firstRow="0" w:lastRow="0" w:firstColumn="0" w:lastColumn="0" w:noHBand="0" w:noVBand="0"/>
      </w:tblPr>
      <w:tblGrid>
        <w:gridCol w:w="2658"/>
        <w:gridCol w:w="2826"/>
        <w:gridCol w:w="2822"/>
      </w:tblGrid>
      <w:tr w:rsidR="009748DF" w:rsidRPr="00FD0D8E" w14:paraId="6142434A" w14:textId="77777777" w:rsidTr="009748DF">
        <w:tc>
          <w:tcPr>
            <w:tcW w:w="1600" w:type="pct"/>
            <w:tcBorders>
              <w:top w:val="single" w:sz="4" w:space="0" w:color="auto"/>
              <w:left w:val="nil"/>
              <w:bottom w:val="nil"/>
              <w:right w:val="nil"/>
            </w:tcBorders>
          </w:tcPr>
          <w:p w14:paraId="282637B1" w14:textId="77777777" w:rsidR="009748DF" w:rsidRPr="00FD0D8E" w:rsidRDefault="009748DF" w:rsidP="00C74EB6">
            <w:pPr>
              <w:autoSpaceDE w:val="0"/>
              <w:autoSpaceDN w:val="0"/>
              <w:adjustRightInd w:val="0"/>
              <w:rPr>
                <w:kern w:val="0"/>
                <w:szCs w:val="21"/>
              </w:rPr>
            </w:pPr>
          </w:p>
        </w:tc>
        <w:tc>
          <w:tcPr>
            <w:tcW w:w="1701" w:type="pct"/>
            <w:tcBorders>
              <w:top w:val="single" w:sz="4" w:space="0" w:color="auto"/>
              <w:left w:val="nil"/>
              <w:bottom w:val="nil"/>
              <w:right w:val="nil"/>
            </w:tcBorders>
          </w:tcPr>
          <w:p w14:paraId="1616E76F" w14:textId="7E248658" w:rsidR="009748DF" w:rsidRPr="00FD0D8E" w:rsidRDefault="009748DF" w:rsidP="00C74EB6">
            <w:pPr>
              <w:autoSpaceDE w:val="0"/>
              <w:autoSpaceDN w:val="0"/>
              <w:adjustRightInd w:val="0"/>
              <w:jc w:val="center"/>
              <w:rPr>
                <w:kern w:val="0"/>
                <w:szCs w:val="21"/>
              </w:rPr>
            </w:pPr>
            <w:r w:rsidRPr="00FD0D8E">
              <w:rPr>
                <w:kern w:val="0"/>
                <w:szCs w:val="21"/>
              </w:rPr>
              <w:t>(</w:t>
            </w:r>
            <w:r w:rsidRPr="00FD0D8E">
              <w:rPr>
                <w:rFonts w:hint="eastAsia"/>
                <w:kern w:val="0"/>
                <w:szCs w:val="21"/>
              </w:rPr>
              <w:t>1</w:t>
            </w:r>
            <w:r w:rsidRPr="00FD0D8E">
              <w:rPr>
                <w:kern w:val="0"/>
                <w:szCs w:val="21"/>
              </w:rPr>
              <w:t>)</w:t>
            </w:r>
          </w:p>
        </w:tc>
        <w:tc>
          <w:tcPr>
            <w:tcW w:w="1699" w:type="pct"/>
            <w:tcBorders>
              <w:top w:val="single" w:sz="4" w:space="0" w:color="auto"/>
              <w:left w:val="nil"/>
              <w:bottom w:val="nil"/>
              <w:right w:val="nil"/>
            </w:tcBorders>
          </w:tcPr>
          <w:p w14:paraId="6B2E10AA" w14:textId="4FDF6BEC" w:rsidR="009748DF" w:rsidRPr="00FD0D8E" w:rsidRDefault="009748DF" w:rsidP="00C74EB6">
            <w:pPr>
              <w:autoSpaceDE w:val="0"/>
              <w:autoSpaceDN w:val="0"/>
              <w:adjustRightInd w:val="0"/>
              <w:jc w:val="center"/>
              <w:rPr>
                <w:kern w:val="0"/>
                <w:szCs w:val="21"/>
              </w:rPr>
            </w:pPr>
            <w:r w:rsidRPr="00FD0D8E">
              <w:rPr>
                <w:kern w:val="0"/>
                <w:szCs w:val="21"/>
              </w:rPr>
              <w:t>(</w:t>
            </w:r>
            <w:r w:rsidRPr="00FD0D8E">
              <w:rPr>
                <w:rFonts w:hint="eastAsia"/>
                <w:kern w:val="0"/>
                <w:szCs w:val="21"/>
              </w:rPr>
              <w:t>2</w:t>
            </w:r>
            <w:r w:rsidRPr="00FD0D8E">
              <w:rPr>
                <w:kern w:val="0"/>
                <w:szCs w:val="21"/>
              </w:rPr>
              <w:t>)</w:t>
            </w:r>
          </w:p>
        </w:tc>
      </w:tr>
      <w:tr w:rsidR="009748DF" w:rsidRPr="00FD0D8E" w14:paraId="42C7D956" w14:textId="77777777" w:rsidTr="009748DF">
        <w:tc>
          <w:tcPr>
            <w:tcW w:w="1600" w:type="pct"/>
            <w:tcBorders>
              <w:top w:val="nil"/>
              <w:left w:val="nil"/>
              <w:bottom w:val="nil"/>
              <w:right w:val="nil"/>
            </w:tcBorders>
          </w:tcPr>
          <w:p w14:paraId="461C5FB3"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3B07CF24" w14:textId="77777777" w:rsidR="009748DF" w:rsidRPr="00FD0D8E" w:rsidRDefault="009748DF" w:rsidP="00C74EB6">
            <w:pPr>
              <w:autoSpaceDE w:val="0"/>
              <w:autoSpaceDN w:val="0"/>
              <w:adjustRightInd w:val="0"/>
              <w:jc w:val="center"/>
              <w:rPr>
                <w:kern w:val="0"/>
                <w:szCs w:val="21"/>
              </w:rPr>
            </w:pPr>
            <w:r w:rsidRPr="00FD0D8E">
              <w:rPr>
                <w:kern w:val="0"/>
                <w:szCs w:val="21"/>
              </w:rPr>
              <w:t>ORTA</w:t>
            </w:r>
            <w:r w:rsidRPr="00FD0D8E">
              <w:rPr>
                <w:rFonts w:hint="eastAsia"/>
                <w:kern w:val="0"/>
                <w:szCs w:val="21"/>
                <w:vertAlign w:val="subscript"/>
              </w:rPr>
              <w:t>t+1</w:t>
            </w:r>
          </w:p>
        </w:tc>
        <w:tc>
          <w:tcPr>
            <w:tcW w:w="1699" w:type="pct"/>
            <w:tcBorders>
              <w:top w:val="nil"/>
              <w:left w:val="nil"/>
              <w:bottom w:val="nil"/>
              <w:right w:val="nil"/>
            </w:tcBorders>
          </w:tcPr>
          <w:p w14:paraId="32F381D0" w14:textId="12244E62" w:rsidR="009748DF" w:rsidRPr="00FD0D8E" w:rsidRDefault="009748DF" w:rsidP="00C74EB6">
            <w:pPr>
              <w:autoSpaceDE w:val="0"/>
              <w:autoSpaceDN w:val="0"/>
              <w:adjustRightInd w:val="0"/>
              <w:jc w:val="center"/>
              <w:rPr>
                <w:kern w:val="0"/>
                <w:szCs w:val="21"/>
              </w:rPr>
            </w:pPr>
            <w:proofErr w:type="spellStart"/>
            <w:r w:rsidRPr="00FD0D8E">
              <w:rPr>
                <w:kern w:val="0"/>
                <w:szCs w:val="21"/>
              </w:rPr>
              <w:t>A</w:t>
            </w:r>
            <w:r w:rsidRPr="00FD0D8E">
              <w:rPr>
                <w:rFonts w:hint="eastAsia"/>
                <w:kern w:val="0"/>
                <w:szCs w:val="21"/>
              </w:rPr>
              <w:t>gencyII</w:t>
            </w:r>
            <w:proofErr w:type="spellEnd"/>
            <w:r w:rsidRPr="00FD0D8E">
              <w:rPr>
                <w:rFonts w:hint="eastAsia"/>
                <w:kern w:val="0"/>
                <w:szCs w:val="21"/>
                <w:vertAlign w:val="subscript"/>
              </w:rPr>
              <w:t xml:space="preserve"> t+1</w:t>
            </w:r>
          </w:p>
        </w:tc>
      </w:tr>
      <w:tr w:rsidR="009748DF" w:rsidRPr="00FD0D8E" w14:paraId="2000019E" w14:textId="77777777" w:rsidTr="009748DF">
        <w:tc>
          <w:tcPr>
            <w:tcW w:w="1600" w:type="pct"/>
            <w:tcBorders>
              <w:top w:val="single" w:sz="4" w:space="0" w:color="auto"/>
              <w:left w:val="nil"/>
              <w:bottom w:val="nil"/>
              <w:right w:val="nil"/>
            </w:tcBorders>
          </w:tcPr>
          <w:p w14:paraId="07E98ABE" w14:textId="73B57943" w:rsidR="009748DF" w:rsidRPr="00FD0D8E" w:rsidRDefault="009748DF" w:rsidP="00C74EB6">
            <w:pPr>
              <w:autoSpaceDE w:val="0"/>
              <w:autoSpaceDN w:val="0"/>
              <w:adjustRightInd w:val="0"/>
              <w:rPr>
                <w:kern w:val="0"/>
                <w:szCs w:val="21"/>
              </w:rPr>
            </w:pPr>
            <w:r w:rsidRPr="00FD0D8E">
              <w:rPr>
                <w:kern w:val="0"/>
                <w:szCs w:val="21"/>
              </w:rPr>
              <w:t>OC</w:t>
            </w:r>
          </w:p>
        </w:tc>
        <w:tc>
          <w:tcPr>
            <w:tcW w:w="1701" w:type="pct"/>
            <w:tcBorders>
              <w:top w:val="single" w:sz="4" w:space="0" w:color="auto"/>
              <w:left w:val="nil"/>
              <w:bottom w:val="nil"/>
              <w:right w:val="nil"/>
            </w:tcBorders>
          </w:tcPr>
          <w:p w14:paraId="2CC83714" w14:textId="44447543" w:rsidR="009748DF" w:rsidRPr="00FD0D8E" w:rsidRDefault="009748DF"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699" w:type="pct"/>
            <w:tcBorders>
              <w:top w:val="single" w:sz="4" w:space="0" w:color="auto"/>
              <w:left w:val="nil"/>
              <w:bottom w:val="nil"/>
              <w:right w:val="nil"/>
            </w:tcBorders>
          </w:tcPr>
          <w:p w14:paraId="4B5892AE" w14:textId="30D48645" w:rsidR="009748DF" w:rsidRPr="00FD0D8E" w:rsidRDefault="009748DF" w:rsidP="00C74EB6">
            <w:pPr>
              <w:autoSpaceDE w:val="0"/>
              <w:autoSpaceDN w:val="0"/>
              <w:adjustRightInd w:val="0"/>
              <w:jc w:val="center"/>
              <w:rPr>
                <w:kern w:val="0"/>
                <w:szCs w:val="21"/>
              </w:rPr>
            </w:pPr>
            <w:r w:rsidRPr="00FD0D8E">
              <w:rPr>
                <w:kern w:val="0"/>
                <w:szCs w:val="21"/>
              </w:rPr>
              <w:t>0.012</w:t>
            </w:r>
            <w:r w:rsidRPr="00FD0D8E">
              <w:rPr>
                <w:kern w:val="0"/>
                <w:szCs w:val="21"/>
                <w:vertAlign w:val="superscript"/>
              </w:rPr>
              <w:t>***</w:t>
            </w:r>
          </w:p>
        </w:tc>
      </w:tr>
      <w:tr w:rsidR="009748DF" w:rsidRPr="00FD0D8E" w14:paraId="44BB8E4B" w14:textId="77777777" w:rsidTr="009748DF">
        <w:tc>
          <w:tcPr>
            <w:tcW w:w="1600" w:type="pct"/>
            <w:tcBorders>
              <w:top w:val="nil"/>
              <w:left w:val="nil"/>
              <w:bottom w:val="nil"/>
              <w:right w:val="nil"/>
            </w:tcBorders>
          </w:tcPr>
          <w:p w14:paraId="3B4ACD29"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7BEE6371" w14:textId="46D08DB8"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0EEA11DA" w14:textId="19F1EE31" w:rsidR="009748DF" w:rsidRPr="00FD0D8E" w:rsidRDefault="009748DF" w:rsidP="00C74EB6">
            <w:pPr>
              <w:autoSpaceDE w:val="0"/>
              <w:autoSpaceDN w:val="0"/>
              <w:adjustRightInd w:val="0"/>
              <w:jc w:val="center"/>
              <w:rPr>
                <w:kern w:val="0"/>
                <w:szCs w:val="21"/>
              </w:rPr>
            </w:pPr>
            <w:r w:rsidRPr="00FD0D8E">
              <w:rPr>
                <w:kern w:val="0"/>
                <w:szCs w:val="21"/>
              </w:rPr>
              <w:t>(0.002)</w:t>
            </w:r>
          </w:p>
        </w:tc>
      </w:tr>
      <w:tr w:rsidR="009748DF" w:rsidRPr="00FD0D8E" w14:paraId="37D1B173" w14:textId="77777777" w:rsidTr="009748DF">
        <w:tc>
          <w:tcPr>
            <w:tcW w:w="1600" w:type="pct"/>
            <w:tcBorders>
              <w:top w:val="nil"/>
              <w:left w:val="nil"/>
              <w:bottom w:val="nil"/>
              <w:right w:val="nil"/>
            </w:tcBorders>
          </w:tcPr>
          <w:p w14:paraId="6A4EB2A1" w14:textId="77777777" w:rsidR="009748DF" w:rsidRPr="00FD0D8E" w:rsidRDefault="009748DF" w:rsidP="00C74EB6">
            <w:pPr>
              <w:autoSpaceDE w:val="0"/>
              <w:autoSpaceDN w:val="0"/>
              <w:adjustRightInd w:val="0"/>
              <w:rPr>
                <w:kern w:val="0"/>
                <w:szCs w:val="21"/>
              </w:rPr>
            </w:pPr>
            <w:r w:rsidRPr="00FD0D8E">
              <w:rPr>
                <w:kern w:val="0"/>
                <w:szCs w:val="21"/>
              </w:rPr>
              <w:t>BH</w:t>
            </w:r>
          </w:p>
        </w:tc>
        <w:tc>
          <w:tcPr>
            <w:tcW w:w="1701" w:type="pct"/>
            <w:tcBorders>
              <w:top w:val="nil"/>
              <w:left w:val="nil"/>
              <w:bottom w:val="nil"/>
              <w:right w:val="nil"/>
            </w:tcBorders>
          </w:tcPr>
          <w:p w14:paraId="55284D0E" w14:textId="3F28CB90" w:rsidR="009748DF" w:rsidRPr="00FD0D8E" w:rsidRDefault="009748DF" w:rsidP="00C74EB6">
            <w:pPr>
              <w:autoSpaceDE w:val="0"/>
              <w:autoSpaceDN w:val="0"/>
              <w:adjustRightInd w:val="0"/>
              <w:jc w:val="center"/>
              <w:rPr>
                <w:kern w:val="0"/>
                <w:szCs w:val="21"/>
              </w:rPr>
            </w:pPr>
            <w:r w:rsidRPr="00FD0D8E">
              <w:rPr>
                <w:kern w:val="0"/>
                <w:szCs w:val="21"/>
              </w:rPr>
              <w:t>-0.003</w:t>
            </w:r>
            <w:r w:rsidRPr="00FD0D8E">
              <w:rPr>
                <w:kern w:val="0"/>
                <w:szCs w:val="21"/>
                <w:vertAlign w:val="superscript"/>
              </w:rPr>
              <w:t>***</w:t>
            </w:r>
          </w:p>
        </w:tc>
        <w:tc>
          <w:tcPr>
            <w:tcW w:w="1699" w:type="pct"/>
            <w:tcBorders>
              <w:top w:val="nil"/>
              <w:left w:val="nil"/>
              <w:bottom w:val="nil"/>
              <w:right w:val="nil"/>
            </w:tcBorders>
          </w:tcPr>
          <w:p w14:paraId="3A71B8F7" w14:textId="7971A98A" w:rsidR="009748DF" w:rsidRPr="00FD0D8E" w:rsidRDefault="009748DF" w:rsidP="00C74EB6">
            <w:pPr>
              <w:autoSpaceDE w:val="0"/>
              <w:autoSpaceDN w:val="0"/>
              <w:adjustRightInd w:val="0"/>
              <w:jc w:val="center"/>
              <w:rPr>
                <w:kern w:val="0"/>
                <w:szCs w:val="21"/>
              </w:rPr>
            </w:pPr>
            <w:r w:rsidRPr="00FD0D8E">
              <w:rPr>
                <w:kern w:val="0"/>
                <w:szCs w:val="21"/>
              </w:rPr>
              <w:t>-0.131</w:t>
            </w:r>
            <w:r w:rsidRPr="00FD0D8E">
              <w:rPr>
                <w:kern w:val="0"/>
                <w:szCs w:val="21"/>
                <w:vertAlign w:val="superscript"/>
              </w:rPr>
              <w:t>***</w:t>
            </w:r>
          </w:p>
        </w:tc>
      </w:tr>
      <w:tr w:rsidR="009748DF" w:rsidRPr="00FD0D8E" w14:paraId="7CAA1770" w14:textId="77777777" w:rsidTr="009748DF">
        <w:tc>
          <w:tcPr>
            <w:tcW w:w="1600" w:type="pct"/>
            <w:tcBorders>
              <w:top w:val="nil"/>
              <w:left w:val="nil"/>
              <w:bottom w:val="nil"/>
              <w:right w:val="nil"/>
            </w:tcBorders>
          </w:tcPr>
          <w:p w14:paraId="02915AD4"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0D109C4E" w14:textId="3D8F9A2D"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7C8E5D9C" w14:textId="4EBFB7EC" w:rsidR="009748DF" w:rsidRPr="00FD0D8E" w:rsidRDefault="009748DF" w:rsidP="00C74EB6">
            <w:pPr>
              <w:autoSpaceDE w:val="0"/>
              <w:autoSpaceDN w:val="0"/>
              <w:adjustRightInd w:val="0"/>
              <w:jc w:val="center"/>
              <w:rPr>
                <w:kern w:val="0"/>
                <w:szCs w:val="21"/>
              </w:rPr>
            </w:pPr>
            <w:r w:rsidRPr="00FD0D8E">
              <w:rPr>
                <w:kern w:val="0"/>
                <w:szCs w:val="21"/>
              </w:rPr>
              <w:t>(0.008)</w:t>
            </w:r>
          </w:p>
        </w:tc>
      </w:tr>
      <w:tr w:rsidR="009748DF" w:rsidRPr="00FD0D8E" w14:paraId="64F07345" w14:textId="77777777" w:rsidTr="009748DF">
        <w:tc>
          <w:tcPr>
            <w:tcW w:w="1600" w:type="pct"/>
            <w:tcBorders>
              <w:top w:val="nil"/>
              <w:left w:val="nil"/>
              <w:bottom w:val="nil"/>
              <w:right w:val="nil"/>
            </w:tcBorders>
          </w:tcPr>
          <w:p w14:paraId="245227F0" w14:textId="77777777" w:rsidR="009748DF" w:rsidRPr="00FD0D8E" w:rsidRDefault="009748DF" w:rsidP="00C74EB6">
            <w:pPr>
              <w:autoSpaceDE w:val="0"/>
              <w:autoSpaceDN w:val="0"/>
              <w:adjustRightInd w:val="0"/>
              <w:rPr>
                <w:kern w:val="0"/>
                <w:szCs w:val="21"/>
              </w:rPr>
            </w:pPr>
            <w:r w:rsidRPr="00FD0D8E">
              <w:rPr>
                <w:kern w:val="0"/>
                <w:szCs w:val="21"/>
              </w:rPr>
              <w:t>Big4</w:t>
            </w:r>
          </w:p>
        </w:tc>
        <w:tc>
          <w:tcPr>
            <w:tcW w:w="1701" w:type="pct"/>
            <w:tcBorders>
              <w:top w:val="nil"/>
              <w:left w:val="nil"/>
              <w:bottom w:val="nil"/>
              <w:right w:val="nil"/>
            </w:tcBorders>
          </w:tcPr>
          <w:p w14:paraId="7CCB44DA" w14:textId="190092F3"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0B8E160C" w14:textId="0D978A60" w:rsidR="009748DF" w:rsidRPr="00FD0D8E" w:rsidRDefault="009748DF" w:rsidP="00C74EB6">
            <w:pPr>
              <w:autoSpaceDE w:val="0"/>
              <w:autoSpaceDN w:val="0"/>
              <w:adjustRightInd w:val="0"/>
              <w:jc w:val="center"/>
              <w:rPr>
                <w:kern w:val="0"/>
                <w:szCs w:val="21"/>
              </w:rPr>
            </w:pPr>
            <w:r w:rsidRPr="00FD0D8E">
              <w:rPr>
                <w:kern w:val="0"/>
                <w:szCs w:val="21"/>
              </w:rPr>
              <w:t>0.093</w:t>
            </w:r>
            <w:r w:rsidRPr="00FD0D8E">
              <w:rPr>
                <w:kern w:val="0"/>
                <w:szCs w:val="21"/>
                <w:vertAlign w:val="superscript"/>
              </w:rPr>
              <w:t>***</w:t>
            </w:r>
          </w:p>
        </w:tc>
      </w:tr>
      <w:tr w:rsidR="009748DF" w:rsidRPr="00FD0D8E" w14:paraId="7993C641" w14:textId="77777777" w:rsidTr="009748DF">
        <w:tc>
          <w:tcPr>
            <w:tcW w:w="1600" w:type="pct"/>
            <w:tcBorders>
              <w:top w:val="nil"/>
              <w:left w:val="nil"/>
              <w:bottom w:val="nil"/>
              <w:right w:val="nil"/>
            </w:tcBorders>
          </w:tcPr>
          <w:p w14:paraId="7782FEA5"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1F88B431" w14:textId="4451E8D7" w:rsidR="009748DF" w:rsidRPr="00FD0D8E" w:rsidRDefault="009748DF"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698DA22F" w14:textId="7EC76732" w:rsidR="009748DF" w:rsidRPr="00FD0D8E" w:rsidRDefault="009748DF" w:rsidP="00C74EB6">
            <w:pPr>
              <w:autoSpaceDE w:val="0"/>
              <w:autoSpaceDN w:val="0"/>
              <w:adjustRightInd w:val="0"/>
              <w:jc w:val="center"/>
              <w:rPr>
                <w:kern w:val="0"/>
                <w:szCs w:val="21"/>
              </w:rPr>
            </w:pPr>
            <w:r w:rsidRPr="00FD0D8E">
              <w:rPr>
                <w:kern w:val="0"/>
                <w:szCs w:val="21"/>
              </w:rPr>
              <w:t>(0.010)</w:t>
            </w:r>
          </w:p>
        </w:tc>
      </w:tr>
      <w:tr w:rsidR="009748DF" w:rsidRPr="00FD0D8E" w14:paraId="5BE25C3C" w14:textId="77777777" w:rsidTr="009748DF">
        <w:tc>
          <w:tcPr>
            <w:tcW w:w="1600" w:type="pct"/>
            <w:tcBorders>
              <w:top w:val="nil"/>
              <w:left w:val="nil"/>
              <w:bottom w:val="nil"/>
              <w:right w:val="nil"/>
            </w:tcBorders>
          </w:tcPr>
          <w:p w14:paraId="35299C02" w14:textId="77777777" w:rsidR="009748DF" w:rsidRPr="00FD0D8E" w:rsidRDefault="009748DF" w:rsidP="00C74EB6">
            <w:pPr>
              <w:autoSpaceDE w:val="0"/>
              <w:autoSpaceDN w:val="0"/>
              <w:adjustRightInd w:val="0"/>
              <w:rPr>
                <w:kern w:val="0"/>
                <w:szCs w:val="21"/>
              </w:rPr>
            </w:pPr>
            <w:r w:rsidRPr="00FD0D8E">
              <w:rPr>
                <w:kern w:val="0"/>
                <w:szCs w:val="21"/>
              </w:rPr>
              <w:t>Lev</w:t>
            </w:r>
          </w:p>
        </w:tc>
        <w:tc>
          <w:tcPr>
            <w:tcW w:w="1701" w:type="pct"/>
            <w:tcBorders>
              <w:top w:val="nil"/>
              <w:left w:val="nil"/>
              <w:bottom w:val="nil"/>
              <w:right w:val="nil"/>
            </w:tcBorders>
          </w:tcPr>
          <w:p w14:paraId="394B7A0B" w14:textId="624B2C74" w:rsidR="009748DF" w:rsidRPr="00FD0D8E" w:rsidRDefault="009748DF" w:rsidP="00C74EB6">
            <w:pPr>
              <w:autoSpaceDE w:val="0"/>
              <w:autoSpaceDN w:val="0"/>
              <w:adjustRightInd w:val="0"/>
              <w:jc w:val="center"/>
              <w:rPr>
                <w:kern w:val="0"/>
                <w:szCs w:val="21"/>
              </w:rPr>
            </w:pPr>
            <w:r w:rsidRPr="00FD0D8E">
              <w:rPr>
                <w:kern w:val="0"/>
                <w:szCs w:val="21"/>
              </w:rPr>
              <w:t>0.014</w:t>
            </w:r>
            <w:r w:rsidRPr="00FD0D8E">
              <w:rPr>
                <w:kern w:val="0"/>
                <w:szCs w:val="21"/>
                <w:vertAlign w:val="superscript"/>
              </w:rPr>
              <w:t>***</w:t>
            </w:r>
          </w:p>
        </w:tc>
        <w:tc>
          <w:tcPr>
            <w:tcW w:w="1699" w:type="pct"/>
            <w:tcBorders>
              <w:top w:val="nil"/>
              <w:left w:val="nil"/>
              <w:bottom w:val="nil"/>
              <w:right w:val="nil"/>
            </w:tcBorders>
          </w:tcPr>
          <w:p w14:paraId="4F892878" w14:textId="176E2661" w:rsidR="009748DF" w:rsidRPr="00FD0D8E" w:rsidRDefault="009748DF" w:rsidP="00C74EB6">
            <w:pPr>
              <w:autoSpaceDE w:val="0"/>
              <w:autoSpaceDN w:val="0"/>
              <w:adjustRightInd w:val="0"/>
              <w:jc w:val="center"/>
              <w:rPr>
                <w:kern w:val="0"/>
                <w:szCs w:val="21"/>
              </w:rPr>
            </w:pPr>
            <w:r w:rsidRPr="00FD0D8E">
              <w:rPr>
                <w:kern w:val="0"/>
                <w:szCs w:val="21"/>
              </w:rPr>
              <w:t>0.107</w:t>
            </w:r>
            <w:r w:rsidRPr="00FD0D8E">
              <w:rPr>
                <w:kern w:val="0"/>
                <w:szCs w:val="21"/>
                <w:vertAlign w:val="superscript"/>
              </w:rPr>
              <w:t>***</w:t>
            </w:r>
          </w:p>
        </w:tc>
      </w:tr>
      <w:tr w:rsidR="009748DF" w:rsidRPr="00FD0D8E" w14:paraId="5E3A357C" w14:textId="77777777" w:rsidTr="009748DF">
        <w:tc>
          <w:tcPr>
            <w:tcW w:w="1600" w:type="pct"/>
            <w:tcBorders>
              <w:top w:val="nil"/>
              <w:left w:val="nil"/>
              <w:bottom w:val="nil"/>
              <w:right w:val="nil"/>
            </w:tcBorders>
          </w:tcPr>
          <w:p w14:paraId="15F93F11"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7C4FC385" w14:textId="72350C92" w:rsidR="009748DF" w:rsidRPr="00FD0D8E" w:rsidRDefault="009748DF"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5497CA56" w14:textId="0FC40890" w:rsidR="009748DF" w:rsidRPr="00FD0D8E" w:rsidRDefault="009748DF" w:rsidP="00C74EB6">
            <w:pPr>
              <w:autoSpaceDE w:val="0"/>
              <w:autoSpaceDN w:val="0"/>
              <w:adjustRightInd w:val="0"/>
              <w:jc w:val="center"/>
              <w:rPr>
                <w:kern w:val="0"/>
                <w:szCs w:val="21"/>
              </w:rPr>
            </w:pPr>
            <w:r w:rsidRPr="00FD0D8E">
              <w:rPr>
                <w:kern w:val="0"/>
                <w:szCs w:val="21"/>
              </w:rPr>
              <w:t>(0.022)</w:t>
            </w:r>
          </w:p>
        </w:tc>
      </w:tr>
      <w:tr w:rsidR="009748DF" w:rsidRPr="00FD0D8E" w14:paraId="3BE68F7B" w14:textId="77777777" w:rsidTr="009748DF">
        <w:tc>
          <w:tcPr>
            <w:tcW w:w="1600" w:type="pct"/>
            <w:tcBorders>
              <w:top w:val="nil"/>
              <w:left w:val="nil"/>
              <w:bottom w:val="nil"/>
              <w:right w:val="nil"/>
            </w:tcBorders>
          </w:tcPr>
          <w:p w14:paraId="7A22B3A1" w14:textId="77777777" w:rsidR="009748DF" w:rsidRPr="00FD0D8E" w:rsidRDefault="009748DF" w:rsidP="00C74EB6">
            <w:pPr>
              <w:autoSpaceDE w:val="0"/>
              <w:autoSpaceDN w:val="0"/>
              <w:adjustRightInd w:val="0"/>
              <w:rPr>
                <w:kern w:val="0"/>
                <w:szCs w:val="21"/>
              </w:rPr>
            </w:pPr>
            <w:r w:rsidRPr="00FD0D8E">
              <w:rPr>
                <w:kern w:val="0"/>
                <w:szCs w:val="21"/>
              </w:rPr>
              <w:t>FTA</w:t>
            </w:r>
          </w:p>
        </w:tc>
        <w:tc>
          <w:tcPr>
            <w:tcW w:w="1701" w:type="pct"/>
            <w:tcBorders>
              <w:top w:val="nil"/>
              <w:left w:val="nil"/>
              <w:bottom w:val="nil"/>
              <w:right w:val="nil"/>
            </w:tcBorders>
          </w:tcPr>
          <w:p w14:paraId="0A08EBA4" w14:textId="6954B730" w:rsidR="009748DF" w:rsidRPr="00FD0D8E" w:rsidRDefault="009748DF" w:rsidP="00C74EB6">
            <w:pPr>
              <w:autoSpaceDE w:val="0"/>
              <w:autoSpaceDN w:val="0"/>
              <w:adjustRightInd w:val="0"/>
              <w:jc w:val="center"/>
              <w:rPr>
                <w:kern w:val="0"/>
                <w:szCs w:val="21"/>
              </w:rPr>
            </w:pPr>
            <w:r w:rsidRPr="00FD0D8E">
              <w:rPr>
                <w:kern w:val="0"/>
                <w:szCs w:val="21"/>
              </w:rPr>
              <w:t>-0.023</w:t>
            </w:r>
            <w:r w:rsidRPr="00FD0D8E">
              <w:rPr>
                <w:kern w:val="0"/>
                <w:szCs w:val="21"/>
                <w:vertAlign w:val="superscript"/>
              </w:rPr>
              <w:t>***</w:t>
            </w:r>
          </w:p>
        </w:tc>
        <w:tc>
          <w:tcPr>
            <w:tcW w:w="1699" w:type="pct"/>
            <w:tcBorders>
              <w:top w:val="nil"/>
              <w:left w:val="nil"/>
              <w:bottom w:val="nil"/>
              <w:right w:val="nil"/>
            </w:tcBorders>
          </w:tcPr>
          <w:p w14:paraId="4CB44C79" w14:textId="1FD2EBDE" w:rsidR="009748DF" w:rsidRPr="00FD0D8E" w:rsidRDefault="009748DF" w:rsidP="00C74EB6">
            <w:pPr>
              <w:autoSpaceDE w:val="0"/>
              <w:autoSpaceDN w:val="0"/>
              <w:adjustRightInd w:val="0"/>
              <w:jc w:val="center"/>
              <w:rPr>
                <w:kern w:val="0"/>
                <w:szCs w:val="21"/>
              </w:rPr>
            </w:pPr>
            <w:r w:rsidRPr="00FD0D8E">
              <w:rPr>
                <w:kern w:val="0"/>
                <w:szCs w:val="21"/>
              </w:rPr>
              <w:t>-0.120</w:t>
            </w:r>
            <w:r w:rsidRPr="00FD0D8E">
              <w:rPr>
                <w:kern w:val="0"/>
                <w:szCs w:val="21"/>
                <w:vertAlign w:val="superscript"/>
              </w:rPr>
              <w:t>***</w:t>
            </w:r>
          </w:p>
        </w:tc>
      </w:tr>
      <w:tr w:rsidR="009748DF" w:rsidRPr="00FD0D8E" w14:paraId="6FAA4A18" w14:textId="77777777" w:rsidTr="009748DF">
        <w:tc>
          <w:tcPr>
            <w:tcW w:w="1600" w:type="pct"/>
            <w:tcBorders>
              <w:top w:val="nil"/>
              <w:left w:val="nil"/>
              <w:bottom w:val="nil"/>
              <w:right w:val="nil"/>
            </w:tcBorders>
          </w:tcPr>
          <w:p w14:paraId="171B2D24"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6752CC13" w14:textId="3649394E" w:rsidR="009748DF" w:rsidRPr="00FD0D8E" w:rsidRDefault="009748DF"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3DA14A40" w14:textId="598297B5" w:rsidR="009748DF" w:rsidRPr="00FD0D8E" w:rsidRDefault="009748DF" w:rsidP="00C74EB6">
            <w:pPr>
              <w:autoSpaceDE w:val="0"/>
              <w:autoSpaceDN w:val="0"/>
              <w:adjustRightInd w:val="0"/>
              <w:jc w:val="center"/>
              <w:rPr>
                <w:kern w:val="0"/>
                <w:szCs w:val="21"/>
              </w:rPr>
            </w:pPr>
            <w:r w:rsidRPr="00FD0D8E">
              <w:rPr>
                <w:kern w:val="0"/>
                <w:szCs w:val="21"/>
              </w:rPr>
              <w:t>(0.018)</w:t>
            </w:r>
          </w:p>
        </w:tc>
      </w:tr>
      <w:tr w:rsidR="009748DF" w:rsidRPr="00FD0D8E" w14:paraId="58313A32" w14:textId="77777777" w:rsidTr="009748DF">
        <w:tc>
          <w:tcPr>
            <w:tcW w:w="1600" w:type="pct"/>
            <w:tcBorders>
              <w:top w:val="nil"/>
              <w:left w:val="nil"/>
              <w:bottom w:val="nil"/>
              <w:right w:val="nil"/>
            </w:tcBorders>
          </w:tcPr>
          <w:p w14:paraId="72E97A8B" w14:textId="77777777" w:rsidR="009748DF" w:rsidRPr="00FD0D8E" w:rsidRDefault="009748DF" w:rsidP="00C74EB6">
            <w:pPr>
              <w:autoSpaceDE w:val="0"/>
              <w:autoSpaceDN w:val="0"/>
              <w:adjustRightInd w:val="0"/>
              <w:rPr>
                <w:kern w:val="0"/>
                <w:szCs w:val="21"/>
              </w:rPr>
            </w:pPr>
            <w:r w:rsidRPr="00FD0D8E">
              <w:rPr>
                <w:kern w:val="0"/>
                <w:szCs w:val="21"/>
              </w:rPr>
              <w:t>Cash</w:t>
            </w:r>
          </w:p>
        </w:tc>
        <w:tc>
          <w:tcPr>
            <w:tcW w:w="1701" w:type="pct"/>
            <w:tcBorders>
              <w:top w:val="nil"/>
              <w:left w:val="nil"/>
              <w:bottom w:val="nil"/>
              <w:right w:val="nil"/>
            </w:tcBorders>
          </w:tcPr>
          <w:p w14:paraId="199FFA89" w14:textId="4CDE7517" w:rsidR="009748DF" w:rsidRPr="00FD0D8E" w:rsidRDefault="009748DF" w:rsidP="00C74EB6">
            <w:pPr>
              <w:autoSpaceDE w:val="0"/>
              <w:autoSpaceDN w:val="0"/>
              <w:adjustRightInd w:val="0"/>
              <w:jc w:val="center"/>
              <w:rPr>
                <w:kern w:val="0"/>
                <w:szCs w:val="21"/>
              </w:rPr>
            </w:pPr>
            <w:r w:rsidRPr="00FD0D8E">
              <w:rPr>
                <w:kern w:val="0"/>
                <w:szCs w:val="21"/>
              </w:rPr>
              <w:t>-0.006</w:t>
            </w:r>
            <w:r w:rsidRPr="00FD0D8E">
              <w:rPr>
                <w:kern w:val="0"/>
                <w:szCs w:val="21"/>
                <w:vertAlign w:val="superscript"/>
              </w:rPr>
              <w:t>***</w:t>
            </w:r>
          </w:p>
        </w:tc>
        <w:tc>
          <w:tcPr>
            <w:tcW w:w="1699" w:type="pct"/>
            <w:tcBorders>
              <w:top w:val="nil"/>
              <w:left w:val="nil"/>
              <w:bottom w:val="nil"/>
              <w:right w:val="nil"/>
            </w:tcBorders>
          </w:tcPr>
          <w:p w14:paraId="28A189D3" w14:textId="412FA210" w:rsidR="009748DF" w:rsidRPr="00FD0D8E" w:rsidRDefault="009748DF" w:rsidP="00C74EB6">
            <w:pPr>
              <w:autoSpaceDE w:val="0"/>
              <w:autoSpaceDN w:val="0"/>
              <w:adjustRightInd w:val="0"/>
              <w:jc w:val="center"/>
              <w:rPr>
                <w:kern w:val="0"/>
                <w:szCs w:val="21"/>
              </w:rPr>
            </w:pPr>
            <w:r w:rsidRPr="00FD0D8E">
              <w:rPr>
                <w:kern w:val="0"/>
                <w:szCs w:val="21"/>
              </w:rPr>
              <w:t>0.006</w:t>
            </w:r>
          </w:p>
        </w:tc>
      </w:tr>
      <w:tr w:rsidR="009748DF" w:rsidRPr="00FD0D8E" w14:paraId="00C9B2F6" w14:textId="77777777" w:rsidTr="009748DF">
        <w:tc>
          <w:tcPr>
            <w:tcW w:w="1600" w:type="pct"/>
            <w:tcBorders>
              <w:top w:val="nil"/>
              <w:left w:val="nil"/>
              <w:bottom w:val="nil"/>
              <w:right w:val="nil"/>
            </w:tcBorders>
          </w:tcPr>
          <w:p w14:paraId="73926222"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0CEA1638" w14:textId="3BA39C3C" w:rsidR="009748DF" w:rsidRPr="00FD0D8E" w:rsidRDefault="009748DF"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727154A8" w14:textId="6BADB175" w:rsidR="009748DF" w:rsidRPr="00FD0D8E" w:rsidRDefault="009748DF" w:rsidP="00C74EB6">
            <w:pPr>
              <w:autoSpaceDE w:val="0"/>
              <w:autoSpaceDN w:val="0"/>
              <w:adjustRightInd w:val="0"/>
              <w:jc w:val="center"/>
              <w:rPr>
                <w:kern w:val="0"/>
                <w:szCs w:val="21"/>
              </w:rPr>
            </w:pPr>
            <w:r w:rsidRPr="00FD0D8E">
              <w:rPr>
                <w:kern w:val="0"/>
                <w:szCs w:val="21"/>
              </w:rPr>
              <w:t>(0.013)</w:t>
            </w:r>
          </w:p>
        </w:tc>
      </w:tr>
      <w:tr w:rsidR="009748DF" w:rsidRPr="00FD0D8E" w14:paraId="1BFAAF71" w14:textId="77777777" w:rsidTr="009748DF">
        <w:tc>
          <w:tcPr>
            <w:tcW w:w="1600" w:type="pct"/>
            <w:tcBorders>
              <w:top w:val="nil"/>
              <w:left w:val="nil"/>
              <w:bottom w:val="nil"/>
              <w:right w:val="nil"/>
            </w:tcBorders>
          </w:tcPr>
          <w:p w14:paraId="54E339A5" w14:textId="77777777" w:rsidR="009748DF" w:rsidRPr="00FD0D8E" w:rsidRDefault="009748DF" w:rsidP="00C74EB6">
            <w:pPr>
              <w:autoSpaceDE w:val="0"/>
              <w:autoSpaceDN w:val="0"/>
              <w:adjustRightInd w:val="0"/>
              <w:rPr>
                <w:kern w:val="0"/>
                <w:szCs w:val="21"/>
              </w:rPr>
            </w:pPr>
            <w:r w:rsidRPr="00FD0D8E">
              <w:rPr>
                <w:kern w:val="0"/>
                <w:szCs w:val="21"/>
              </w:rPr>
              <w:t>Volatility</w:t>
            </w:r>
          </w:p>
        </w:tc>
        <w:tc>
          <w:tcPr>
            <w:tcW w:w="1701" w:type="pct"/>
            <w:tcBorders>
              <w:top w:val="nil"/>
              <w:left w:val="nil"/>
              <w:bottom w:val="nil"/>
              <w:right w:val="nil"/>
            </w:tcBorders>
          </w:tcPr>
          <w:p w14:paraId="7970A5AE" w14:textId="32354F2A" w:rsidR="009748DF" w:rsidRPr="00FD0D8E" w:rsidRDefault="009748DF" w:rsidP="00C74EB6">
            <w:pPr>
              <w:autoSpaceDE w:val="0"/>
              <w:autoSpaceDN w:val="0"/>
              <w:adjustRightInd w:val="0"/>
              <w:jc w:val="center"/>
              <w:rPr>
                <w:kern w:val="0"/>
                <w:szCs w:val="21"/>
              </w:rPr>
            </w:pPr>
            <w:r w:rsidRPr="00FD0D8E">
              <w:rPr>
                <w:kern w:val="0"/>
                <w:szCs w:val="21"/>
              </w:rPr>
              <w:t>0.003</w:t>
            </w:r>
          </w:p>
        </w:tc>
        <w:tc>
          <w:tcPr>
            <w:tcW w:w="1699" w:type="pct"/>
            <w:tcBorders>
              <w:top w:val="nil"/>
              <w:left w:val="nil"/>
              <w:bottom w:val="nil"/>
              <w:right w:val="nil"/>
            </w:tcBorders>
          </w:tcPr>
          <w:p w14:paraId="5F8C147C" w14:textId="53E0EE0C" w:rsidR="009748DF" w:rsidRPr="00FD0D8E" w:rsidRDefault="009748DF" w:rsidP="00C74EB6">
            <w:pPr>
              <w:autoSpaceDE w:val="0"/>
              <w:autoSpaceDN w:val="0"/>
              <w:adjustRightInd w:val="0"/>
              <w:jc w:val="center"/>
              <w:rPr>
                <w:kern w:val="0"/>
                <w:szCs w:val="21"/>
              </w:rPr>
            </w:pPr>
            <w:r w:rsidRPr="00FD0D8E">
              <w:rPr>
                <w:kern w:val="0"/>
                <w:szCs w:val="21"/>
              </w:rPr>
              <w:t>0.225</w:t>
            </w:r>
            <w:r w:rsidRPr="00FD0D8E">
              <w:rPr>
                <w:kern w:val="0"/>
                <w:szCs w:val="21"/>
                <w:vertAlign w:val="superscript"/>
              </w:rPr>
              <w:t>***</w:t>
            </w:r>
          </w:p>
        </w:tc>
      </w:tr>
      <w:tr w:rsidR="009748DF" w:rsidRPr="00FD0D8E" w14:paraId="406E2367" w14:textId="77777777" w:rsidTr="009748DF">
        <w:tc>
          <w:tcPr>
            <w:tcW w:w="1600" w:type="pct"/>
            <w:tcBorders>
              <w:top w:val="nil"/>
              <w:left w:val="nil"/>
              <w:bottom w:val="nil"/>
              <w:right w:val="nil"/>
            </w:tcBorders>
          </w:tcPr>
          <w:p w14:paraId="7B294615"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3B36A8C8" w14:textId="7D417053" w:rsidR="009748DF" w:rsidRPr="00FD0D8E" w:rsidRDefault="009748DF" w:rsidP="00C74EB6">
            <w:pPr>
              <w:autoSpaceDE w:val="0"/>
              <w:autoSpaceDN w:val="0"/>
              <w:adjustRightInd w:val="0"/>
              <w:jc w:val="center"/>
              <w:rPr>
                <w:kern w:val="0"/>
                <w:szCs w:val="21"/>
              </w:rPr>
            </w:pPr>
            <w:r w:rsidRPr="00FD0D8E">
              <w:rPr>
                <w:kern w:val="0"/>
                <w:szCs w:val="21"/>
              </w:rPr>
              <w:t>(0.003)</w:t>
            </w:r>
          </w:p>
        </w:tc>
        <w:tc>
          <w:tcPr>
            <w:tcW w:w="1699" w:type="pct"/>
            <w:tcBorders>
              <w:top w:val="nil"/>
              <w:left w:val="nil"/>
              <w:bottom w:val="nil"/>
              <w:right w:val="nil"/>
            </w:tcBorders>
          </w:tcPr>
          <w:p w14:paraId="0505893A" w14:textId="1CC2A67B" w:rsidR="009748DF" w:rsidRPr="00FD0D8E" w:rsidRDefault="009748DF" w:rsidP="00C74EB6">
            <w:pPr>
              <w:autoSpaceDE w:val="0"/>
              <w:autoSpaceDN w:val="0"/>
              <w:adjustRightInd w:val="0"/>
              <w:jc w:val="center"/>
              <w:rPr>
                <w:kern w:val="0"/>
                <w:szCs w:val="21"/>
              </w:rPr>
            </w:pPr>
            <w:r w:rsidRPr="00FD0D8E">
              <w:rPr>
                <w:kern w:val="0"/>
                <w:szCs w:val="21"/>
              </w:rPr>
              <w:t>(0.057)</w:t>
            </w:r>
          </w:p>
        </w:tc>
      </w:tr>
      <w:tr w:rsidR="009748DF" w:rsidRPr="00FD0D8E" w14:paraId="316D4A41" w14:textId="77777777" w:rsidTr="009748DF">
        <w:tc>
          <w:tcPr>
            <w:tcW w:w="1600" w:type="pct"/>
            <w:tcBorders>
              <w:top w:val="nil"/>
              <w:left w:val="nil"/>
              <w:bottom w:val="nil"/>
              <w:right w:val="nil"/>
            </w:tcBorders>
          </w:tcPr>
          <w:p w14:paraId="5C50FC22" w14:textId="77777777" w:rsidR="009748DF" w:rsidRPr="00FD0D8E" w:rsidRDefault="009748DF" w:rsidP="00C74EB6">
            <w:pPr>
              <w:autoSpaceDE w:val="0"/>
              <w:autoSpaceDN w:val="0"/>
              <w:adjustRightInd w:val="0"/>
              <w:rPr>
                <w:kern w:val="0"/>
                <w:szCs w:val="21"/>
              </w:rPr>
            </w:pPr>
            <w:r w:rsidRPr="00FD0D8E">
              <w:rPr>
                <w:kern w:val="0"/>
                <w:szCs w:val="21"/>
              </w:rPr>
              <w:t>PB</w:t>
            </w:r>
          </w:p>
        </w:tc>
        <w:tc>
          <w:tcPr>
            <w:tcW w:w="1701" w:type="pct"/>
            <w:tcBorders>
              <w:top w:val="nil"/>
              <w:left w:val="nil"/>
              <w:bottom w:val="nil"/>
              <w:right w:val="nil"/>
            </w:tcBorders>
          </w:tcPr>
          <w:p w14:paraId="68BBBAB5" w14:textId="713A1E1D" w:rsidR="009748DF" w:rsidRPr="00FD0D8E" w:rsidRDefault="009748DF" w:rsidP="00C74EB6">
            <w:pPr>
              <w:autoSpaceDE w:val="0"/>
              <w:autoSpaceDN w:val="0"/>
              <w:adjustRightInd w:val="0"/>
              <w:jc w:val="center"/>
              <w:rPr>
                <w:kern w:val="0"/>
                <w:szCs w:val="21"/>
              </w:rPr>
            </w:pPr>
            <w:r w:rsidRPr="00FD0D8E">
              <w:rPr>
                <w:kern w:val="0"/>
                <w:szCs w:val="21"/>
              </w:rPr>
              <w:t>0.000</w:t>
            </w:r>
            <w:r w:rsidRPr="00FD0D8E">
              <w:rPr>
                <w:kern w:val="0"/>
                <w:szCs w:val="21"/>
                <w:vertAlign w:val="superscript"/>
              </w:rPr>
              <w:t>*</w:t>
            </w:r>
          </w:p>
        </w:tc>
        <w:tc>
          <w:tcPr>
            <w:tcW w:w="1699" w:type="pct"/>
            <w:tcBorders>
              <w:top w:val="nil"/>
              <w:left w:val="nil"/>
              <w:bottom w:val="nil"/>
              <w:right w:val="nil"/>
            </w:tcBorders>
          </w:tcPr>
          <w:p w14:paraId="0241CD4A" w14:textId="3929970C" w:rsidR="009748DF" w:rsidRPr="00FD0D8E" w:rsidRDefault="009748DF" w:rsidP="00C74EB6">
            <w:pPr>
              <w:autoSpaceDE w:val="0"/>
              <w:autoSpaceDN w:val="0"/>
              <w:adjustRightInd w:val="0"/>
              <w:jc w:val="center"/>
              <w:rPr>
                <w:kern w:val="0"/>
                <w:szCs w:val="21"/>
              </w:rPr>
            </w:pPr>
            <w:r w:rsidRPr="00FD0D8E">
              <w:rPr>
                <w:kern w:val="0"/>
                <w:szCs w:val="21"/>
              </w:rPr>
              <w:t>0.001</w:t>
            </w:r>
          </w:p>
        </w:tc>
      </w:tr>
      <w:tr w:rsidR="009748DF" w:rsidRPr="00FD0D8E" w14:paraId="31A31A9D" w14:textId="77777777" w:rsidTr="009748DF">
        <w:tc>
          <w:tcPr>
            <w:tcW w:w="1600" w:type="pct"/>
            <w:tcBorders>
              <w:top w:val="nil"/>
              <w:left w:val="nil"/>
              <w:bottom w:val="nil"/>
              <w:right w:val="nil"/>
            </w:tcBorders>
          </w:tcPr>
          <w:p w14:paraId="48C66633"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31A2B75A" w14:textId="33C0D0D2"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7AC9FAB0" w14:textId="5BC2CC79" w:rsidR="009748DF" w:rsidRPr="00FD0D8E" w:rsidRDefault="009748DF" w:rsidP="00C74EB6">
            <w:pPr>
              <w:autoSpaceDE w:val="0"/>
              <w:autoSpaceDN w:val="0"/>
              <w:adjustRightInd w:val="0"/>
              <w:jc w:val="center"/>
              <w:rPr>
                <w:kern w:val="0"/>
                <w:szCs w:val="21"/>
              </w:rPr>
            </w:pPr>
            <w:r w:rsidRPr="00FD0D8E">
              <w:rPr>
                <w:kern w:val="0"/>
                <w:szCs w:val="21"/>
              </w:rPr>
              <w:t>(0.003)</w:t>
            </w:r>
          </w:p>
        </w:tc>
      </w:tr>
      <w:tr w:rsidR="009748DF" w:rsidRPr="00FD0D8E" w14:paraId="2B26C02B" w14:textId="77777777" w:rsidTr="009748DF">
        <w:tc>
          <w:tcPr>
            <w:tcW w:w="1600" w:type="pct"/>
            <w:tcBorders>
              <w:top w:val="nil"/>
              <w:left w:val="nil"/>
              <w:bottom w:val="nil"/>
              <w:right w:val="nil"/>
            </w:tcBorders>
          </w:tcPr>
          <w:p w14:paraId="5940C96F" w14:textId="77777777" w:rsidR="009748DF" w:rsidRPr="00FD0D8E" w:rsidRDefault="009748DF" w:rsidP="00C74EB6">
            <w:pPr>
              <w:autoSpaceDE w:val="0"/>
              <w:autoSpaceDN w:val="0"/>
              <w:adjustRightInd w:val="0"/>
              <w:rPr>
                <w:kern w:val="0"/>
                <w:szCs w:val="21"/>
              </w:rPr>
            </w:pPr>
            <w:proofErr w:type="spellStart"/>
            <w:r w:rsidRPr="00FD0D8E">
              <w:rPr>
                <w:kern w:val="0"/>
                <w:szCs w:val="21"/>
              </w:rPr>
              <w:t>GrowthRev</w:t>
            </w:r>
            <w:proofErr w:type="spellEnd"/>
          </w:p>
        </w:tc>
        <w:tc>
          <w:tcPr>
            <w:tcW w:w="1701" w:type="pct"/>
            <w:tcBorders>
              <w:top w:val="nil"/>
              <w:left w:val="nil"/>
              <w:bottom w:val="nil"/>
              <w:right w:val="nil"/>
            </w:tcBorders>
          </w:tcPr>
          <w:p w14:paraId="33E16087" w14:textId="38149723"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1BEE9715" w14:textId="218CE424" w:rsidR="009748DF" w:rsidRPr="00FD0D8E" w:rsidRDefault="009748DF"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r>
      <w:tr w:rsidR="009748DF" w:rsidRPr="00FD0D8E" w14:paraId="530467C0" w14:textId="77777777" w:rsidTr="009748DF">
        <w:tc>
          <w:tcPr>
            <w:tcW w:w="1600" w:type="pct"/>
            <w:tcBorders>
              <w:top w:val="nil"/>
              <w:left w:val="nil"/>
              <w:bottom w:val="nil"/>
              <w:right w:val="nil"/>
            </w:tcBorders>
          </w:tcPr>
          <w:p w14:paraId="08A70CAA"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33E348C6" w14:textId="05C7B64E"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0A1E99F1" w14:textId="1D289C5B" w:rsidR="009748DF" w:rsidRPr="00FD0D8E" w:rsidRDefault="009748DF" w:rsidP="00C74EB6">
            <w:pPr>
              <w:autoSpaceDE w:val="0"/>
              <w:autoSpaceDN w:val="0"/>
              <w:adjustRightInd w:val="0"/>
              <w:jc w:val="center"/>
              <w:rPr>
                <w:kern w:val="0"/>
                <w:szCs w:val="21"/>
              </w:rPr>
            </w:pPr>
            <w:r w:rsidRPr="00FD0D8E">
              <w:rPr>
                <w:kern w:val="0"/>
                <w:szCs w:val="21"/>
              </w:rPr>
              <w:t>(0.007)</w:t>
            </w:r>
          </w:p>
        </w:tc>
      </w:tr>
      <w:tr w:rsidR="009748DF" w:rsidRPr="00FD0D8E" w14:paraId="6CED5C5F" w14:textId="77777777" w:rsidTr="009748DF">
        <w:tc>
          <w:tcPr>
            <w:tcW w:w="1600" w:type="pct"/>
            <w:tcBorders>
              <w:top w:val="nil"/>
              <w:left w:val="nil"/>
              <w:bottom w:val="nil"/>
              <w:right w:val="nil"/>
            </w:tcBorders>
          </w:tcPr>
          <w:p w14:paraId="6B0D093D" w14:textId="77777777" w:rsidR="009748DF" w:rsidRPr="00FD0D8E" w:rsidRDefault="009748DF" w:rsidP="00C74EB6">
            <w:pPr>
              <w:autoSpaceDE w:val="0"/>
              <w:autoSpaceDN w:val="0"/>
              <w:adjustRightInd w:val="0"/>
              <w:rPr>
                <w:kern w:val="0"/>
                <w:szCs w:val="21"/>
              </w:rPr>
            </w:pPr>
            <w:r w:rsidRPr="00FD0D8E">
              <w:rPr>
                <w:kern w:val="0"/>
                <w:szCs w:val="21"/>
              </w:rPr>
              <w:t>ROA</w:t>
            </w:r>
          </w:p>
        </w:tc>
        <w:tc>
          <w:tcPr>
            <w:tcW w:w="1701" w:type="pct"/>
            <w:tcBorders>
              <w:top w:val="nil"/>
              <w:left w:val="nil"/>
              <w:bottom w:val="nil"/>
              <w:right w:val="nil"/>
            </w:tcBorders>
          </w:tcPr>
          <w:p w14:paraId="1C98E667" w14:textId="55450CFC" w:rsidR="009748DF" w:rsidRPr="00FD0D8E" w:rsidRDefault="009748DF" w:rsidP="00C74EB6">
            <w:pPr>
              <w:autoSpaceDE w:val="0"/>
              <w:autoSpaceDN w:val="0"/>
              <w:adjustRightInd w:val="0"/>
              <w:jc w:val="center"/>
              <w:rPr>
                <w:kern w:val="0"/>
                <w:szCs w:val="21"/>
              </w:rPr>
            </w:pPr>
            <w:r w:rsidRPr="00FD0D8E">
              <w:rPr>
                <w:kern w:val="0"/>
                <w:szCs w:val="21"/>
              </w:rPr>
              <w:t>-0.052</w:t>
            </w:r>
            <w:r w:rsidRPr="00FD0D8E">
              <w:rPr>
                <w:kern w:val="0"/>
                <w:szCs w:val="21"/>
                <w:vertAlign w:val="superscript"/>
              </w:rPr>
              <w:t>***</w:t>
            </w:r>
          </w:p>
        </w:tc>
        <w:tc>
          <w:tcPr>
            <w:tcW w:w="1699" w:type="pct"/>
            <w:tcBorders>
              <w:top w:val="nil"/>
              <w:left w:val="nil"/>
              <w:bottom w:val="nil"/>
              <w:right w:val="nil"/>
            </w:tcBorders>
          </w:tcPr>
          <w:p w14:paraId="14507035" w14:textId="24ACA398" w:rsidR="009748DF" w:rsidRPr="00FD0D8E" w:rsidRDefault="009748DF" w:rsidP="00C74EB6">
            <w:pPr>
              <w:autoSpaceDE w:val="0"/>
              <w:autoSpaceDN w:val="0"/>
              <w:adjustRightInd w:val="0"/>
              <w:jc w:val="center"/>
              <w:rPr>
                <w:kern w:val="0"/>
                <w:szCs w:val="21"/>
              </w:rPr>
            </w:pPr>
            <w:r w:rsidRPr="00FD0D8E">
              <w:rPr>
                <w:kern w:val="0"/>
                <w:szCs w:val="21"/>
              </w:rPr>
              <w:t>0.274</w:t>
            </w:r>
            <w:r w:rsidRPr="00FD0D8E">
              <w:rPr>
                <w:kern w:val="0"/>
                <w:szCs w:val="21"/>
                <w:vertAlign w:val="superscript"/>
              </w:rPr>
              <w:t>***</w:t>
            </w:r>
          </w:p>
        </w:tc>
      </w:tr>
      <w:tr w:rsidR="009748DF" w:rsidRPr="00FD0D8E" w14:paraId="3743CE43" w14:textId="77777777" w:rsidTr="009748DF">
        <w:tc>
          <w:tcPr>
            <w:tcW w:w="1600" w:type="pct"/>
            <w:tcBorders>
              <w:top w:val="nil"/>
              <w:left w:val="nil"/>
              <w:bottom w:val="nil"/>
              <w:right w:val="nil"/>
            </w:tcBorders>
          </w:tcPr>
          <w:p w14:paraId="68FD8E69"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4B8AEFEF" w14:textId="641DD742" w:rsidR="009748DF" w:rsidRPr="00FD0D8E" w:rsidRDefault="009748DF" w:rsidP="00C74EB6">
            <w:pPr>
              <w:autoSpaceDE w:val="0"/>
              <w:autoSpaceDN w:val="0"/>
              <w:adjustRightInd w:val="0"/>
              <w:jc w:val="center"/>
              <w:rPr>
                <w:kern w:val="0"/>
                <w:szCs w:val="21"/>
              </w:rPr>
            </w:pPr>
            <w:r w:rsidRPr="00FD0D8E">
              <w:rPr>
                <w:kern w:val="0"/>
                <w:szCs w:val="21"/>
              </w:rPr>
              <w:t>(0.003)</w:t>
            </w:r>
          </w:p>
        </w:tc>
        <w:tc>
          <w:tcPr>
            <w:tcW w:w="1699" w:type="pct"/>
            <w:tcBorders>
              <w:top w:val="nil"/>
              <w:left w:val="nil"/>
              <w:bottom w:val="nil"/>
              <w:right w:val="nil"/>
            </w:tcBorders>
          </w:tcPr>
          <w:p w14:paraId="6A256295" w14:textId="196E3B4D" w:rsidR="009748DF" w:rsidRPr="00FD0D8E" w:rsidRDefault="009748DF" w:rsidP="00C74EB6">
            <w:pPr>
              <w:autoSpaceDE w:val="0"/>
              <w:autoSpaceDN w:val="0"/>
              <w:adjustRightInd w:val="0"/>
              <w:jc w:val="center"/>
              <w:rPr>
                <w:kern w:val="0"/>
                <w:szCs w:val="21"/>
              </w:rPr>
            </w:pPr>
            <w:r w:rsidRPr="00FD0D8E">
              <w:rPr>
                <w:kern w:val="0"/>
                <w:szCs w:val="21"/>
              </w:rPr>
              <w:t>(0.053)</w:t>
            </w:r>
          </w:p>
        </w:tc>
      </w:tr>
      <w:tr w:rsidR="009748DF" w:rsidRPr="00FD0D8E" w14:paraId="0A921C98" w14:textId="77777777" w:rsidTr="009748DF">
        <w:tc>
          <w:tcPr>
            <w:tcW w:w="1600" w:type="pct"/>
            <w:tcBorders>
              <w:top w:val="nil"/>
              <w:left w:val="nil"/>
              <w:bottom w:val="nil"/>
              <w:right w:val="nil"/>
            </w:tcBorders>
          </w:tcPr>
          <w:p w14:paraId="3F4CBBE7" w14:textId="77777777" w:rsidR="009748DF" w:rsidRPr="00FD0D8E" w:rsidRDefault="009748DF" w:rsidP="00C74EB6">
            <w:pPr>
              <w:autoSpaceDE w:val="0"/>
              <w:autoSpaceDN w:val="0"/>
              <w:adjustRightInd w:val="0"/>
              <w:rPr>
                <w:kern w:val="0"/>
                <w:szCs w:val="21"/>
              </w:rPr>
            </w:pPr>
            <w:r w:rsidRPr="00FD0D8E">
              <w:rPr>
                <w:kern w:val="0"/>
                <w:szCs w:val="21"/>
              </w:rPr>
              <w:t>Penalty</w:t>
            </w:r>
          </w:p>
        </w:tc>
        <w:tc>
          <w:tcPr>
            <w:tcW w:w="1701" w:type="pct"/>
            <w:tcBorders>
              <w:top w:val="nil"/>
              <w:left w:val="nil"/>
              <w:bottom w:val="nil"/>
              <w:right w:val="nil"/>
            </w:tcBorders>
          </w:tcPr>
          <w:p w14:paraId="652C3479" w14:textId="6411FD22" w:rsidR="009748DF" w:rsidRPr="00FD0D8E" w:rsidRDefault="009748DF" w:rsidP="00C74EB6">
            <w:pPr>
              <w:autoSpaceDE w:val="0"/>
              <w:autoSpaceDN w:val="0"/>
              <w:adjustRightInd w:val="0"/>
              <w:jc w:val="center"/>
              <w:rPr>
                <w:kern w:val="0"/>
                <w:szCs w:val="21"/>
              </w:rPr>
            </w:pPr>
            <w:r w:rsidRPr="00FD0D8E">
              <w:rPr>
                <w:kern w:val="0"/>
                <w:szCs w:val="21"/>
              </w:rPr>
              <w:t>0.003</w:t>
            </w:r>
            <w:r w:rsidRPr="00FD0D8E">
              <w:rPr>
                <w:kern w:val="0"/>
                <w:szCs w:val="21"/>
                <w:vertAlign w:val="superscript"/>
              </w:rPr>
              <w:t>**</w:t>
            </w:r>
          </w:p>
        </w:tc>
        <w:tc>
          <w:tcPr>
            <w:tcW w:w="1699" w:type="pct"/>
            <w:tcBorders>
              <w:top w:val="nil"/>
              <w:left w:val="nil"/>
              <w:bottom w:val="nil"/>
              <w:right w:val="nil"/>
            </w:tcBorders>
          </w:tcPr>
          <w:p w14:paraId="721429BD" w14:textId="6DEC9D38" w:rsidR="009748DF" w:rsidRPr="00FD0D8E" w:rsidRDefault="009748DF" w:rsidP="00C74EB6">
            <w:pPr>
              <w:autoSpaceDE w:val="0"/>
              <w:autoSpaceDN w:val="0"/>
              <w:adjustRightInd w:val="0"/>
              <w:jc w:val="center"/>
              <w:rPr>
                <w:kern w:val="0"/>
                <w:szCs w:val="21"/>
              </w:rPr>
            </w:pPr>
            <w:r w:rsidRPr="00FD0D8E">
              <w:rPr>
                <w:kern w:val="0"/>
                <w:szCs w:val="21"/>
              </w:rPr>
              <w:t>-0.006</w:t>
            </w:r>
          </w:p>
        </w:tc>
      </w:tr>
      <w:tr w:rsidR="009748DF" w:rsidRPr="00FD0D8E" w14:paraId="6A341782" w14:textId="77777777" w:rsidTr="009748DF">
        <w:tc>
          <w:tcPr>
            <w:tcW w:w="1600" w:type="pct"/>
            <w:tcBorders>
              <w:top w:val="nil"/>
              <w:left w:val="nil"/>
              <w:bottom w:val="nil"/>
              <w:right w:val="nil"/>
            </w:tcBorders>
          </w:tcPr>
          <w:p w14:paraId="225F9A1C"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6B985AFF" w14:textId="3806119F" w:rsidR="009748DF" w:rsidRPr="00FD0D8E" w:rsidRDefault="009748DF"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322FAE07" w14:textId="3C1F9745" w:rsidR="009748DF" w:rsidRPr="00FD0D8E" w:rsidRDefault="009748DF" w:rsidP="00C74EB6">
            <w:pPr>
              <w:autoSpaceDE w:val="0"/>
              <w:autoSpaceDN w:val="0"/>
              <w:adjustRightInd w:val="0"/>
              <w:jc w:val="center"/>
              <w:rPr>
                <w:kern w:val="0"/>
                <w:szCs w:val="21"/>
              </w:rPr>
            </w:pPr>
            <w:r w:rsidRPr="00FD0D8E">
              <w:rPr>
                <w:kern w:val="0"/>
                <w:szCs w:val="21"/>
              </w:rPr>
              <w:t>(0.007)</w:t>
            </w:r>
          </w:p>
        </w:tc>
      </w:tr>
      <w:tr w:rsidR="009748DF" w:rsidRPr="00FD0D8E" w14:paraId="789EA3C6" w14:textId="77777777" w:rsidTr="009748DF">
        <w:tc>
          <w:tcPr>
            <w:tcW w:w="1600" w:type="pct"/>
            <w:tcBorders>
              <w:top w:val="nil"/>
              <w:left w:val="nil"/>
              <w:bottom w:val="nil"/>
              <w:right w:val="nil"/>
            </w:tcBorders>
          </w:tcPr>
          <w:p w14:paraId="6B76D5AD" w14:textId="77777777" w:rsidR="009748DF" w:rsidRPr="00FD0D8E" w:rsidRDefault="009748DF" w:rsidP="00C74EB6">
            <w:pPr>
              <w:autoSpaceDE w:val="0"/>
              <w:autoSpaceDN w:val="0"/>
              <w:adjustRightInd w:val="0"/>
              <w:rPr>
                <w:kern w:val="0"/>
                <w:szCs w:val="21"/>
              </w:rPr>
            </w:pPr>
            <w:proofErr w:type="spellStart"/>
            <w:r w:rsidRPr="00FD0D8E">
              <w:rPr>
                <w:kern w:val="0"/>
                <w:szCs w:val="21"/>
              </w:rPr>
              <w:t>IndepR</w:t>
            </w:r>
            <w:proofErr w:type="spellEnd"/>
          </w:p>
        </w:tc>
        <w:tc>
          <w:tcPr>
            <w:tcW w:w="1701" w:type="pct"/>
            <w:tcBorders>
              <w:top w:val="nil"/>
              <w:left w:val="nil"/>
              <w:bottom w:val="nil"/>
              <w:right w:val="nil"/>
            </w:tcBorders>
          </w:tcPr>
          <w:p w14:paraId="45C3FC56" w14:textId="0B67664F" w:rsidR="009748DF" w:rsidRPr="00FD0D8E" w:rsidRDefault="009748DF"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3F1736D0" w14:textId="10AEDB5E" w:rsidR="009748DF" w:rsidRPr="00FD0D8E" w:rsidRDefault="009748DF" w:rsidP="00C74EB6">
            <w:pPr>
              <w:autoSpaceDE w:val="0"/>
              <w:autoSpaceDN w:val="0"/>
              <w:adjustRightInd w:val="0"/>
              <w:jc w:val="center"/>
              <w:rPr>
                <w:kern w:val="0"/>
                <w:szCs w:val="21"/>
              </w:rPr>
            </w:pPr>
            <w:r w:rsidRPr="00FD0D8E">
              <w:rPr>
                <w:kern w:val="0"/>
                <w:szCs w:val="21"/>
              </w:rPr>
              <w:t>0.101</w:t>
            </w:r>
            <w:r w:rsidRPr="00FD0D8E">
              <w:rPr>
                <w:kern w:val="0"/>
                <w:szCs w:val="21"/>
                <w:vertAlign w:val="superscript"/>
              </w:rPr>
              <w:t>***</w:t>
            </w:r>
          </w:p>
        </w:tc>
      </w:tr>
      <w:tr w:rsidR="009748DF" w:rsidRPr="00FD0D8E" w14:paraId="41EC95A6" w14:textId="77777777" w:rsidTr="009748DF">
        <w:tc>
          <w:tcPr>
            <w:tcW w:w="1600" w:type="pct"/>
            <w:tcBorders>
              <w:top w:val="nil"/>
              <w:left w:val="nil"/>
              <w:bottom w:val="nil"/>
              <w:right w:val="nil"/>
            </w:tcBorders>
          </w:tcPr>
          <w:p w14:paraId="78FDD771"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33545593" w14:textId="7AA0B768" w:rsidR="009748DF" w:rsidRPr="00FD0D8E" w:rsidRDefault="009748DF" w:rsidP="00C74EB6">
            <w:pPr>
              <w:autoSpaceDE w:val="0"/>
              <w:autoSpaceDN w:val="0"/>
              <w:adjustRightInd w:val="0"/>
              <w:jc w:val="center"/>
              <w:rPr>
                <w:kern w:val="0"/>
                <w:szCs w:val="21"/>
              </w:rPr>
            </w:pPr>
            <w:r w:rsidRPr="00FD0D8E">
              <w:rPr>
                <w:kern w:val="0"/>
                <w:szCs w:val="21"/>
              </w:rPr>
              <w:t>(0.003)</w:t>
            </w:r>
          </w:p>
        </w:tc>
        <w:tc>
          <w:tcPr>
            <w:tcW w:w="1699" w:type="pct"/>
            <w:tcBorders>
              <w:top w:val="nil"/>
              <w:left w:val="nil"/>
              <w:bottom w:val="nil"/>
              <w:right w:val="nil"/>
            </w:tcBorders>
          </w:tcPr>
          <w:p w14:paraId="1ACCE7FD" w14:textId="0310AAEA" w:rsidR="009748DF" w:rsidRPr="00FD0D8E" w:rsidRDefault="009748DF" w:rsidP="00C74EB6">
            <w:pPr>
              <w:autoSpaceDE w:val="0"/>
              <w:autoSpaceDN w:val="0"/>
              <w:adjustRightInd w:val="0"/>
              <w:jc w:val="center"/>
              <w:rPr>
                <w:kern w:val="0"/>
                <w:szCs w:val="21"/>
              </w:rPr>
            </w:pPr>
            <w:r w:rsidRPr="00FD0D8E">
              <w:rPr>
                <w:kern w:val="0"/>
                <w:szCs w:val="21"/>
              </w:rPr>
              <w:t>(0.024)</w:t>
            </w:r>
          </w:p>
        </w:tc>
      </w:tr>
      <w:tr w:rsidR="009748DF" w:rsidRPr="00FD0D8E" w14:paraId="2384A541" w14:textId="77777777" w:rsidTr="009748DF">
        <w:tc>
          <w:tcPr>
            <w:tcW w:w="1600" w:type="pct"/>
            <w:tcBorders>
              <w:top w:val="nil"/>
              <w:left w:val="nil"/>
              <w:bottom w:val="nil"/>
              <w:right w:val="nil"/>
            </w:tcBorders>
          </w:tcPr>
          <w:p w14:paraId="2C35D8BF" w14:textId="77777777" w:rsidR="009748DF" w:rsidRPr="00FD0D8E" w:rsidRDefault="009748DF" w:rsidP="00C74EB6">
            <w:pPr>
              <w:autoSpaceDE w:val="0"/>
              <w:autoSpaceDN w:val="0"/>
              <w:adjustRightInd w:val="0"/>
              <w:rPr>
                <w:kern w:val="0"/>
                <w:szCs w:val="21"/>
              </w:rPr>
            </w:pPr>
            <w:proofErr w:type="spellStart"/>
            <w:r w:rsidRPr="00FD0D8E">
              <w:rPr>
                <w:kern w:val="0"/>
                <w:szCs w:val="21"/>
              </w:rPr>
              <w:t>DSize</w:t>
            </w:r>
            <w:proofErr w:type="spellEnd"/>
          </w:p>
        </w:tc>
        <w:tc>
          <w:tcPr>
            <w:tcW w:w="1701" w:type="pct"/>
            <w:tcBorders>
              <w:top w:val="nil"/>
              <w:left w:val="nil"/>
              <w:bottom w:val="nil"/>
              <w:right w:val="nil"/>
            </w:tcBorders>
          </w:tcPr>
          <w:p w14:paraId="3FB5B16C" w14:textId="29AD1480"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7E7D2F18" w14:textId="1D90BB94" w:rsidR="009748DF" w:rsidRPr="00FD0D8E" w:rsidRDefault="009748DF" w:rsidP="00C74EB6">
            <w:pPr>
              <w:autoSpaceDE w:val="0"/>
              <w:autoSpaceDN w:val="0"/>
              <w:adjustRightInd w:val="0"/>
              <w:jc w:val="center"/>
              <w:rPr>
                <w:kern w:val="0"/>
                <w:szCs w:val="21"/>
              </w:rPr>
            </w:pPr>
            <w:r w:rsidRPr="00FD0D8E">
              <w:rPr>
                <w:kern w:val="0"/>
                <w:szCs w:val="21"/>
              </w:rPr>
              <w:t>-0.005</w:t>
            </w:r>
            <w:r w:rsidRPr="00FD0D8E">
              <w:rPr>
                <w:kern w:val="0"/>
                <w:szCs w:val="21"/>
                <w:vertAlign w:val="superscript"/>
              </w:rPr>
              <w:t>***</w:t>
            </w:r>
          </w:p>
        </w:tc>
      </w:tr>
      <w:tr w:rsidR="009748DF" w:rsidRPr="00FD0D8E" w14:paraId="17A94A5D" w14:textId="77777777" w:rsidTr="009748DF">
        <w:tc>
          <w:tcPr>
            <w:tcW w:w="1600" w:type="pct"/>
            <w:tcBorders>
              <w:top w:val="nil"/>
              <w:left w:val="nil"/>
              <w:bottom w:val="nil"/>
              <w:right w:val="nil"/>
            </w:tcBorders>
          </w:tcPr>
          <w:p w14:paraId="32C47A11"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289DE8F2" w14:textId="231FB396"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558CDA8E" w14:textId="3B779993" w:rsidR="009748DF" w:rsidRPr="00FD0D8E" w:rsidRDefault="009748DF" w:rsidP="00C74EB6">
            <w:pPr>
              <w:autoSpaceDE w:val="0"/>
              <w:autoSpaceDN w:val="0"/>
              <w:adjustRightInd w:val="0"/>
              <w:jc w:val="center"/>
              <w:rPr>
                <w:kern w:val="0"/>
                <w:szCs w:val="21"/>
              </w:rPr>
            </w:pPr>
            <w:r w:rsidRPr="00FD0D8E">
              <w:rPr>
                <w:kern w:val="0"/>
                <w:szCs w:val="21"/>
              </w:rPr>
              <w:t>(0.001)</w:t>
            </w:r>
          </w:p>
        </w:tc>
      </w:tr>
      <w:tr w:rsidR="009748DF" w:rsidRPr="00FD0D8E" w14:paraId="15F6EB34" w14:textId="77777777" w:rsidTr="009748DF">
        <w:tc>
          <w:tcPr>
            <w:tcW w:w="1600" w:type="pct"/>
            <w:tcBorders>
              <w:top w:val="nil"/>
              <w:left w:val="nil"/>
              <w:bottom w:val="nil"/>
              <w:right w:val="nil"/>
            </w:tcBorders>
          </w:tcPr>
          <w:p w14:paraId="54967DEB" w14:textId="77777777" w:rsidR="009748DF" w:rsidRPr="00FD0D8E" w:rsidRDefault="009748DF" w:rsidP="00C74EB6">
            <w:pPr>
              <w:autoSpaceDE w:val="0"/>
              <w:autoSpaceDN w:val="0"/>
              <w:adjustRightInd w:val="0"/>
              <w:rPr>
                <w:kern w:val="0"/>
                <w:szCs w:val="21"/>
              </w:rPr>
            </w:pPr>
            <w:r w:rsidRPr="00FD0D8E">
              <w:rPr>
                <w:kern w:val="0"/>
                <w:szCs w:val="21"/>
              </w:rPr>
              <w:t>Duality</w:t>
            </w:r>
          </w:p>
        </w:tc>
        <w:tc>
          <w:tcPr>
            <w:tcW w:w="1701" w:type="pct"/>
            <w:tcBorders>
              <w:top w:val="nil"/>
              <w:left w:val="nil"/>
              <w:bottom w:val="nil"/>
              <w:right w:val="nil"/>
            </w:tcBorders>
          </w:tcPr>
          <w:p w14:paraId="656E1C31" w14:textId="3897D56C" w:rsidR="009748DF" w:rsidRPr="00FD0D8E" w:rsidRDefault="009748DF" w:rsidP="00C74EB6">
            <w:pPr>
              <w:autoSpaceDE w:val="0"/>
              <w:autoSpaceDN w:val="0"/>
              <w:adjustRightInd w:val="0"/>
              <w:jc w:val="center"/>
              <w:rPr>
                <w:kern w:val="0"/>
                <w:szCs w:val="21"/>
              </w:rPr>
            </w:pPr>
            <w:r w:rsidRPr="00FD0D8E">
              <w:rPr>
                <w:kern w:val="0"/>
                <w:szCs w:val="21"/>
              </w:rPr>
              <w:t>-0.001</w:t>
            </w:r>
            <w:r w:rsidRPr="00FD0D8E">
              <w:rPr>
                <w:kern w:val="0"/>
                <w:szCs w:val="21"/>
                <w:vertAlign w:val="superscript"/>
              </w:rPr>
              <w:t>***</w:t>
            </w:r>
          </w:p>
        </w:tc>
        <w:tc>
          <w:tcPr>
            <w:tcW w:w="1699" w:type="pct"/>
            <w:tcBorders>
              <w:top w:val="nil"/>
              <w:left w:val="nil"/>
              <w:bottom w:val="nil"/>
              <w:right w:val="nil"/>
            </w:tcBorders>
          </w:tcPr>
          <w:p w14:paraId="47229D3C" w14:textId="4540DA02" w:rsidR="009748DF" w:rsidRPr="00FD0D8E" w:rsidRDefault="009748DF" w:rsidP="00C74EB6">
            <w:pPr>
              <w:autoSpaceDE w:val="0"/>
              <w:autoSpaceDN w:val="0"/>
              <w:adjustRightInd w:val="0"/>
              <w:jc w:val="center"/>
              <w:rPr>
                <w:kern w:val="0"/>
                <w:szCs w:val="21"/>
              </w:rPr>
            </w:pPr>
            <w:r w:rsidRPr="00FD0D8E">
              <w:rPr>
                <w:kern w:val="0"/>
                <w:szCs w:val="21"/>
              </w:rPr>
              <w:t>0.011*</w:t>
            </w:r>
          </w:p>
        </w:tc>
      </w:tr>
      <w:tr w:rsidR="009748DF" w:rsidRPr="00FD0D8E" w14:paraId="4A903DF1" w14:textId="77777777" w:rsidTr="009748DF">
        <w:tc>
          <w:tcPr>
            <w:tcW w:w="1600" w:type="pct"/>
            <w:tcBorders>
              <w:top w:val="nil"/>
              <w:left w:val="nil"/>
              <w:bottom w:val="nil"/>
              <w:right w:val="nil"/>
            </w:tcBorders>
          </w:tcPr>
          <w:p w14:paraId="3CA9ECA7"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3EE02360" w14:textId="32EE14AB"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71FE79B6" w14:textId="4BCBE8EE" w:rsidR="009748DF" w:rsidRPr="00FD0D8E" w:rsidRDefault="009748DF" w:rsidP="00C74EB6">
            <w:pPr>
              <w:autoSpaceDE w:val="0"/>
              <w:autoSpaceDN w:val="0"/>
              <w:adjustRightInd w:val="0"/>
              <w:jc w:val="center"/>
              <w:rPr>
                <w:kern w:val="0"/>
                <w:szCs w:val="21"/>
              </w:rPr>
            </w:pPr>
            <w:r w:rsidRPr="00FD0D8E">
              <w:rPr>
                <w:kern w:val="0"/>
                <w:szCs w:val="21"/>
              </w:rPr>
              <w:t>(0.006)</w:t>
            </w:r>
          </w:p>
        </w:tc>
      </w:tr>
      <w:tr w:rsidR="009748DF" w:rsidRPr="00FD0D8E" w14:paraId="32583E79" w14:textId="77777777" w:rsidTr="009748DF">
        <w:tc>
          <w:tcPr>
            <w:tcW w:w="1600" w:type="pct"/>
            <w:tcBorders>
              <w:top w:val="nil"/>
              <w:left w:val="nil"/>
              <w:bottom w:val="nil"/>
              <w:right w:val="nil"/>
            </w:tcBorders>
          </w:tcPr>
          <w:p w14:paraId="1AA52616" w14:textId="77777777" w:rsidR="009748DF" w:rsidRPr="00FD0D8E" w:rsidRDefault="009748DF" w:rsidP="00C74EB6">
            <w:pPr>
              <w:autoSpaceDE w:val="0"/>
              <w:autoSpaceDN w:val="0"/>
              <w:adjustRightInd w:val="0"/>
              <w:rPr>
                <w:kern w:val="0"/>
                <w:szCs w:val="21"/>
              </w:rPr>
            </w:pPr>
            <w:r w:rsidRPr="00FD0D8E">
              <w:rPr>
                <w:kern w:val="0"/>
                <w:szCs w:val="21"/>
              </w:rPr>
              <w:t>DOSR</w:t>
            </w:r>
          </w:p>
        </w:tc>
        <w:tc>
          <w:tcPr>
            <w:tcW w:w="1701" w:type="pct"/>
            <w:tcBorders>
              <w:top w:val="nil"/>
              <w:left w:val="nil"/>
              <w:bottom w:val="nil"/>
              <w:right w:val="nil"/>
            </w:tcBorders>
          </w:tcPr>
          <w:p w14:paraId="05E83F15" w14:textId="57BD071D" w:rsidR="009748DF" w:rsidRPr="00FD0D8E" w:rsidRDefault="009748DF" w:rsidP="00C74EB6">
            <w:pPr>
              <w:autoSpaceDE w:val="0"/>
              <w:autoSpaceDN w:val="0"/>
              <w:adjustRightInd w:val="0"/>
              <w:jc w:val="center"/>
              <w:rPr>
                <w:kern w:val="0"/>
                <w:szCs w:val="21"/>
              </w:rPr>
            </w:pPr>
            <w:r w:rsidRPr="00FD0D8E">
              <w:rPr>
                <w:kern w:val="0"/>
                <w:szCs w:val="21"/>
              </w:rPr>
              <w:t>-0.001</w:t>
            </w:r>
            <w:r w:rsidRPr="00FD0D8E">
              <w:rPr>
                <w:kern w:val="0"/>
                <w:szCs w:val="21"/>
                <w:vertAlign w:val="superscript"/>
              </w:rPr>
              <w:t>**</w:t>
            </w:r>
          </w:p>
        </w:tc>
        <w:tc>
          <w:tcPr>
            <w:tcW w:w="1699" w:type="pct"/>
            <w:tcBorders>
              <w:top w:val="nil"/>
              <w:left w:val="nil"/>
              <w:bottom w:val="nil"/>
              <w:right w:val="nil"/>
            </w:tcBorders>
          </w:tcPr>
          <w:p w14:paraId="676BEC61" w14:textId="55EDA96B" w:rsidR="009748DF" w:rsidRPr="00FD0D8E" w:rsidRDefault="009748DF" w:rsidP="00C74EB6">
            <w:pPr>
              <w:autoSpaceDE w:val="0"/>
              <w:autoSpaceDN w:val="0"/>
              <w:adjustRightInd w:val="0"/>
              <w:jc w:val="center"/>
              <w:rPr>
                <w:kern w:val="0"/>
                <w:szCs w:val="21"/>
              </w:rPr>
            </w:pPr>
            <w:r w:rsidRPr="00FD0D8E">
              <w:rPr>
                <w:kern w:val="0"/>
                <w:szCs w:val="21"/>
              </w:rPr>
              <w:t>-0.068</w:t>
            </w:r>
            <w:r w:rsidRPr="00FD0D8E">
              <w:rPr>
                <w:kern w:val="0"/>
                <w:szCs w:val="21"/>
                <w:vertAlign w:val="superscript"/>
              </w:rPr>
              <w:t>***</w:t>
            </w:r>
          </w:p>
        </w:tc>
      </w:tr>
      <w:tr w:rsidR="009748DF" w:rsidRPr="00FD0D8E" w14:paraId="264F3BCF" w14:textId="77777777" w:rsidTr="009748DF">
        <w:tc>
          <w:tcPr>
            <w:tcW w:w="1600" w:type="pct"/>
            <w:tcBorders>
              <w:top w:val="nil"/>
              <w:left w:val="nil"/>
              <w:bottom w:val="nil"/>
              <w:right w:val="nil"/>
            </w:tcBorders>
          </w:tcPr>
          <w:p w14:paraId="7E617DBF"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1D90BBF4" w14:textId="28E5D757" w:rsidR="009748DF" w:rsidRPr="00FD0D8E" w:rsidRDefault="009748DF" w:rsidP="00C74EB6">
            <w:pPr>
              <w:autoSpaceDE w:val="0"/>
              <w:autoSpaceDN w:val="0"/>
              <w:adjustRightInd w:val="0"/>
              <w:jc w:val="center"/>
              <w:rPr>
                <w:kern w:val="0"/>
                <w:szCs w:val="21"/>
              </w:rPr>
            </w:pPr>
            <w:r w:rsidRPr="00FD0D8E">
              <w:rPr>
                <w:kern w:val="0"/>
                <w:szCs w:val="21"/>
              </w:rPr>
              <w:t>(0.001)</w:t>
            </w:r>
          </w:p>
        </w:tc>
        <w:tc>
          <w:tcPr>
            <w:tcW w:w="1699" w:type="pct"/>
            <w:tcBorders>
              <w:top w:val="nil"/>
              <w:left w:val="nil"/>
              <w:bottom w:val="nil"/>
              <w:right w:val="nil"/>
            </w:tcBorders>
          </w:tcPr>
          <w:p w14:paraId="62BDCC30" w14:textId="438DD769" w:rsidR="009748DF" w:rsidRPr="00FD0D8E" w:rsidRDefault="009748DF" w:rsidP="00C74EB6">
            <w:pPr>
              <w:autoSpaceDE w:val="0"/>
              <w:autoSpaceDN w:val="0"/>
              <w:adjustRightInd w:val="0"/>
              <w:jc w:val="center"/>
              <w:rPr>
                <w:kern w:val="0"/>
                <w:szCs w:val="21"/>
              </w:rPr>
            </w:pPr>
            <w:r w:rsidRPr="00FD0D8E">
              <w:rPr>
                <w:kern w:val="0"/>
                <w:szCs w:val="21"/>
              </w:rPr>
              <w:t>(0.012)</w:t>
            </w:r>
          </w:p>
        </w:tc>
      </w:tr>
      <w:tr w:rsidR="009748DF" w:rsidRPr="00FD0D8E" w14:paraId="7190387F" w14:textId="77777777" w:rsidTr="009748DF">
        <w:tc>
          <w:tcPr>
            <w:tcW w:w="1600" w:type="pct"/>
            <w:tcBorders>
              <w:top w:val="nil"/>
              <w:left w:val="nil"/>
              <w:bottom w:val="nil"/>
              <w:right w:val="nil"/>
            </w:tcBorders>
          </w:tcPr>
          <w:p w14:paraId="48B63D08" w14:textId="77777777" w:rsidR="009748DF" w:rsidRPr="00FD0D8E" w:rsidRDefault="009748DF" w:rsidP="00C74EB6">
            <w:pPr>
              <w:autoSpaceDE w:val="0"/>
              <w:autoSpaceDN w:val="0"/>
              <w:adjustRightInd w:val="0"/>
              <w:rPr>
                <w:kern w:val="0"/>
                <w:szCs w:val="21"/>
              </w:rPr>
            </w:pPr>
            <w:r w:rsidRPr="00FD0D8E">
              <w:rPr>
                <w:kern w:val="0"/>
                <w:szCs w:val="21"/>
              </w:rPr>
              <w:t>Size</w:t>
            </w:r>
          </w:p>
        </w:tc>
        <w:tc>
          <w:tcPr>
            <w:tcW w:w="1701" w:type="pct"/>
            <w:tcBorders>
              <w:top w:val="nil"/>
              <w:left w:val="nil"/>
              <w:bottom w:val="nil"/>
              <w:right w:val="nil"/>
            </w:tcBorders>
          </w:tcPr>
          <w:p w14:paraId="279B4F8C" w14:textId="7F70F834" w:rsidR="009748DF" w:rsidRPr="00FD0D8E" w:rsidRDefault="009748DF"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699" w:type="pct"/>
            <w:tcBorders>
              <w:top w:val="nil"/>
              <w:left w:val="nil"/>
              <w:bottom w:val="nil"/>
              <w:right w:val="nil"/>
            </w:tcBorders>
          </w:tcPr>
          <w:p w14:paraId="2C31121A" w14:textId="5B1F63FF" w:rsidR="009748DF" w:rsidRPr="00FD0D8E" w:rsidRDefault="009748DF" w:rsidP="00C74EB6">
            <w:pPr>
              <w:autoSpaceDE w:val="0"/>
              <w:autoSpaceDN w:val="0"/>
              <w:adjustRightInd w:val="0"/>
              <w:jc w:val="center"/>
              <w:rPr>
                <w:kern w:val="0"/>
                <w:szCs w:val="21"/>
              </w:rPr>
            </w:pPr>
            <w:r w:rsidRPr="00FD0D8E">
              <w:rPr>
                <w:kern w:val="0"/>
                <w:szCs w:val="21"/>
              </w:rPr>
              <w:t>-0.010</w:t>
            </w:r>
          </w:p>
        </w:tc>
      </w:tr>
      <w:tr w:rsidR="009748DF" w:rsidRPr="00FD0D8E" w14:paraId="187C0C84" w14:textId="77777777" w:rsidTr="009748DF">
        <w:tc>
          <w:tcPr>
            <w:tcW w:w="1600" w:type="pct"/>
            <w:tcBorders>
              <w:top w:val="nil"/>
              <w:left w:val="nil"/>
              <w:bottom w:val="nil"/>
              <w:right w:val="nil"/>
            </w:tcBorders>
          </w:tcPr>
          <w:p w14:paraId="44D46429" w14:textId="77777777" w:rsidR="009748DF" w:rsidRPr="00FD0D8E" w:rsidRDefault="009748DF" w:rsidP="00C74EB6">
            <w:pPr>
              <w:autoSpaceDE w:val="0"/>
              <w:autoSpaceDN w:val="0"/>
              <w:adjustRightInd w:val="0"/>
              <w:rPr>
                <w:kern w:val="0"/>
                <w:szCs w:val="21"/>
              </w:rPr>
            </w:pPr>
          </w:p>
        </w:tc>
        <w:tc>
          <w:tcPr>
            <w:tcW w:w="1701" w:type="pct"/>
            <w:tcBorders>
              <w:top w:val="nil"/>
              <w:left w:val="nil"/>
              <w:bottom w:val="nil"/>
              <w:right w:val="nil"/>
            </w:tcBorders>
          </w:tcPr>
          <w:p w14:paraId="37AA4459" w14:textId="07D85278"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bottom w:val="nil"/>
              <w:right w:val="nil"/>
            </w:tcBorders>
          </w:tcPr>
          <w:p w14:paraId="7B7D7EF2" w14:textId="28F80044" w:rsidR="009748DF" w:rsidRPr="00FD0D8E" w:rsidRDefault="009748DF" w:rsidP="00C74EB6">
            <w:pPr>
              <w:autoSpaceDE w:val="0"/>
              <w:autoSpaceDN w:val="0"/>
              <w:adjustRightInd w:val="0"/>
              <w:jc w:val="center"/>
              <w:rPr>
                <w:kern w:val="0"/>
                <w:szCs w:val="21"/>
              </w:rPr>
            </w:pPr>
            <w:r w:rsidRPr="00FD0D8E">
              <w:rPr>
                <w:kern w:val="0"/>
                <w:szCs w:val="21"/>
              </w:rPr>
              <w:t>(0.007)</w:t>
            </w:r>
          </w:p>
        </w:tc>
      </w:tr>
      <w:tr w:rsidR="009748DF" w:rsidRPr="00FD0D8E" w14:paraId="2CBCAD1A" w14:textId="77777777" w:rsidTr="009748DF">
        <w:tc>
          <w:tcPr>
            <w:tcW w:w="1600" w:type="pct"/>
            <w:tcBorders>
              <w:top w:val="nil"/>
              <w:left w:val="nil"/>
              <w:bottom w:val="nil"/>
              <w:right w:val="nil"/>
            </w:tcBorders>
          </w:tcPr>
          <w:p w14:paraId="69F8EE81" w14:textId="77777777" w:rsidR="009748DF" w:rsidRPr="00FD0D8E" w:rsidRDefault="009748DF" w:rsidP="00C74EB6">
            <w:pPr>
              <w:autoSpaceDE w:val="0"/>
              <w:autoSpaceDN w:val="0"/>
              <w:adjustRightInd w:val="0"/>
              <w:rPr>
                <w:kern w:val="0"/>
                <w:szCs w:val="21"/>
              </w:rPr>
            </w:pPr>
            <w:r w:rsidRPr="00FD0D8E">
              <w:rPr>
                <w:kern w:val="0"/>
                <w:szCs w:val="21"/>
              </w:rPr>
              <w:t>SOE</w:t>
            </w:r>
          </w:p>
        </w:tc>
        <w:tc>
          <w:tcPr>
            <w:tcW w:w="1701" w:type="pct"/>
            <w:tcBorders>
              <w:top w:val="nil"/>
              <w:left w:val="nil"/>
              <w:bottom w:val="nil"/>
              <w:right w:val="nil"/>
            </w:tcBorders>
          </w:tcPr>
          <w:p w14:paraId="4F0B4E91" w14:textId="0CE52C7C" w:rsidR="009748DF" w:rsidRPr="00FD0D8E" w:rsidRDefault="009748DF"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699" w:type="pct"/>
            <w:tcBorders>
              <w:top w:val="nil"/>
              <w:left w:val="nil"/>
              <w:bottom w:val="nil"/>
              <w:right w:val="nil"/>
            </w:tcBorders>
          </w:tcPr>
          <w:p w14:paraId="316C8F28" w14:textId="1DB7AA92" w:rsidR="009748DF" w:rsidRPr="00FD0D8E" w:rsidRDefault="009748DF" w:rsidP="00C74EB6">
            <w:pPr>
              <w:autoSpaceDE w:val="0"/>
              <w:autoSpaceDN w:val="0"/>
              <w:adjustRightInd w:val="0"/>
              <w:jc w:val="center"/>
              <w:rPr>
                <w:kern w:val="0"/>
                <w:szCs w:val="21"/>
              </w:rPr>
            </w:pPr>
            <w:r w:rsidRPr="00FD0D8E">
              <w:rPr>
                <w:kern w:val="0"/>
                <w:szCs w:val="21"/>
              </w:rPr>
              <w:t>-0.044</w:t>
            </w:r>
            <w:r w:rsidRPr="00FD0D8E">
              <w:rPr>
                <w:kern w:val="0"/>
                <w:szCs w:val="21"/>
                <w:vertAlign w:val="superscript"/>
              </w:rPr>
              <w:t>***</w:t>
            </w:r>
          </w:p>
        </w:tc>
      </w:tr>
      <w:tr w:rsidR="009748DF" w:rsidRPr="00FD0D8E" w14:paraId="0F1BD620" w14:textId="77777777" w:rsidTr="009748DF">
        <w:tc>
          <w:tcPr>
            <w:tcW w:w="1600" w:type="pct"/>
            <w:tcBorders>
              <w:top w:val="nil"/>
              <w:left w:val="nil"/>
              <w:right w:val="nil"/>
            </w:tcBorders>
          </w:tcPr>
          <w:p w14:paraId="5D49816E" w14:textId="77777777" w:rsidR="009748DF" w:rsidRPr="00FD0D8E" w:rsidRDefault="009748DF" w:rsidP="00C74EB6">
            <w:pPr>
              <w:autoSpaceDE w:val="0"/>
              <w:autoSpaceDN w:val="0"/>
              <w:adjustRightInd w:val="0"/>
              <w:rPr>
                <w:kern w:val="0"/>
                <w:szCs w:val="21"/>
              </w:rPr>
            </w:pPr>
          </w:p>
        </w:tc>
        <w:tc>
          <w:tcPr>
            <w:tcW w:w="1701" w:type="pct"/>
            <w:tcBorders>
              <w:top w:val="nil"/>
              <w:left w:val="nil"/>
              <w:right w:val="nil"/>
            </w:tcBorders>
          </w:tcPr>
          <w:p w14:paraId="139DDA8A" w14:textId="3F90FABD" w:rsidR="009748DF" w:rsidRPr="00FD0D8E" w:rsidRDefault="009748DF" w:rsidP="00C74EB6">
            <w:pPr>
              <w:autoSpaceDE w:val="0"/>
              <w:autoSpaceDN w:val="0"/>
              <w:adjustRightInd w:val="0"/>
              <w:jc w:val="center"/>
              <w:rPr>
                <w:kern w:val="0"/>
                <w:szCs w:val="21"/>
              </w:rPr>
            </w:pPr>
            <w:r w:rsidRPr="00FD0D8E">
              <w:rPr>
                <w:kern w:val="0"/>
                <w:szCs w:val="21"/>
              </w:rPr>
              <w:t>(0.000)</w:t>
            </w:r>
          </w:p>
        </w:tc>
        <w:tc>
          <w:tcPr>
            <w:tcW w:w="1699" w:type="pct"/>
            <w:tcBorders>
              <w:top w:val="nil"/>
              <w:left w:val="nil"/>
              <w:right w:val="nil"/>
            </w:tcBorders>
          </w:tcPr>
          <w:p w14:paraId="05AE69C1" w14:textId="5F9AB261" w:rsidR="009748DF" w:rsidRPr="00FD0D8E" w:rsidRDefault="009748DF" w:rsidP="00C74EB6">
            <w:pPr>
              <w:autoSpaceDE w:val="0"/>
              <w:autoSpaceDN w:val="0"/>
              <w:adjustRightInd w:val="0"/>
              <w:jc w:val="center"/>
              <w:rPr>
                <w:kern w:val="0"/>
                <w:szCs w:val="21"/>
              </w:rPr>
            </w:pPr>
            <w:r w:rsidRPr="00FD0D8E">
              <w:rPr>
                <w:kern w:val="0"/>
                <w:szCs w:val="21"/>
              </w:rPr>
              <w:t>(0.009)</w:t>
            </w:r>
          </w:p>
        </w:tc>
      </w:tr>
      <w:tr w:rsidR="009748DF" w:rsidRPr="00FD0D8E" w14:paraId="2CB16F02" w14:textId="77777777" w:rsidTr="009748DF">
        <w:tc>
          <w:tcPr>
            <w:tcW w:w="1600" w:type="pct"/>
            <w:tcBorders>
              <w:top w:val="nil"/>
              <w:left w:val="nil"/>
              <w:bottom w:val="nil"/>
              <w:right w:val="nil"/>
            </w:tcBorders>
          </w:tcPr>
          <w:p w14:paraId="39F24844" w14:textId="1006B069" w:rsidR="009748DF" w:rsidRPr="00FD0D8E" w:rsidRDefault="009748DF" w:rsidP="00C74EB6">
            <w:pPr>
              <w:autoSpaceDE w:val="0"/>
              <w:autoSpaceDN w:val="0"/>
              <w:adjustRightInd w:val="0"/>
              <w:rPr>
                <w:kern w:val="0"/>
                <w:szCs w:val="21"/>
              </w:rPr>
            </w:pPr>
            <w:r w:rsidRPr="00FD0D8E">
              <w:rPr>
                <w:rFonts w:hint="eastAsia"/>
                <w:kern w:val="0"/>
                <w:szCs w:val="21"/>
              </w:rPr>
              <w:t>行业</w:t>
            </w:r>
            <w:r w:rsidRPr="00FD0D8E">
              <w:rPr>
                <w:rFonts w:hint="eastAsia"/>
                <w:kern w:val="0"/>
                <w:szCs w:val="21"/>
              </w:rPr>
              <w:t>FE</w:t>
            </w:r>
          </w:p>
        </w:tc>
        <w:tc>
          <w:tcPr>
            <w:tcW w:w="1701" w:type="pct"/>
            <w:tcBorders>
              <w:top w:val="nil"/>
              <w:left w:val="nil"/>
              <w:bottom w:val="nil"/>
              <w:right w:val="nil"/>
            </w:tcBorders>
          </w:tcPr>
          <w:p w14:paraId="738459FE" w14:textId="00403E2A" w:rsidR="009748DF" w:rsidRPr="00FD0D8E" w:rsidRDefault="009748DF" w:rsidP="00C74EB6">
            <w:pPr>
              <w:autoSpaceDE w:val="0"/>
              <w:autoSpaceDN w:val="0"/>
              <w:adjustRightInd w:val="0"/>
              <w:jc w:val="center"/>
              <w:rPr>
                <w:kern w:val="0"/>
                <w:szCs w:val="21"/>
              </w:rPr>
            </w:pPr>
            <w:r w:rsidRPr="00FD0D8E">
              <w:rPr>
                <w:rFonts w:hint="eastAsia"/>
                <w:kern w:val="0"/>
                <w:szCs w:val="21"/>
              </w:rPr>
              <w:t>控制</w:t>
            </w:r>
          </w:p>
        </w:tc>
        <w:tc>
          <w:tcPr>
            <w:tcW w:w="1699" w:type="pct"/>
            <w:tcBorders>
              <w:top w:val="nil"/>
              <w:left w:val="nil"/>
              <w:bottom w:val="nil"/>
              <w:right w:val="nil"/>
            </w:tcBorders>
          </w:tcPr>
          <w:p w14:paraId="618B00FA" w14:textId="25336F63" w:rsidR="009748DF" w:rsidRPr="00FD0D8E" w:rsidRDefault="009748DF" w:rsidP="00C74EB6">
            <w:pPr>
              <w:autoSpaceDE w:val="0"/>
              <w:autoSpaceDN w:val="0"/>
              <w:adjustRightInd w:val="0"/>
              <w:jc w:val="center"/>
              <w:rPr>
                <w:kern w:val="0"/>
                <w:szCs w:val="21"/>
              </w:rPr>
            </w:pPr>
            <w:r w:rsidRPr="00FD0D8E">
              <w:rPr>
                <w:rFonts w:hint="eastAsia"/>
                <w:kern w:val="0"/>
                <w:szCs w:val="21"/>
              </w:rPr>
              <w:t>控制</w:t>
            </w:r>
          </w:p>
        </w:tc>
      </w:tr>
      <w:tr w:rsidR="009748DF" w:rsidRPr="00FD0D8E" w14:paraId="664E374D" w14:textId="77777777" w:rsidTr="009748DF">
        <w:tc>
          <w:tcPr>
            <w:tcW w:w="1600" w:type="pct"/>
            <w:tcBorders>
              <w:top w:val="nil"/>
              <w:left w:val="nil"/>
              <w:right w:val="nil"/>
            </w:tcBorders>
          </w:tcPr>
          <w:p w14:paraId="2DFC60B1" w14:textId="4144E4AF" w:rsidR="009748DF" w:rsidRPr="00FD0D8E" w:rsidRDefault="009748DF" w:rsidP="00C74EB6">
            <w:pPr>
              <w:autoSpaceDE w:val="0"/>
              <w:autoSpaceDN w:val="0"/>
              <w:adjustRightInd w:val="0"/>
              <w:rPr>
                <w:kern w:val="0"/>
                <w:szCs w:val="21"/>
              </w:rPr>
            </w:pPr>
            <w:r w:rsidRPr="00FD0D8E">
              <w:rPr>
                <w:rFonts w:hint="eastAsia"/>
                <w:kern w:val="0"/>
                <w:szCs w:val="21"/>
              </w:rPr>
              <w:t>年份</w:t>
            </w:r>
            <w:r w:rsidRPr="00FD0D8E">
              <w:rPr>
                <w:rFonts w:hint="eastAsia"/>
                <w:kern w:val="0"/>
                <w:szCs w:val="21"/>
              </w:rPr>
              <w:t>FE</w:t>
            </w:r>
          </w:p>
        </w:tc>
        <w:tc>
          <w:tcPr>
            <w:tcW w:w="1701" w:type="pct"/>
            <w:tcBorders>
              <w:top w:val="nil"/>
              <w:left w:val="nil"/>
              <w:right w:val="nil"/>
            </w:tcBorders>
          </w:tcPr>
          <w:p w14:paraId="5BADB905" w14:textId="7B358E91" w:rsidR="009748DF" w:rsidRPr="00FD0D8E" w:rsidRDefault="009748DF" w:rsidP="00C74EB6">
            <w:pPr>
              <w:autoSpaceDE w:val="0"/>
              <w:autoSpaceDN w:val="0"/>
              <w:adjustRightInd w:val="0"/>
              <w:jc w:val="center"/>
              <w:rPr>
                <w:kern w:val="0"/>
                <w:szCs w:val="21"/>
              </w:rPr>
            </w:pPr>
            <w:r w:rsidRPr="00FD0D8E">
              <w:rPr>
                <w:rFonts w:hint="eastAsia"/>
                <w:kern w:val="0"/>
                <w:szCs w:val="21"/>
              </w:rPr>
              <w:t>控制</w:t>
            </w:r>
          </w:p>
        </w:tc>
        <w:tc>
          <w:tcPr>
            <w:tcW w:w="1699" w:type="pct"/>
            <w:tcBorders>
              <w:top w:val="nil"/>
              <w:left w:val="nil"/>
              <w:right w:val="nil"/>
            </w:tcBorders>
          </w:tcPr>
          <w:p w14:paraId="3A659692" w14:textId="55FA48B1" w:rsidR="009748DF" w:rsidRPr="00FD0D8E" w:rsidRDefault="009748DF" w:rsidP="00C74EB6">
            <w:pPr>
              <w:autoSpaceDE w:val="0"/>
              <w:autoSpaceDN w:val="0"/>
              <w:adjustRightInd w:val="0"/>
              <w:jc w:val="center"/>
              <w:rPr>
                <w:kern w:val="0"/>
                <w:szCs w:val="21"/>
              </w:rPr>
            </w:pPr>
            <w:r w:rsidRPr="00FD0D8E">
              <w:rPr>
                <w:rFonts w:hint="eastAsia"/>
                <w:kern w:val="0"/>
                <w:szCs w:val="21"/>
              </w:rPr>
              <w:t>控制</w:t>
            </w:r>
          </w:p>
        </w:tc>
      </w:tr>
      <w:tr w:rsidR="009748DF" w:rsidRPr="00FD0D8E" w14:paraId="77DEA2F9" w14:textId="77777777" w:rsidTr="009748DF">
        <w:tc>
          <w:tcPr>
            <w:tcW w:w="1600" w:type="pct"/>
            <w:tcBorders>
              <w:left w:val="nil"/>
              <w:bottom w:val="nil"/>
              <w:right w:val="nil"/>
            </w:tcBorders>
          </w:tcPr>
          <w:p w14:paraId="61AC8420" w14:textId="50D4C40D" w:rsidR="009748DF" w:rsidRPr="00FD0D8E" w:rsidRDefault="009748DF" w:rsidP="00C74EB6">
            <w:pPr>
              <w:autoSpaceDE w:val="0"/>
              <w:autoSpaceDN w:val="0"/>
              <w:adjustRightInd w:val="0"/>
              <w:rPr>
                <w:kern w:val="0"/>
                <w:szCs w:val="21"/>
              </w:rPr>
            </w:pPr>
            <w:r w:rsidRPr="00FD0D8E">
              <w:rPr>
                <w:kern w:val="0"/>
                <w:szCs w:val="21"/>
              </w:rPr>
              <w:t>N</w:t>
            </w:r>
          </w:p>
        </w:tc>
        <w:tc>
          <w:tcPr>
            <w:tcW w:w="1701" w:type="pct"/>
            <w:tcBorders>
              <w:left w:val="nil"/>
              <w:bottom w:val="nil"/>
              <w:right w:val="nil"/>
            </w:tcBorders>
          </w:tcPr>
          <w:p w14:paraId="1A548BBD" w14:textId="6BD10BDC" w:rsidR="009748DF" w:rsidRPr="00FD0D8E" w:rsidRDefault="009748DF" w:rsidP="00C74EB6">
            <w:pPr>
              <w:autoSpaceDE w:val="0"/>
              <w:autoSpaceDN w:val="0"/>
              <w:adjustRightInd w:val="0"/>
              <w:jc w:val="center"/>
              <w:rPr>
                <w:kern w:val="0"/>
                <w:szCs w:val="21"/>
              </w:rPr>
            </w:pPr>
            <w:r w:rsidRPr="00FD0D8E">
              <w:rPr>
                <w:rFonts w:hint="eastAsia"/>
                <w:kern w:val="0"/>
                <w:szCs w:val="21"/>
              </w:rPr>
              <w:t>20815</w:t>
            </w:r>
          </w:p>
        </w:tc>
        <w:tc>
          <w:tcPr>
            <w:tcW w:w="1699" w:type="pct"/>
            <w:tcBorders>
              <w:left w:val="nil"/>
              <w:bottom w:val="nil"/>
              <w:right w:val="nil"/>
            </w:tcBorders>
          </w:tcPr>
          <w:p w14:paraId="5F165C45" w14:textId="7ABF0771" w:rsidR="009748DF" w:rsidRPr="00FD0D8E" w:rsidRDefault="009748DF" w:rsidP="00C74EB6">
            <w:pPr>
              <w:autoSpaceDE w:val="0"/>
              <w:autoSpaceDN w:val="0"/>
              <w:adjustRightInd w:val="0"/>
              <w:jc w:val="center"/>
              <w:rPr>
                <w:kern w:val="0"/>
                <w:szCs w:val="21"/>
              </w:rPr>
            </w:pPr>
            <w:r w:rsidRPr="00FD0D8E">
              <w:rPr>
                <w:rFonts w:hint="eastAsia"/>
                <w:kern w:val="0"/>
                <w:szCs w:val="21"/>
              </w:rPr>
              <w:t>20771</w:t>
            </w:r>
          </w:p>
        </w:tc>
      </w:tr>
      <w:tr w:rsidR="009748DF" w:rsidRPr="00FD0D8E" w14:paraId="1CC67EC9" w14:textId="77777777" w:rsidTr="009748DF">
        <w:tc>
          <w:tcPr>
            <w:tcW w:w="1600" w:type="pct"/>
            <w:tcBorders>
              <w:top w:val="nil"/>
              <w:left w:val="nil"/>
              <w:bottom w:val="single" w:sz="4" w:space="0" w:color="auto"/>
              <w:right w:val="nil"/>
            </w:tcBorders>
          </w:tcPr>
          <w:p w14:paraId="331F177B" w14:textId="09276F76" w:rsidR="009748DF" w:rsidRPr="00FD0D8E" w:rsidRDefault="009748DF" w:rsidP="00C74EB6">
            <w:pPr>
              <w:autoSpaceDE w:val="0"/>
              <w:autoSpaceDN w:val="0"/>
              <w:adjustRightInd w:val="0"/>
              <w:rPr>
                <w:kern w:val="0"/>
                <w:szCs w:val="21"/>
              </w:rPr>
            </w:pPr>
            <w:r w:rsidRPr="00FD0D8E">
              <w:rPr>
                <w:rFonts w:hint="eastAsia"/>
                <w:kern w:val="0"/>
                <w:szCs w:val="21"/>
              </w:rPr>
              <w:t>Adj R</w:t>
            </w:r>
            <w:r w:rsidRPr="00FD0D8E">
              <w:rPr>
                <w:rFonts w:hint="eastAsia"/>
                <w:kern w:val="0"/>
                <w:szCs w:val="21"/>
              </w:rPr>
              <w:t>²</w:t>
            </w:r>
          </w:p>
        </w:tc>
        <w:tc>
          <w:tcPr>
            <w:tcW w:w="1701" w:type="pct"/>
            <w:tcBorders>
              <w:top w:val="nil"/>
              <w:left w:val="nil"/>
              <w:bottom w:val="single" w:sz="4" w:space="0" w:color="auto"/>
              <w:right w:val="nil"/>
            </w:tcBorders>
          </w:tcPr>
          <w:p w14:paraId="567BCC6D" w14:textId="2EEFF63E" w:rsidR="009748DF" w:rsidRPr="00FD0D8E" w:rsidRDefault="009748DF" w:rsidP="00C74EB6">
            <w:pPr>
              <w:autoSpaceDE w:val="0"/>
              <w:autoSpaceDN w:val="0"/>
              <w:adjustRightInd w:val="0"/>
              <w:jc w:val="center"/>
              <w:rPr>
                <w:kern w:val="0"/>
                <w:szCs w:val="21"/>
              </w:rPr>
            </w:pPr>
            <w:r w:rsidRPr="00FD0D8E">
              <w:rPr>
                <w:rFonts w:hint="eastAsia"/>
                <w:kern w:val="0"/>
                <w:szCs w:val="21"/>
              </w:rPr>
              <w:t>0.</w:t>
            </w:r>
            <w:r w:rsidR="00504A52" w:rsidRPr="00FD0D8E">
              <w:rPr>
                <w:rFonts w:hint="eastAsia"/>
                <w:kern w:val="0"/>
                <w:szCs w:val="21"/>
              </w:rPr>
              <w:t>16</w:t>
            </w:r>
          </w:p>
        </w:tc>
        <w:tc>
          <w:tcPr>
            <w:tcW w:w="1699" w:type="pct"/>
            <w:tcBorders>
              <w:top w:val="nil"/>
              <w:left w:val="nil"/>
              <w:bottom w:val="single" w:sz="4" w:space="0" w:color="auto"/>
              <w:right w:val="nil"/>
            </w:tcBorders>
          </w:tcPr>
          <w:p w14:paraId="4B051369" w14:textId="5F5DF7D5" w:rsidR="009748DF" w:rsidRPr="00FD0D8E" w:rsidRDefault="009748DF" w:rsidP="00C74EB6">
            <w:pPr>
              <w:autoSpaceDE w:val="0"/>
              <w:autoSpaceDN w:val="0"/>
              <w:adjustRightInd w:val="0"/>
              <w:jc w:val="center"/>
              <w:rPr>
                <w:kern w:val="0"/>
                <w:szCs w:val="21"/>
              </w:rPr>
            </w:pPr>
            <w:r w:rsidRPr="00FD0D8E">
              <w:rPr>
                <w:rFonts w:hint="eastAsia"/>
                <w:kern w:val="0"/>
                <w:szCs w:val="21"/>
              </w:rPr>
              <w:t>0.</w:t>
            </w:r>
            <w:r w:rsidR="00504A52" w:rsidRPr="00FD0D8E">
              <w:rPr>
                <w:rFonts w:hint="eastAsia"/>
                <w:kern w:val="0"/>
                <w:szCs w:val="21"/>
              </w:rPr>
              <w:t>04</w:t>
            </w:r>
          </w:p>
        </w:tc>
      </w:tr>
    </w:tbl>
    <w:p w14:paraId="5A42684E" w14:textId="77777777" w:rsidR="00E074CD" w:rsidRPr="00B50D68" w:rsidRDefault="00E074CD" w:rsidP="00E074CD">
      <w:pPr>
        <w:autoSpaceDE w:val="0"/>
        <w:autoSpaceDN w:val="0"/>
        <w:adjustRightInd w:val="0"/>
        <w:ind w:firstLine="360"/>
        <w:rPr>
          <w:kern w:val="0"/>
          <w:sz w:val="18"/>
          <w:szCs w:val="18"/>
        </w:rPr>
      </w:pPr>
      <w:r w:rsidRPr="00B50D68">
        <w:rPr>
          <w:rFonts w:hint="eastAsia"/>
          <w:kern w:val="0"/>
          <w:sz w:val="18"/>
          <w:szCs w:val="18"/>
        </w:rPr>
        <w:t>注：括号内代表聚类稳健标准误；</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分别表示变量在</w:t>
      </w:r>
      <w:r w:rsidRPr="00B50D68">
        <w:rPr>
          <w:rFonts w:hint="eastAsia"/>
          <w:kern w:val="0"/>
          <w:sz w:val="18"/>
          <w:szCs w:val="18"/>
        </w:rPr>
        <w:t>10%</w:t>
      </w:r>
      <w:r w:rsidRPr="00B50D68">
        <w:rPr>
          <w:rFonts w:hint="eastAsia"/>
          <w:kern w:val="0"/>
          <w:sz w:val="18"/>
          <w:szCs w:val="18"/>
        </w:rPr>
        <w:t>、</w:t>
      </w:r>
      <w:r w:rsidRPr="00B50D68">
        <w:rPr>
          <w:rFonts w:hint="eastAsia"/>
          <w:kern w:val="0"/>
          <w:sz w:val="18"/>
          <w:szCs w:val="18"/>
        </w:rPr>
        <w:t>5%</w:t>
      </w:r>
      <w:r w:rsidRPr="00B50D68">
        <w:rPr>
          <w:rFonts w:hint="eastAsia"/>
          <w:kern w:val="0"/>
          <w:sz w:val="18"/>
          <w:szCs w:val="18"/>
        </w:rPr>
        <w:t>、</w:t>
      </w:r>
      <w:r w:rsidRPr="00B50D68">
        <w:rPr>
          <w:rFonts w:hint="eastAsia"/>
          <w:kern w:val="0"/>
          <w:sz w:val="18"/>
          <w:szCs w:val="18"/>
        </w:rPr>
        <w:t>1%</w:t>
      </w:r>
      <w:r w:rsidRPr="00B50D68">
        <w:rPr>
          <w:rFonts w:hint="eastAsia"/>
          <w:kern w:val="0"/>
          <w:sz w:val="18"/>
          <w:szCs w:val="18"/>
        </w:rPr>
        <w:t>水平上显著。</w:t>
      </w:r>
    </w:p>
    <w:p w14:paraId="7F8F0D23" w14:textId="77777777" w:rsidR="001F35F2" w:rsidRPr="00086241" w:rsidRDefault="001F35F2" w:rsidP="00BE7A0E">
      <w:pPr>
        <w:autoSpaceDE w:val="0"/>
        <w:autoSpaceDN w:val="0"/>
        <w:adjustRightInd w:val="0"/>
        <w:ind w:firstLine="400"/>
        <w:rPr>
          <w:kern w:val="0"/>
          <w:sz w:val="20"/>
          <w:szCs w:val="20"/>
        </w:rPr>
      </w:pPr>
    </w:p>
    <w:p w14:paraId="7BA49997" w14:textId="2352E93B" w:rsidR="00BE7A0E" w:rsidRPr="00C74EB6" w:rsidRDefault="00AE339A" w:rsidP="00C74EB6">
      <w:pPr>
        <w:pStyle w:val="3"/>
      </w:pPr>
      <w:bookmarkStart w:id="123" w:name="_Toc191420757"/>
      <w:bookmarkStart w:id="124" w:name="_Toc191574127"/>
      <w:bookmarkStart w:id="125" w:name="_Toc198286998"/>
      <w:r w:rsidRPr="00C74EB6">
        <w:rPr>
          <w:rFonts w:hint="eastAsia"/>
        </w:rPr>
        <w:t>投资者关注度</w:t>
      </w:r>
      <w:r w:rsidR="00223F5F" w:rsidRPr="00C74EB6">
        <w:rPr>
          <w:rFonts w:hint="eastAsia"/>
        </w:rPr>
        <w:t>机制</w:t>
      </w:r>
      <w:bookmarkEnd w:id="123"/>
      <w:bookmarkEnd w:id="124"/>
      <w:bookmarkEnd w:id="125"/>
    </w:p>
    <w:p w14:paraId="1645D217" w14:textId="575B8EB8" w:rsidR="008F4D27" w:rsidRPr="00C74EB6" w:rsidRDefault="008F4D27" w:rsidP="000A7E16">
      <w:pPr>
        <w:spacing w:line="360" w:lineRule="auto"/>
        <w:ind w:firstLineChars="200" w:firstLine="480"/>
        <w:rPr>
          <w:sz w:val="24"/>
        </w:rPr>
      </w:pPr>
      <w:r w:rsidRPr="00C74EB6">
        <w:rPr>
          <w:rFonts w:hint="eastAsia"/>
          <w:sz w:val="24"/>
        </w:rPr>
        <w:t>借鉴</w:t>
      </w:r>
      <w:r w:rsidRPr="00C74EB6">
        <w:rPr>
          <w:rFonts w:hint="eastAsia"/>
          <w:sz w:val="24"/>
        </w:rPr>
        <w:t>Kim</w:t>
      </w:r>
      <w:r w:rsidRPr="00C74EB6">
        <w:rPr>
          <w:rFonts w:hint="eastAsia"/>
          <w:sz w:val="24"/>
        </w:rPr>
        <w:t>和</w:t>
      </w:r>
      <w:r w:rsidRPr="00C74EB6">
        <w:rPr>
          <w:rFonts w:hint="eastAsia"/>
          <w:sz w:val="24"/>
        </w:rPr>
        <w:t>Zhang</w:t>
      </w:r>
      <w:r w:rsidRPr="00C74EB6">
        <w:rPr>
          <w:rFonts w:hint="eastAsia"/>
          <w:sz w:val="24"/>
        </w:rPr>
        <w:t>（</w:t>
      </w:r>
      <w:r w:rsidRPr="00C74EB6">
        <w:rPr>
          <w:rFonts w:hint="eastAsia"/>
          <w:sz w:val="24"/>
        </w:rPr>
        <w:t>2014</w:t>
      </w:r>
      <w:r w:rsidRPr="00C74EB6">
        <w:rPr>
          <w:rFonts w:hint="eastAsia"/>
          <w:sz w:val="24"/>
        </w:rPr>
        <w:t>）、司登奎等（</w:t>
      </w:r>
      <w:r w:rsidRPr="00C74EB6">
        <w:rPr>
          <w:rFonts w:hint="eastAsia"/>
          <w:sz w:val="24"/>
        </w:rPr>
        <w:t>2020</w:t>
      </w:r>
      <w:r w:rsidRPr="00C74EB6">
        <w:rPr>
          <w:rFonts w:hint="eastAsia"/>
          <w:sz w:val="24"/>
        </w:rPr>
        <w:t>），本文分别采用公司被分析</w:t>
      </w:r>
      <w:proofErr w:type="gramStart"/>
      <w:r w:rsidRPr="00C74EB6">
        <w:rPr>
          <w:rFonts w:hint="eastAsia"/>
          <w:sz w:val="24"/>
        </w:rPr>
        <w:t>师关注</w:t>
      </w:r>
      <w:proofErr w:type="gramEnd"/>
      <w:r w:rsidRPr="00C74EB6">
        <w:rPr>
          <w:rFonts w:hint="eastAsia"/>
          <w:sz w:val="24"/>
        </w:rPr>
        <w:t>程度（</w:t>
      </w:r>
      <w:r w:rsidRPr="00C74EB6">
        <w:rPr>
          <w:rFonts w:hint="eastAsia"/>
          <w:sz w:val="24"/>
        </w:rPr>
        <w:t>analyst</w:t>
      </w:r>
      <w:r w:rsidRPr="00C74EB6">
        <w:rPr>
          <w:rFonts w:hint="eastAsia"/>
          <w:sz w:val="24"/>
        </w:rPr>
        <w:t>）和被</w:t>
      </w:r>
      <w:proofErr w:type="gramStart"/>
      <w:r w:rsidRPr="00C74EB6">
        <w:rPr>
          <w:rFonts w:hint="eastAsia"/>
          <w:sz w:val="24"/>
        </w:rPr>
        <w:t>研</w:t>
      </w:r>
      <w:proofErr w:type="gramEnd"/>
      <w:r w:rsidRPr="00C74EB6">
        <w:rPr>
          <w:rFonts w:hint="eastAsia"/>
          <w:sz w:val="24"/>
        </w:rPr>
        <w:t>报关注程度（</w:t>
      </w:r>
      <w:r w:rsidRPr="00C74EB6">
        <w:rPr>
          <w:rFonts w:hint="eastAsia"/>
          <w:sz w:val="24"/>
        </w:rPr>
        <w:t>research</w:t>
      </w:r>
      <w:r w:rsidRPr="00C74EB6">
        <w:rPr>
          <w:rFonts w:hint="eastAsia"/>
          <w:sz w:val="24"/>
        </w:rPr>
        <w:t>）作为外部监督指标。被分析</w:t>
      </w:r>
      <w:proofErr w:type="gramStart"/>
      <w:r w:rsidRPr="00C74EB6">
        <w:rPr>
          <w:rFonts w:hint="eastAsia"/>
          <w:sz w:val="24"/>
        </w:rPr>
        <w:t>师关注</w:t>
      </w:r>
      <w:proofErr w:type="gramEnd"/>
      <w:r w:rsidRPr="00C74EB6">
        <w:rPr>
          <w:rFonts w:hint="eastAsia"/>
          <w:sz w:val="24"/>
        </w:rPr>
        <w:t>程度和被</w:t>
      </w:r>
      <w:proofErr w:type="gramStart"/>
      <w:r w:rsidRPr="00C74EB6">
        <w:rPr>
          <w:rFonts w:hint="eastAsia"/>
          <w:sz w:val="24"/>
        </w:rPr>
        <w:t>研</w:t>
      </w:r>
      <w:proofErr w:type="gramEnd"/>
      <w:r w:rsidRPr="00C74EB6">
        <w:rPr>
          <w:rFonts w:hint="eastAsia"/>
          <w:sz w:val="24"/>
        </w:rPr>
        <w:t>报关注程度分别为一年内跟踪分析公司的分析师（团队）数量和</w:t>
      </w:r>
      <w:proofErr w:type="gramStart"/>
      <w:r w:rsidRPr="00C74EB6">
        <w:rPr>
          <w:rFonts w:hint="eastAsia"/>
          <w:sz w:val="24"/>
        </w:rPr>
        <w:t>研报数</w:t>
      </w:r>
      <w:proofErr w:type="gramEnd"/>
      <w:r w:rsidRPr="00C74EB6">
        <w:rPr>
          <w:rFonts w:hint="eastAsia"/>
          <w:sz w:val="24"/>
        </w:rPr>
        <w:t>量。</w:t>
      </w:r>
      <w:r w:rsidR="000A7E16" w:rsidRPr="00C74EB6">
        <w:rPr>
          <w:rFonts w:hint="eastAsia"/>
          <w:sz w:val="24"/>
        </w:rPr>
        <w:t>数量越高</w:t>
      </w:r>
      <w:r w:rsidR="001F35F2" w:rsidRPr="00C74EB6">
        <w:rPr>
          <w:rFonts w:hint="eastAsia"/>
          <w:sz w:val="24"/>
        </w:rPr>
        <w:t>表明</w:t>
      </w:r>
      <w:r w:rsidRPr="00C74EB6">
        <w:rPr>
          <w:rFonts w:hint="eastAsia"/>
          <w:sz w:val="24"/>
        </w:rPr>
        <w:t>公司被外部监督的程度越高。</w:t>
      </w:r>
    </w:p>
    <w:p w14:paraId="6977F015" w14:textId="234955C7" w:rsidR="000A7E16" w:rsidRPr="00C74EB6" w:rsidRDefault="004B772F" w:rsidP="00183022">
      <w:pPr>
        <w:spacing w:line="360" w:lineRule="auto"/>
        <w:ind w:firstLineChars="200" w:firstLine="480"/>
        <w:rPr>
          <w:sz w:val="24"/>
        </w:rPr>
      </w:pPr>
      <w:r w:rsidRPr="00C74EB6">
        <w:rPr>
          <w:sz w:val="24"/>
        </w:rPr>
        <w:fldChar w:fldCharType="begin"/>
      </w:r>
      <w:r w:rsidRPr="00C74EB6">
        <w:rPr>
          <w:sz w:val="24"/>
        </w:rPr>
        <w:instrText xml:space="preserve"> </w:instrText>
      </w:r>
      <w:r w:rsidRPr="00C74EB6">
        <w:rPr>
          <w:rFonts w:hint="eastAsia"/>
          <w:sz w:val="24"/>
        </w:rPr>
        <w:instrText>REF _Ref190769243 \h</w:instrText>
      </w:r>
      <w:r w:rsidRPr="00C74EB6">
        <w:rPr>
          <w:sz w:val="24"/>
        </w:rPr>
        <w:instrText xml:space="preserve">  \* MERGEFORMAT </w:instrText>
      </w:r>
      <w:r w:rsidRPr="00C74EB6">
        <w:rPr>
          <w:sz w:val="24"/>
        </w:rPr>
      </w:r>
      <w:r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9</w:t>
      </w:r>
      <w:r w:rsidRPr="00C74EB6">
        <w:rPr>
          <w:sz w:val="24"/>
        </w:rPr>
        <w:fldChar w:fldCharType="end"/>
      </w:r>
      <w:r w:rsidR="000A7E16" w:rsidRPr="00C74EB6">
        <w:rPr>
          <w:rFonts w:hint="eastAsia"/>
          <w:sz w:val="24"/>
        </w:rPr>
        <w:t>表明，无论是使用分析师</w:t>
      </w:r>
      <w:r w:rsidR="007106A6" w:rsidRPr="00C74EB6">
        <w:rPr>
          <w:rFonts w:hint="eastAsia"/>
          <w:sz w:val="24"/>
        </w:rPr>
        <w:t>数量</w:t>
      </w:r>
      <w:r w:rsidR="000A7E16" w:rsidRPr="00C74EB6">
        <w:rPr>
          <w:rFonts w:hint="eastAsia"/>
          <w:sz w:val="24"/>
        </w:rPr>
        <w:t>还是</w:t>
      </w:r>
      <w:proofErr w:type="gramStart"/>
      <w:r w:rsidR="000A7E16" w:rsidRPr="00C74EB6">
        <w:rPr>
          <w:rFonts w:hint="eastAsia"/>
          <w:sz w:val="24"/>
        </w:rPr>
        <w:t>研</w:t>
      </w:r>
      <w:proofErr w:type="gramEnd"/>
      <w:r w:rsidR="000A7E16" w:rsidRPr="00C74EB6">
        <w:rPr>
          <w:rFonts w:hint="eastAsia"/>
          <w:sz w:val="24"/>
        </w:rPr>
        <w:t>报数量，组织资本均显著提升外</w:t>
      </w:r>
      <w:r w:rsidR="000A7E16" w:rsidRPr="00C74EB6">
        <w:rPr>
          <w:rFonts w:hint="eastAsia"/>
          <w:sz w:val="24"/>
        </w:rPr>
        <w:lastRenderedPageBreak/>
        <w:t>部监督程度。组织资本高的公司会激发投资者深入调研的兴趣</w:t>
      </w:r>
      <w:r w:rsidR="00183022" w:rsidRPr="00C74EB6">
        <w:rPr>
          <w:rFonts w:hint="eastAsia"/>
          <w:sz w:val="24"/>
        </w:rPr>
        <w:t>，</w:t>
      </w:r>
      <w:r w:rsidR="000A7E16" w:rsidRPr="00C74EB6">
        <w:rPr>
          <w:rFonts w:hint="eastAsia"/>
          <w:sz w:val="24"/>
        </w:rPr>
        <w:t>这主要是</w:t>
      </w:r>
      <w:r w:rsidR="00183022" w:rsidRPr="00C74EB6">
        <w:rPr>
          <w:rFonts w:hint="eastAsia"/>
          <w:sz w:val="24"/>
        </w:rPr>
        <w:t>因为含有较高比例的不透明信息成分。面对投资者关注度的提升，公司会</w:t>
      </w:r>
      <w:r w:rsidR="001F35F2" w:rsidRPr="00C74EB6">
        <w:rPr>
          <w:rFonts w:hint="eastAsia"/>
          <w:sz w:val="24"/>
        </w:rPr>
        <w:t>考虑</w:t>
      </w:r>
      <w:r w:rsidR="00183022" w:rsidRPr="00C74EB6">
        <w:rPr>
          <w:rFonts w:hint="eastAsia"/>
          <w:sz w:val="24"/>
        </w:rPr>
        <w:t>购买董</w:t>
      </w:r>
      <w:proofErr w:type="gramStart"/>
      <w:r w:rsidR="00183022" w:rsidRPr="00C74EB6">
        <w:rPr>
          <w:rFonts w:hint="eastAsia"/>
          <w:sz w:val="24"/>
        </w:rPr>
        <w:t>监高责任</w:t>
      </w:r>
      <w:proofErr w:type="gramEnd"/>
      <w:r w:rsidR="00183022" w:rsidRPr="00C74EB6">
        <w:rPr>
          <w:rFonts w:hint="eastAsia"/>
          <w:sz w:val="24"/>
        </w:rPr>
        <w:t>险以回应外部监督压力。一方面，减轻因投资者广泛关注而引发的潜在诉讼风险；二是传递重视风险管理的信号，增强投资者对公司的信心。</w:t>
      </w:r>
    </w:p>
    <w:p w14:paraId="793315E0" w14:textId="6FCC50FA" w:rsidR="00B652C2" w:rsidRPr="00C74EB6" w:rsidRDefault="008E596C" w:rsidP="008E596C">
      <w:pPr>
        <w:spacing w:line="360" w:lineRule="auto"/>
        <w:ind w:firstLineChars="200" w:firstLine="480"/>
        <w:rPr>
          <w:sz w:val="24"/>
        </w:rPr>
      </w:pPr>
      <w:r w:rsidRPr="00C74EB6">
        <w:rPr>
          <w:rFonts w:hint="eastAsia"/>
          <w:sz w:val="24"/>
        </w:rPr>
        <w:t>结合前文理论分析和本章实证结果，本文认为假设</w:t>
      </w:r>
      <w:r w:rsidRPr="00C74EB6">
        <w:rPr>
          <w:rFonts w:hint="eastAsia"/>
          <w:sz w:val="24"/>
        </w:rPr>
        <w:t>H3</w:t>
      </w:r>
      <w:r w:rsidRPr="00C74EB6">
        <w:rPr>
          <w:rFonts w:hint="eastAsia"/>
          <w:sz w:val="24"/>
        </w:rPr>
        <w:t>成立，即组织资本通过增加投资者关注度</w:t>
      </w:r>
      <w:r w:rsidR="001F35F2" w:rsidRPr="00C74EB6">
        <w:rPr>
          <w:rFonts w:hint="eastAsia"/>
          <w:sz w:val="24"/>
        </w:rPr>
        <w:t>提升</w:t>
      </w:r>
      <w:r w:rsidR="00597A49" w:rsidRPr="00C74EB6">
        <w:rPr>
          <w:rFonts w:hint="eastAsia"/>
          <w:sz w:val="24"/>
        </w:rPr>
        <w:t>公司对</w:t>
      </w:r>
      <w:r w:rsidRPr="00C74EB6">
        <w:rPr>
          <w:rFonts w:hint="eastAsia"/>
          <w:sz w:val="24"/>
        </w:rPr>
        <w:t>董</w:t>
      </w:r>
      <w:proofErr w:type="gramStart"/>
      <w:r w:rsidRPr="00C74EB6">
        <w:rPr>
          <w:rFonts w:hint="eastAsia"/>
          <w:sz w:val="24"/>
        </w:rPr>
        <w:t>监高责任</w:t>
      </w:r>
      <w:proofErr w:type="gramEnd"/>
      <w:r w:rsidRPr="00C74EB6">
        <w:rPr>
          <w:rFonts w:hint="eastAsia"/>
          <w:sz w:val="24"/>
        </w:rPr>
        <w:t>险的</w:t>
      </w:r>
      <w:r w:rsidR="00D473F8" w:rsidRPr="00C74EB6">
        <w:rPr>
          <w:rFonts w:hint="eastAsia"/>
          <w:sz w:val="24"/>
        </w:rPr>
        <w:t>投保意向</w:t>
      </w:r>
      <w:r w:rsidRPr="00C74EB6">
        <w:rPr>
          <w:rFonts w:hint="eastAsia"/>
          <w:sz w:val="24"/>
        </w:rPr>
        <w:t>。</w:t>
      </w:r>
    </w:p>
    <w:p w14:paraId="4B07E893" w14:textId="77777777" w:rsidR="00687289" w:rsidRPr="008E596C" w:rsidRDefault="00687289" w:rsidP="008E596C">
      <w:pPr>
        <w:spacing w:line="360" w:lineRule="auto"/>
        <w:ind w:firstLineChars="200" w:firstLine="480"/>
        <w:rPr>
          <w:sz w:val="24"/>
        </w:rPr>
      </w:pPr>
    </w:p>
    <w:p w14:paraId="63407865" w14:textId="40793022" w:rsidR="00BE7A0E" w:rsidRPr="00734874" w:rsidRDefault="00734874" w:rsidP="00734874">
      <w:pPr>
        <w:pStyle w:val="af5"/>
        <w:ind w:firstLine="482"/>
        <w:rPr>
          <w:rFonts w:ascii="Times New Roman" w:hAnsi="Times New Roman"/>
        </w:rPr>
      </w:pPr>
      <w:bookmarkStart w:id="126" w:name="_Ref190769243"/>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9</w:t>
      </w:r>
      <w:r w:rsidRPr="00734874">
        <w:rPr>
          <w:rFonts w:ascii="Times New Roman" w:hAnsi="Times New Roman" w:hint="eastAsia"/>
        </w:rPr>
        <w:fldChar w:fldCharType="end"/>
      </w:r>
      <w:bookmarkEnd w:id="126"/>
      <w:r w:rsidR="00BE7A0E" w:rsidRPr="00734874">
        <w:rPr>
          <w:rFonts w:ascii="Times New Roman" w:hAnsi="Times New Roman" w:hint="eastAsia"/>
        </w:rPr>
        <w:t>：</w:t>
      </w:r>
      <w:r w:rsidR="00687289">
        <w:rPr>
          <w:rFonts w:ascii="Times New Roman" w:hAnsi="Times New Roman" w:hint="eastAsia"/>
        </w:rPr>
        <w:t>投资者关注度</w:t>
      </w:r>
      <w:r w:rsidR="00BE7A0E" w:rsidRPr="00734874">
        <w:rPr>
          <w:rFonts w:ascii="Times New Roman" w:hAnsi="Times New Roman" w:hint="eastAsia"/>
        </w:rPr>
        <w:t>的机制检验</w:t>
      </w:r>
    </w:p>
    <w:tbl>
      <w:tblPr>
        <w:tblW w:w="5000" w:type="pct"/>
        <w:tblLook w:val="0000" w:firstRow="0" w:lastRow="0" w:firstColumn="0" w:lastColumn="0" w:noHBand="0" w:noVBand="0"/>
      </w:tblPr>
      <w:tblGrid>
        <w:gridCol w:w="2819"/>
        <w:gridCol w:w="2744"/>
        <w:gridCol w:w="2743"/>
      </w:tblGrid>
      <w:tr w:rsidR="007106A6" w:rsidRPr="00FD0D8E" w14:paraId="13EB86A0" w14:textId="77777777" w:rsidTr="007106A6">
        <w:tc>
          <w:tcPr>
            <w:tcW w:w="1697" w:type="pct"/>
            <w:tcBorders>
              <w:top w:val="single" w:sz="4" w:space="0" w:color="auto"/>
              <w:left w:val="nil"/>
              <w:bottom w:val="nil"/>
              <w:right w:val="nil"/>
            </w:tcBorders>
          </w:tcPr>
          <w:p w14:paraId="186D6CD7" w14:textId="77777777" w:rsidR="007106A6" w:rsidRPr="00FD0D8E" w:rsidRDefault="007106A6" w:rsidP="00C74EB6">
            <w:pPr>
              <w:autoSpaceDE w:val="0"/>
              <w:autoSpaceDN w:val="0"/>
              <w:adjustRightInd w:val="0"/>
              <w:rPr>
                <w:kern w:val="0"/>
                <w:szCs w:val="21"/>
              </w:rPr>
            </w:pPr>
          </w:p>
        </w:tc>
        <w:tc>
          <w:tcPr>
            <w:tcW w:w="1652" w:type="pct"/>
            <w:tcBorders>
              <w:top w:val="single" w:sz="4" w:space="0" w:color="auto"/>
              <w:left w:val="nil"/>
              <w:bottom w:val="nil"/>
              <w:right w:val="nil"/>
            </w:tcBorders>
          </w:tcPr>
          <w:p w14:paraId="31554148" w14:textId="56900B08" w:rsidR="007106A6" w:rsidRPr="00FD0D8E" w:rsidRDefault="007106A6" w:rsidP="00C74EB6">
            <w:pPr>
              <w:autoSpaceDE w:val="0"/>
              <w:autoSpaceDN w:val="0"/>
              <w:adjustRightInd w:val="0"/>
              <w:jc w:val="center"/>
              <w:rPr>
                <w:kern w:val="0"/>
                <w:szCs w:val="21"/>
              </w:rPr>
            </w:pPr>
            <w:r w:rsidRPr="00FD0D8E">
              <w:rPr>
                <w:kern w:val="0"/>
                <w:szCs w:val="21"/>
              </w:rPr>
              <w:t>(</w:t>
            </w:r>
            <w:r w:rsidRPr="00FD0D8E">
              <w:rPr>
                <w:rFonts w:hint="eastAsia"/>
                <w:kern w:val="0"/>
                <w:szCs w:val="21"/>
              </w:rPr>
              <w:t>1</w:t>
            </w:r>
            <w:r w:rsidRPr="00FD0D8E">
              <w:rPr>
                <w:kern w:val="0"/>
                <w:szCs w:val="21"/>
              </w:rPr>
              <w:t>)</w:t>
            </w:r>
          </w:p>
        </w:tc>
        <w:tc>
          <w:tcPr>
            <w:tcW w:w="1651" w:type="pct"/>
            <w:tcBorders>
              <w:top w:val="single" w:sz="4" w:space="0" w:color="auto"/>
              <w:left w:val="nil"/>
              <w:bottom w:val="nil"/>
              <w:right w:val="nil"/>
            </w:tcBorders>
          </w:tcPr>
          <w:p w14:paraId="217801D8" w14:textId="0CCFC732" w:rsidR="007106A6" w:rsidRPr="00FD0D8E" w:rsidRDefault="007106A6" w:rsidP="00C74EB6">
            <w:pPr>
              <w:autoSpaceDE w:val="0"/>
              <w:autoSpaceDN w:val="0"/>
              <w:adjustRightInd w:val="0"/>
              <w:jc w:val="center"/>
              <w:rPr>
                <w:kern w:val="0"/>
                <w:szCs w:val="21"/>
              </w:rPr>
            </w:pPr>
            <w:r w:rsidRPr="00FD0D8E">
              <w:rPr>
                <w:kern w:val="0"/>
                <w:szCs w:val="21"/>
              </w:rPr>
              <w:t>(</w:t>
            </w:r>
            <w:r w:rsidRPr="00FD0D8E">
              <w:rPr>
                <w:rFonts w:hint="eastAsia"/>
                <w:kern w:val="0"/>
                <w:szCs w:val="21"/>
              </w:rPr>
              <w:t>2</w:t>
            </w:r>
            <w:r w:rsidRPr="00FD0D8E">
              <w:rPr>
                <w:kern w:val="0"/>
                <w:szCs w:val="21"/>
              </w:rPr>
              <w:t>)</w:t>
            </w:r>
          </w:p>
        </w:tc>
      </w:tr>
      <w:tr w:rsidR="007106A6" w:rsidRPr="00FD0D8E" w14:paraId="514CAEB0" w14:textId="77777777" w:rsidTr="007106A6">
        <w:tc>
          <w:tcPr>
            <w:tcW w:w="1697" w:type="pct"/>
            <w:tcBorders>
              <w:top w:val="nil"/>
              <w:left w:val="nil"/>
              <w:bottom w:val="nil"/>
              <w:right w:val="nil"/>
            </w:tcBorders>
          </w:tcPr>
          <w:p w14:paraId="4D9862B8"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041C7668" w14:textId="77777777" w:rsidR="007106A6" w:rsidRPr="00FD0D8E" w:rsidRDefault="007106A6" w:rsidP="00C74EB6">
            <w:pPr>
              <w:autoSpaceDE w:val="0"/>
              <w:autoSpaceDN w:val="0"/>
              <w:adjustRightInd w:val="0"/>
              <w:jc w:val="center"/>
              <w:rPr>
                <w:kern w:val="0"/>
                <w:szCs w:val="21"/>
              </w:rPr>
            </w:pPr>
            <w:r w:rsidRPr="00FD0D8E">
              <w:rPr>
                <w:kern w:val="0"/>
                <w:szCs w:val="21"/>
              </w:rPr>
              <w:t>Analyst</w:t>
            </w:r>
            <w:r w:rsidRPr="00FD0D8E">
              <w:rPr>
                <w:rFonts w:hint="eastAsia"/>
                <w:kern w:val="0"/>
                <w:szCs w:val="21"/>
                <w:vertAlign w:val="subscript"/>
              </w:rPr>
              <w:t>t+1</w:t>
            </w:r>
          </w:p>
        </w:tc>
        <w:tc>
          <w:tcPr>
            <w:tcW w:w="1651" w:type="pct"/>
            <w:tcBorders>
              <w:top w:val="nil"/>
              <w:left w:val="nil"/>
              <w:bottom w:val="nil"/>
              <w:right w:val="nil"/>
            </w:tcBorders>
          </w:tcPr>
          <w:p w14:paraId="6C81F97A" w14:textId="77777777" w:rsidR="007106A6" w:rsidRPr="00FD0D8E" w:rsidRDefault="007106A6" w:rsidP="00C74EB6">
            <w:pPr>
              <w:autoSpaceDE w:val="0"/>
              <w:autoSpaceDN w:val="0"/>
              <w:adjustRightInd w:val="0"/>
              <w:jc w:val="center"/>
              <w:rPr>
                <w:kern w:val="0"/>
                <w:szCs w:val="21"/>
              </w:rPr>
            </w:pPr>
            <w:r w:rsidRPr="00FD0D8E">
              <w:rPr>
                <w:kern w:val="0"/>
                <w:szCs w:val="21"/>
              </w:rPr>
              <w:t>Research</w:t>
            </w:r>
            <w:r w:rsidRPr="00FD0D8E">
              <w:rPr>
                <w:rFonts w:hint="eastAsia"/>
                <w:kern w:val="0"/>
                <w:szCs w:val="21"/>
                <w:vertAlign w:val="subscript"/>
              </w:rPr>
              <w:t>t+1</w:t>
            </w:r>
          </w:p>
        </w:tc>
      </w:tr>
      <w:tr w:rsidR="007106A6" w:rsidRPr="00FD0D8E" w14:paraId="4B460EA8" w14:textId="77777777" w:rsidTr="007106A6">
        <w:tc>
          <w:tcPr>
            <w:tcW w:w="1697" w:type="pct"/>
            <w:tcBorders>
              <w:top w:val="single" w:sz="4" w:space="0" w:color="auto"/>
              <w:left w:val="nil"/>
              <w:bottom w:val="nil"/>
              <w:right w:val="nil"/>
            </w:tcBorders>
          </w:tcPr>
          <w:p w14:paraId="05D66909" w14:textId="7632673E" w:rsidR="007106A6" w:rsidRPr="00FD0D8E" w:rsidRDefault="007106A6" w:rsidP="00C74EB6">
            <w:pPr>
              <w:autoSpaceDE w:val="0"/>
              <w:autoSpaceDN w:val="0"/>
              <w:adjustRightInd w:val="0"/>
              <w:rPr>
                <w:kern w:val="0"/>
                <w:szCs w:val="21"/>
              </w:rPr>
            </w:pPr>
            <w:r w:rsidRPr="00FD0D8E">
              <w:rPr>
                <w:kern w:val="0"/>
                <w:szCs w:val="21"/>
              </w:rPr>
              <w:t>OC</w:t>
            </w:r>
          </w:p>
        </w:tc>
        <w:tc>
          <w:tcPr>
            <w:tcW w:w="1652" w:type="pct"/>
            <w:tcBorders>
              <w:top w:val="single" w:sz="4" w:space="0" w:color="auto"/>
              <w:left w:val="nil"/>
              <w:bottom w:val="nil"/>
              <w:right w:val="nil"/>
            </w:tcBorders>
          </w:tcPr>
          <w:p w14:paraId="3F7000F6" w14:textId="77777777" w:rsidR="007106A6" w:rsidRPr="00FD0D8E" w:rsidRDefault="007106A6" w:rsidP="00C74EB6">
            <w:pPr>
              <w:autoSpaceDE w:val="0"/>
              <w:autoSpaceDN w:val="0"/>
              <w:adjustRightInd w:val="0"/>
              <w:jc w:val="center"/>
              <w:rPr>
                <w:kern w:val="0"/>
                <w:szCs w:val="21"/>
              </w:rPr>
            </w:pPr>
            <w:r w:rsidRPr="00FD0D8E">
              <w:rPr>
                <w:kern w:val="0"/>
                <w:szCs w:val="21"/>
              </w:rPr>
              <w:t>0.299</w:t>
            </w:r>
            <w:r w:rsidRPr="00FD0D8E">
              <w:rPr>
                <w:kern w:val="0"/>
                <w:szCs w:val="21"/>
                <w:vertAlign w:val="superscript"/>
              </w:rPr>
              <w:t>***</w:t>
            </w:r>
          </w:p>
        </w:tc>
        <w:tc>
          <w:tcPr>
            <w:tcW w:w="1651" w:type="pct"/>
            <w:tcBorders>
              <w:top w:val="single" w:sz="4" w:space="0" w:color="auto"/>
              <w:left w:val="nil"/>
              <w:bottom w:val="nil"/>
              <w:right w:val="nil"/>
            </w:tcBorders>
          </w:tcPr>
          <w:p w14:paraId="5B32E9F4" w14:textId="77777777" w:rsidR="007106A6" w:rsidRPr="00FD0D8E" w:rsidRDefault="007106A6" w:rsidP="00C74EB6">
            <w:pPr>
              <w:autoSpaceDE w:val="0"/>
              <w:autoSpaceDN w:val="0"/>
              <w:adjustRightInd w:val="0"/>
              <w:jc w:val="center"/>
              <w:rPr>
                <w:kern w:val="0"/>
                <w:szCs w:val="21"/>
              </w:rPr>
            </w:pPr>
            <w:r w:rsidRPr="00FD0D8E">
              <w:rPr>
                <w:kern w:val="0"/>
                <w:szCs w:val="21"/>
              </w:rPr>
              <w:t>0.373</w:t>
            </w:r>
            <w:r w:rsidRPr="00FD0D8E">
              <w:rPr>
                <w:kern w:val="0"/>
                <w:szCs w:val="21"/>
                <w:vertAlign w:val="superscript"/>
              </w:rPr>
              <w:t>***</w:t>
            </w:r>
          </w:p>
        </w:tc>
      </w:tr>
      <w:tr w:rsidR="007106A6" w:rsidRPr="00FD0D8E" w14:paraId="3741398F" w14:textId="77777777" w:rsidTr="007106A6">
        <w:tc>
          <w:tcPr>
            <w:tcW w:w="1697" w:type="pct"/>
            <w:tcBorders>
              <w:top w:val="nil"/>
              <w:left w:val="nil"/>
              <w:bottom w:val="nil"/>
              <w:right w:val="nil"/>
            </w:tcBorders>
          </w:tcPr>
          <w:p w14:paraId="59AD14C7"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6CBD2EC5" w14:textId="77777777" w:rsidR="007106A6" w:rsidRPr="00FD0D8E" w:rsidRDefault="007106A6" w:rsidP="00C74EB6">
            <w:pPr>
              <w:autoSpaceDE w:val="0"/>
              <w:autoSpaceDN w:val="0"/>
              <w:adjustRightInd w:val="0"/>
              <w:jc w:val="center"/>
              <w:rPr>
                <w:kern w:val="0"/>
                <w:szCs w:val="21"/>
              </w:rPr>
            </w:pPr>
            <w:r w:rsidRPr="00FD0D8E">
              <w:rPr>
                <w:kern w:val="0"/>
                <w:szCs w:val="21"/>
              </w:rPr>
              <w:t>(0.019)</w:t>
            </w:r>
          </w:p>
        </w:tc>
        <w:tc>
          <w:tcPr>
            <w:tcW w:w="1651" w:type="pct"/>
            <w:tcBorders>
              <w:top w:val="nil"/>
              <w:left w:val="nil"/>
              <w:bottom w:val="nil"/>
              <w:right w:val="nil"/>
            </w:tcBorders>
          </w:tcPr>
          <w:p w14:paraId="24CBBDE8" w14:textId="77777777" w:rsidR="007106A6" w:rsidRPr="00FD0D8E" w:rsidRDefault="007106A6" w:rsidP="00C74EB6">
            <w:pPr>
              <w:autoSpaceDE w:val="0"/>
              <w:autoSpaceDN w:val="0"/>
              <w:adjustRightInd w:val="0"/>
              <w:jc w:val="center"/>
              <w:rPr>
                <w:kern w:val="0"/>
                <w:szCs w:val="21"/>
              </w:rPr>
            </w:pPr>
            <w:r w:rsidRPr="00FD0D8E">
              <w:rPr>
                <w:kern w:val="0"/>
                <w:szCs w:val="21"/>
              </w:rPr>
              <w:t>(0.024)</w:t>
            </w:r>
          </w:p>
        </w:tc>
      </w:tr>
      <w:tr w:rsidR="007106A6" w:rsidRPr="00FD0D8E" w14:paraId="3C6B4E51" w14:textId="77777777" w:rsidTr="007106A6">
        <w:tc>
          <w:tcPr>
            <w:tcW w:w="1697" w:type="pct"/>
            <w:tcBorders>
              <w:top w:val="nil"/>
              <w:left w:val="nil"/>
              <w:bottom w:val="nil"/>
              <w:right w:val="nil"/>
            </w:tcBorders>
          </w:tcPr>
          <w:p w14:paraId="5C49F957" w14:textId="77777777" w:rsidR="007106A6" w:rsidRPr="00FD0D8E" w:rsidRDefault="007106A6" w:rsidP="00C74EB6">
            <w:pPr>
              <w:autoSpaceDE w:val="0"/>
              <w:autoSpaceDN w:val="0"/>
              <w:adjustRightInd w:val="0"/>
              <w:rPr>
                <w:kern w:val="0"/>
                <w:szCs w:val="21"/>
              </w:rPr>
            </w:pPr>
            <w:r w:rsidRPr="00FD0D8E">
              <w:rPr>
                <w:kern w:val="0"/>
                <w:szCs w:val="21"/>
              </w:rPr>
              <w:t>BH</w:t>
            </w:r>
          </w:p>
        </w:tc>
        <w:tc>
          <w:tcPr>
            <w:tcW w:w="1652" w:type="pct"/>
            <w:tcBorders>
              <w:top w:val="nil"/>
              <w:left w:val="nil"/>
              <w:bottom w:val="nil"/>
              <w:right w:val="nil"/>
            </w:tcBorders>
          </w:tcPr>
          <w:p w14:paraId="279C2282" w14:textId="77777777" w:rsidR="007106A6" w:rsidRPr="00FD0D8E" w:rsidRDefault="007106A6" w:rsidP="00C74EB6">
            <w:pPr>
              <w:autoSpaceDE w:val="0"/>
              <w:autoSpaceDN w:val="0"/>
              <w:adjustRightInd w:val="0"/>
              <w:jc w:val="center"/>
              <w:rPr>
                <w:kern w:val="0"/>
                <w:szCs w:val="21"/>
              </w:rPr>
            </w:pPr>
            <w:r w:rsidRPr="00FD0D8E">
              <w:rPr>
                <w:kern w:val="0"/>
                <w:szCs w:val="21"/>
              </w:rPr>
              <w:t>-0.019</w:t>
            </w:r>
          </w:p>
        </w:tc>
        <w:tc>
          <w:tcPr>
            <w:tcW w:w="1651" w:type="pct"/>
            <w:tcBorders>
              <w:top w:val="nil"/>
              <w:left w:val="nil"/>
              <w:bottom w:val="nil"/>
              <w:right w:val="nil"/>
            </w:tcBorders>
          </w:tcPr>
          <w:p w14:paraId="7ACA42A3" w14:textId="77777777" w:rsidR="007106A6" w:rsidRPr="00FD0D8E" w:rsidRDefault="007106A6" w:rsidP="00C74EB6">
            <w:pPr>
              <w:autoSpaceDE w:val="0"/>
              <w:autoSpaceDN w:val="0"/>
              <w:adjustRightInd w:val="0"/>
              <w:jc w:val="center"/>
              <w:rPr>
                <w:kern w:val="0"/>
                <w:szCs w:val="21"/>
              </w:rPr>
            </w:pPr>
            <w:r w:rsidRPr="00FD0D8E">
              <w:rPr>
                <w:kern w:val="0"/>
                <w:szCs w:val="21"/>
              </w:rPr>
              <w:t>0.004</w:t>
            </w:r>
          </w:p>
        </w:tc>
      </w:tr>
      <w:tr w:rsidR="007106A6" w:rsidRPr="00FD0D8E" w14:paraId="4ED1B6A7" w14:textId="77777777" w:rsidTr="007106A6">
        <w:tc>
          <w:tcPr>
            <w:tcW w:w="1697" w:type="pct"/>
            <w:tcBorders>
              <w:top w:val="nil"/>
              <w:left w:val="nil"/>
              <w:bottom w:val="nil"/>
              <w:right w:val="nil"/>
            </w:tcBorders>
          </w:tcPr>
          <w:p w14:paraId="7BA850DD"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5D65E4E9" w14:textId="77777777" w:rsidR="007106A6" w:rsidRPr="00FD0D8E" w:rsidRDefault="007106A6" w:rsidP="00C74EB6">
            <w:pPr>
              <w:autoSpaceDE w:val="0"/>
              <w:autoSpaceDN w:val="0"/>
              <w:adjustRightInd w:val="0"/>
              <w:jc w:val="center"/>
              <w:rPr>
                <w:kern w:val="0"/>
                <w:szCs w:val="21"/>
              </w:rPr>
            </w:pPr>
            <w:r w:rsidRPr="00FD0D8E">
              <w:rPr>
                <w:kern w:val="0"/>
                <w:szCs w:val="21"/>
              </w:rPr>
              <w:t>(0.027)</w:t>
            </w:r>
          </w:p>
        </w:tc>
        <w:tc>
          <w:tcPr>
            <w:tcW w:w="1651" w:type="pct"/>
            <w:tcBorders>
              <w:top w:val="nil"/>
              <w:left w:val="nil"/>
              <w:bottom w:val="nil"/>
              <w:right w:val="nil"/>
            </w:tcBorders>
          </w:tcPr>
          <w:p w14:paraId="4132A431" w14:textId="77777777" w:rsidR="007106A6" w:rsidRPr="00FD0D8E" w:rsidRDefault="007106A6" w:rsidP="00C74EB6">
            <w:pPr>
              <w:autoSpaceDE w:val="0"/>
              <w:autoSpaceDN w:val="0"/>
              <w:adjustRightInd w:val="0"/>
              <w:jc w:val="center"/>
              <w:rPr>
                <w:kern w:val="0"/>
                <w:szCs w:val="21"/>
              </w:rPr>
            </w:pPr>
            <w:r w:rsidRPr="00FD0D8E">
              <w:rPr>
                <w:kern w:val="0"/>
                <w:szCs w:val="21"/>
              </w:rPr>
              <w:t>(0.039)</w:t>
            </w:r>
          </w:p>
        </w:tc>
      </w:tr>
      <w:tr w:rsidR="007106A6" w:rsidRPr="00FD0D8E" w14:paraId="04E27660" w14:textId="77777777" w:rsidTr="007106A6">
        <w:tc>
          <w:tcPr>
            <w:tcW w:w="1697" w:type="pct"/>
            <w:tcBorders>
              <w:top w:val="nil"/>
              <w:left w:val="nil"/>
              <w:bottom w:val="nil"/>
              <w:right w:val="nil"/>
            </w:tcBorders>
          </w:tcPr>
          <w:p w14:paraId="5E59101D" w14:textId="77777777" w:rsidR="007106A6" w:rsidRPr="00FD0D8E" w:rsidRDefault="007106A6" w:rsidP="00C74EB6">
            <w:pPr>
              <w:autoSpaceDE w:val="0"/>
              <w:autoSpaceDN w:val="0"/>
              <w:adjustRightInd w:val="0"/>
              <w:rPr>
                <w:kern w:val="0"/>
                <w:szCs w:val="21"/>
              </w:rPr>
            </w:pPr>
            <w:r w:rsidRPr="00FD0D8E">
              <w:rPr>
                <w:kern w:val="0"/>
                <w:szCs w:val="21"/>
              </w:rPr>
              <w:t>Big4</w:t>
            </w:r>
          </w:p>
        </w:tc>
        <w:tc>
          <w:tcPr>
            <w:tcW w:w="1652" w:type="pct"/>
            <w:tcBorders>
              <w:top w:val="nil"/>
              <w:left w:val="nil"/>
              <w:bottom w:val="nil"/>
              <w:right w:val="nil"/>
            </w:tcBorders>
          </w:tcPr>
          <w:p w14:paraId="453B8F40" w14:textId="77777777" w:rsidR="007106A6" w:rsidRPr="00FD0D8E" w:rsidRDefault="007106A6" w:rsidP="00C74EB6">
            <w:pPr>
              <w:autoSpaceDE w:val="0"/>
              <w:autoSpaceDN w:val="0"/>
              <w:adjustRightInd w:val="0"/>
              <w:jc w:val="center"/>
              <w:rPr>
                <w:kern w:val="0"/>
                <w:szCs w:val="21"/>
              </w:rPr>
            </w:pPr>
            <w:r w:rsidRPr="00FD0D8E">
              <w:rPr>
                <w:kern w:val="0"/>
                <w:szCs w:val="21"/>
              </w:rPr>
              <w:t>0.065</w:t>
            </w:r>
            <w:r w:rsidRPr="00FD0D8E">
              <w:rPr>
                <w:kern w:val="0"/>
                <w:szCs w:val="21"/>
                <w:vertAlign w:val="superscript"/>
              </w:rPr>
              <w:t>***</w:t>
            </w:r>
          </w:p>
        </w:tc>
        <w:tc>
          <w:tcPr>
            <w:tcW w:w="1651" w:type="pct"/>
            <w:tcBorders>
              <w:top w:val="nil"/>
              <w:left w:val="nil"/>
              <w:bottom w:val="nil"/>
              <w:right w:val="nil"/>
            </w:tcBorders>
          </w:tcPr>
          <w:p w14:paraId="4C48188B" w14:textId="77777777" w:rsidR="007106A6" w:rsidRPr="00FD0D8E" w:rsidRDefault="007106A6" w:rsidP="00C74EB6">
            <w:pPr>
              <w:autoSpaceDE w:val="0"/>
              <w:autoSpaceDN w:val="0"/>
              <w:adjustRightInd w:val="0"/>
              <w:jc w:val="center"/>
              <w:rPr>
                <w:kern w:val="0"/>
                <w:szCs w:val="21"/>
              </w:rPr>
            </w:pPr>
            <w:r w:rsidRPr="00FD0D8E">
              <w:rPr>
                <w:kern w:val="0"/>
                <w:szCs w:val="21"/>
              </w:rPr>
              <w:t>0.094</w:t>
            </w:r>
            <w:r w:rsidRPr="00FD0D8E">
              <w:rPr>
                <w:kern w:val="0"/>
                <w:szCs w:val="21"/>
                <w:vertAlign w:val="superscript"/>
              </w:rPr>
              <w:t>***</w:t>
            </w:r>
          </w:p>
        </w:tc>
      </w:tr>
      <w:tr w:rsidR="007106A6" w:rsidRPr="00FD0D8E" w14:paraId="326D97A5" w14:textId="77777777" w:rsidTr="007106A6">
        <w:tc>
          <w:tcPr>
            <w:tcW w:w="1697" w:type="pct"/>
            <w:tcBorders>
              <w:top w:val="nil"/>
              <w:left w:val="nil"/>
              <w:bottom w:val="nil"/>
              <w:right w:val="nil"/>
            </w:tcBorders>
          </w:tcPr>
          <w:p w14:paraId="7EE3E73C"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713976BE" w14:textId="77777777" w:rsidR="007106A6" w:rsidRPr="00FD0D8E" w:rsidRDefault="007106A6" w:rsidP="00C74EB6">
            <w:pPr>
              <w:autoSpaceDE w:val="0"/>
              <w:autoSpaceDN w:val="0"/>
              <w:adjustRightInd w:val="0"/>
              <w:jc w:val="center"/>
              <w:rPr>
                <w:kern w:val="0"/>
                <w:szCs w:val="21"/>
              </w:rPr>
            </w:pPr>
            <w:r w:rsidRPr="00FD0D8E">
              <w:rPr>
                <w:kern w:val="0"/>
                <w:szCs w:val="21"/>
              </w:rPr>
              <w:t>(0.018)</w:t>
            </w:r>
          </w:p>
        </w:tc>
        <w:tc>
          <w:tcPr>
            <w:tcW w:w="1651" w:type="pct"/>
            <w:tcBorders>
              <w:top w:val="nil"/>
              <w:left w:val="nil"/>
              <w:bottom w:val="nil"/>
              <w:right w:val="nil"/>
            </w:tcBorders>
          </w:tcPr>
          <w:p w14:paraId="7E5232A3" w14:textId="77777777" w:rsidR="007106A6" w:rsidRPr="00FD0D8E" w:rsidRDefault="007106A6" w:rsidP="00C74EB6">
            <w:pPr>
              <w:autoSpaceDE w:val="0"/>
              <w:autoSpaceDN w:val="0"/>
              <w:adjustRightInd w:val="0"/>
              <w:jc w:val="center"/>
              <w:rPr>
                <w:kern w:val="0"/>
                <w:szCs w:val="21"/>
              </w:rPr>
            </w:pPr>
            <w:r w:rsidRPr="00FD0D8E">
              <w:rPr>
                <w:kern w:val="0"/>
                <w:szCs w:val="21"/>
              </w:rPr>
              <w:t>(0.025)</w:t>
            </w:r>
          </w:p>
        </w:tc>
      </w:tr>
      <w:tr w:rsidR="007106A6" w:rsidRPr="00FD0D8E" w14:paraId="142F87F9" w14:textId="77777777" w:rsidTr="007106A6">
        <w:tc>
          <w:tcPr>
            <w:tcW w:w="1697" w:type="pct"/>
            <w:tcBorders>
              <w:top w:val="nil"/>
              <w:left w:val="nil"/>
              <w:bottom w:val="nil"/>
              <w:right w:val="nil"/>
            </w:tcBorders>
          </w:tcPr>
          <w:p w14:paraId="315F554E" w14:textId="77777777" w:rsidR="007106A6" w:rsidRPr="00FD0D8E" w:rsidRDefault="007106A6" w:rsidP="00C74EB6">
            <w:pPr>
              <w:autoSpaceDE w:val="0"/>
              <w:autoSpaceDN w:val="0"/>
              <w:adjustRightInd w:val="0"/>
              <w:rPr>
                <w:kern w:val="0"/>
                <w:szCs w:val="21"/>
              </w:rPr>
            </w:pPr>
            <w:r w:rsidRPr="00FD0D8E">
              <w:rPr>
                <w:kern w:val="0"/>
                <w:szCs w:val="21"/>
              </w:rPr>
              <w:t>Lev</w:t>
            </w:r>
          </w:p>
        </w:tc>
        <w:tc>
          <w:tcPr>
            <w:tcW w:w="1652" w:type="pct"/>
            <w:tcBorders>
              <w:top w:val="nil"/>
              <w:left w:val="nil"/>
              <w:bottom w:val="nil"/>
              <w:right w:val="nil"/>
            </w:tcBorders>
          </w:tcPr>
          <w:p w14:paraId="283F8D15" w14:textId="77777777" w:rsidR="007106A6" w:rsidRPr="00FD0D8E" w:rsidRDefault="007106A6" w:rsidP="00C74EB6">
            <w:pPr>
              <w:autoSpaceDE w:val="0"/>
              <w:autoSpaceDN w:val="0"/>
              <w:adjustRightInd w:val="0"/>
              <w:jc w:val="center"/>
              <w:rPr>
                <w:kern w:val="0"/>
                <w:szCs w:val="21"/>
              </w:rPr>
            </w:pPr>
            <w:r w:rsidRPr="00FD0D8E">
              <w:rPr>
                <w:kern w:val="0"/>
                <w:szCs w:val="21"/>
              </w:rPr>
              <w:t>-0.124</w:t>
            </w:r>
          </w:p>
        </w:tc>
        <w:tc>
          <w:tcPr>
            <w:tcW w:w="1651" w:type="pct"/>
            <w:tcBorders>
              <w:top w:val="nil"/>
              <w:left w:val="nil"/>
              <w:bottom w:val="nil"/>
              <w:right w:val="nil"/>
            </w:tcBorders>
          </w:tcPr>
          <w:p w14:paraId="04322E86" w14:textId="77777777" w:rsidR="007106A6" w:rsidRPr="00FD0D8E" w:rsidRDefault="007106A6" w:rsidP="00C74EB6">
            <w:pPr>
              <w:autoSpaceDE w:val="0"/>
              <w:autoSpaceDN w:val="0"/>
              <w:adjustRightInd w:val="0"/>
              <w:jc w:val="center"/>
              <w:rPr>
                <w:kern w:val="0"/>
                <w:szCs w:val="21"/>
              </w:rPr>
            </w:pPr>
            <w:r w:rsidRPr="00FD0D8E">
              <w:rPr>
                <w:kern w:val="0"/>
                <w:szCs w:val="21"/>
              </w:rPr>
              <w:t>-0.115</w:t>
            </w:r>
          </w:p>
        </w:tc>
      </w:tr>
      <w:tr w:rsidR="007106A6" w:rsidRPr="00FD0D8E" w14:paraId="215D2E63" w14:textId="77777777" w:rsidTr="007106A6">
        <w:tc>
          <w:tcPr>
            <w:tcW w:w="1697" w:type="pct"/>
            <w:tcBorders>
              <w:top w:val="nil"/>
              <w:left w:val="nil"/>
              <w:bottom w:val="nil"/>
              <w:right w:val="nil"/>
            </w:tcBorders>
          </w:tcPr>
          <w:p w14:paraId="7E802542"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60AEFCF1" w14:textId="77777777" w:rsidR="007106A6" w:rsidRPr="00FD0D8E" w:rsidRDefault="007106A6" w:rsidP="00C74EB6">
            <w:pPr>
              <w:autoSpaceDE w:val="0"/>
              <w:autoSpaceDN w:val="0"/>
              <w:adjustRightInd w:val="0"/>
              <w:jc w:val="center"/>
              <w:rPr>
                <w:kern w:val="0"/>
                <w:szCs w:val="21"/>
              </w:rPr>
            </w:pPr>
            <w:r w:rsidRPr="00FD0D8E">
              <w:rPr>
                <w:kern w:val="0"/>
                <w:szCs w:val="21"/>
              </w:rPr>
              <w:t>(0.085)</w:t>
            </w:r>
          </w:p>
        </w:tc>
        <w:tc>
          <w:tcPr>
            <w:tcW w:w="1651" w:type="pct"/>
            <w:tcBorders>
              <w:top w:val="nil"/>
              <w:left w:val="nil"/>
              <w:bottom w:val="nil"/>
              <w:right w:val="nil"/>
            </w:tcBorders>
          </w:tcPr>
          <w:p w14:paraId="617D5CC7" w14:textId="77777777" w:rsidR="007106A6" w:rsidRPr="00FD0D8E" w:rsidRDefault="007106A6" w:rsidP="00C74EB6">
            <w:pPr>
              <w:autoSpaceDE w:val="0"/>
              <w:autoSpaceDN w:val="0"/>
              <w:adjustRightInd w:val="0"/>
              <w:jc w:val="center"/>
              <w:rPr>
                <w:kern w:val="0"/>
                <w:szCs w:val="21"/>
              </w:rPr>
            </w:pPr>
            <w:r w:rsidRPr="00FD0D8E">
              <w:rPr>
                <w:kern w:val="0"/>
                <w:szCs w:val="21"/>
              </w:rPr>
              <w:t>(0.111)</w:t>
            </w:r>
          </w:p>
        </w:tc>
      </w:tr>
      <w:tr w:rsidR="007106A6" w:rsidRPr="00FD0D8E" w14:paraId="7E42F170" w14:textId="77777777" w:rsidTr="007106A6">
        <w:tc>
          <w:tcPr>
            <w:tcW w:w="1697" w:type="pct"/>
            <w:tcBorders>
              <w:top w:val="nil"/>
              <w:left w:val="nil"/>
              <w:bottom w:val="nil"/>
              <w:right w:val="nil"/>
            </w:tcBorders>
          </w:tcPr>
          <w:p w14:paraId="0EC95B9E" w14:textId="77777777" w:rsidR="007106A6" w:rsidRPr="00FD0D8E" w:rsidRDefault="007106A6" w:rsidP="00C74EB6">
            <w:pPr>
              <w:autoSpaceDE w:val="0"/>
              <w:autoSpaceDN w:val="0"/>
              <w:adjustRightInd w:val="0"/>
              <w:rPr>
                <w:kern w:val="0"/>
                <w:szCs w:val="21"/>
              </w:rPr>
            </w:pPr>
            <w:r w:rsidRPr="00FD0D8E">
              <w:rPr>
                <w:kern w:val="0"/>
                <w:szCs w:val="21"/>
              </w:rPr>
              <w:t>FTA</w:t>
            </w:r>
          </w:p>
        </w:tc>
        <w:tc>
          <w:tcPr>
            <w:tcW w:w="1652" w:type="pct"/>
            <w:tcBorders>
              <w:top w:val="nil"/>
              <w:left w:val="nil"/>
              <w:bottom w:val="nil"/>
              <w:right w:val="nil"/>
            </w:tcBorders>
          </w:tcPr>
          <w:p w14:paraId="0768507D" w14:textId="77777777" w:rsidR="007106A6" w:rsidRPr="00FD0D8E" w:rsidRDefault="007106A6" w:rsidP="00C74EB6">
            <w:pPr>
              <w:autoSpaceDE w:val="0"/>
              <w:autoSpaceDN w:val="0"/>
              <w:adjustRightInd w:val="0"/>
              <w:jc w:val="center"/>
              <w:rPr>
                <w:kern w:val="0"/>
                <w:szCs w:val="21"/>
              </w:rPr>
            </w:pPr>
            <w:r w:rsidRPr="00FD0D8E">
              <w:rPr>
                <w:kern w:val="0"/>
                <w:szCs w:val="21"/>
              </w:rPr>
              <w:t>0.334</w:t>
            </w:r>
            <w:r w:rsidRPr="00FD0D8E">
              <w:rPr>
                <w:kern w:val="0"/>
                <w:szCs w:val="21"/>
                <w:vertAlign w:val="superscript"/>
              </w:rPr>
              <w:t>***</w:t>
            </w:r>
          </w:p>
        </w:tc>
        <w:tc>
          <w:tcPr>
            <w:tcW w:w="1651" w:type="pct"/>
            <w:tcBorders>
              <w:top w:val="nil"/>
              <w:left w:val="nil"/>
              <w:bottom w:val="nil"/>
              <w:right w:val="nil"/>
            </w:tcBorders>
          </w:tcPr>
          <w:p w14:paraId="2603E3B2" w14:textId="77777777" w:rsidR="007106A6" w:rsidRPr="00FD0D8E" w:rsidRDefault="007106A6" w:rsidP="00C74EB6">
            <w:pPr>
              <w:autoSpaceDE w:val="0"/>
              <w:autoSpaceDN w:val="0"/>
              <w:adjustRightInd w:val="0"/>
              <w:jc w:val="center"/>
              <w:rPr>
                <w:kern w:val="0"/>
                <w:szCs w:val="21"/>
              </w:rPr>
            </w:pPr>
            <w:r w:rsidRPr="00FD0D8E">
              <w:rPr>
                <w:kern w:val="0"/>
                <w:szCs w:val="21"/>
              </w:rPr>
              <w:t>0.441</w:t>
            </w:r>
            <w:r w:rsidRPr="00FD0D8E">
              <w:rPr>
                <w:kern w:val="0"/>
                <w:szCs w:val="21"/>
                <w:vertAlign w:val="superscript"/>
              </w:rPr>
              <w:t>***</w:t>
            </w:r>
          </w:p>
        </w:tc>
      </w:tr>
      <w:tr w:rsidR="007106A6" w:rsidRPr="00FD0D8E" w14:paraId="0CEF987F" w14:textId="77777777" w:rsidTr="007106A6">
        <w:tc>
          <w:tcPr>
            <w:tcW w:w="1697" w:type="pct"/>
            <w:tcBorders>
              <w:top w:val="nil"/>
              <w:left w:val="nil"/>
              <w:bottom w:val="nil"/>
              <w:right w:val="nil"/>
            </w:tcBorders>
          </w:tcPr>
          <w:p w14:paraId="6935445B"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0DE06659" w14:textId="77777777" w:rsidR="007106A6" w:rsidRPr="00FD0D8E" w:rsidRDefault="007106A6" w:rsidP="00C74EB6">
            <w:pPr>
              <w:autoSpaceDE w:val="0"/>
              <w:autoSpaceDN w:val="0"/>
              <w:adjustRightInd w:val="0"/>
              <w:jc w:val="center"/>
              <w:rPr>
                <w:kern w:val="0"/>
                <w:szCs w:val="21"/>
              </w:rPr>
            </w:pPr>
            <w:r w:rsidRPr="00FD0D8E">
              <w:rPr>
                <w:kern w:val="0"/>
                <w:szCs w:val="21"/>
              </w:rPr>
              <w:t>(0.058)</w:t>
            </w:r>
          </w:p>
        </w:tc>
        <w:tc>
          <w:tcPr>
            <w:tcW w:w="1651" w:type="pct"/>
            <w:tcBorders>
              <w:top w:val="nil"/>
              <w:left w:val="nil"/>
              <w:bottom w:val="nil"/>
              <w:right w:val="nil"/>
            </w:tcBorders>
          </w:tcPr>
          <w:p w14:paraId="7D359DB1" w14:textId="77777777" w:rsidR="007106A6" w:rsidRPr="00FD0D8E" w:rsidRDefault="007106A6" w:rsidP="00C74EB6">
            <w:pPr>
              <w:autoSpaceDE w:val="0"/>
              <w:autoSpaceDN w:val="0"/>
              <w:adjustRightInd w:val="0"/>
              <w:jc w:val="center"/>
              <w:rPr>
                <w:kern w:val="0"/>
                <w:szCs w:val="21"/>
              </w:rPr>
            </w:pPr>
            <w:r w:rsidRPr="00FD0D8E">
              <w:rPr>
                <w:kern w:val="0"/>
                <w:szCs w:val="21"/>
              </w:rPr>
              <w:t>(0.071)</w:t>
            </w:r>
          </w:p>
        </w:tc>
      </w:tr>
      <w:tr w:rsidR="007106A6" w:rsidRPr="00FD0D8E" w14:paraId="67F6315B" w14:textId="77777777" w:rsidTr="007106A6">
        <w:tc>
          <w:tcPr>
            <w:tcW w:w="1697" w:type="pct"/>
            <w:tcBorders>
              <w:top w:val="nil"/>
              <w:left w:val="nil"/>
              <w:bottom w:val="nil"/>
              <w:right w:val="nil"/>
            </w:tcBorders>
          </w:tcPr>
          <w:p w14:paraId="5EBA0A17" w14:textId="77777777" w:rsidR="007106A6" w:rsidRPr="00FD0D8E" w:rsidRDefault="007106A6" w:rsidP="00C74EB6">
            <w:pPr>
              <w:autoSpaceDE w:val="0"/>
              <w:autoSpaceDN w:val="0"/>
              <w:adjustRightInd w:val="0"/>
              <w:rPr>
                <w:kern w:val="0"/>
                <w:szCs w:val="21"/>
              </w:rPr>
            </w:pPr>
            <w:r w:rsidRPr="00FD0D8E">
              <w:rPr>
                <w:kern w:val="0"/>
                <w:szCs w:val="21"/>
              </w:rPr>
              <w:t>Cash</w:t>
            </w:r>
          </w:p>
        </w:tc>
        <w:tc>
          <w:tcPr>
            <w:tcW w:w="1652" w:type="pct"/>
            <w:tcBorders>
              <w:top w:val="nil"/>
              <w:left w:val="nil"/>
              <w:bottom w:val="nil"/>
              <w:right w:val="nil"/>
            </w:tcBorders>
          </w:tcPr>
          <w:p w14:paraId="0C56D359" w14:textId="77777777" w:rsidR="007106A6" w:rsidRPr="00FD0D8E" w:rsidRDefault="007106A6" w:rsidP="00C74EB6">
            <w:pPr>
              <w:autoSpaceDE w:val="0"/>
              <w:autoSpaceDN w:val="0"/>
              <w:adjustRightInd w:val="0"/>
              <w:jc w:val="center"/>
              <w:rPr>
                <w:kern w:val="0"/>
                <w:szCs w:val="21"/>
              </w:rPr>
            </w:pPr>
            <w:r w:rsidRPr="00FD0D8E">
              <w:rPr>
                <w:kern w:val="0"/>
                <w:szCs w:val="21"/>
              </w:rPr>
              <w:t>0.218</w:t>
            </w:r>
          </w:p>
        </w:tc>
        <w:tc>
          <w:tcPr>
            <w:tcW w:w="1651" w:type="pct"/>
            <w:tcBorders>
              <w:top w:val="nil"/>
              <w:left w:val="nil"/>
              <w:bottom w:val="nil"/>
              <w:right w:val="nil"/>
            </w:tcBorders>
          </w:tcPr>
          <w:p w14:paraId="05C4BF94" w14:textId="77777777" w:rsidR="007106A6" w:rsidRPr="00FD0D8E" w:rsidRDefault="007106A6" w:rsidP="00C74EB6">
            <w:pPr>
              <w:autoSpaceDE w:val="0"/>
              <w:autoSpaceDN w:val="0"/>
              <w:adjustRightInd w:val="0"/>
              <w:jc w:val="center"/>
              <w:rPr>
                <w:kern w:val="0"/>
                <w:szCs w:val="21"/>
              </w:rPr>
            </w:pPr>
            <w:r w:rsidRPr="00FD0D8E">
              <w:rPr>
                <w:kern w:val="0"/>
                <w:szCs w:val="21"/>
              </w:rPr>
              <w:t>0.315</w:t>
            </w:r>
            <w:r w:rsidRPr="00FD0D8E">
              <w:rPr>
                <w:kern w:val="0"/>
                <w:szCs w:val="21"/>
                <w:vertAlign w:val="superscript"/>
              </w:rPr>
              <w:t>*</w:t>
            </w:r>
          </w:p>
        </w:tc>
      </w:tr>
      <w:tr w:rsidR="007106A6" w:rsidRPr="00FD0D8E" w14:paraId="21673B95" w14:textId="77777777" w:rsidTr="007106A6">
        <w:tc>
          <w:tcPr>
            <w:tcW w:w="1697" w:type="pct"/>
            <w:tcBorders>
              <w:top w:val="nil"/>
              <w:left w:val="nil"/>
              <w:bottom w:val="nil"/>
              <w:right w:val="nil"/>
            </w:tcBorders>
          </w:tcPr>
          <w:p w14:paraId="6AD070C8"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2B480DCA" w14:textId="77777777" w:rsidR="007106A6" w:rsidRPr="00FD0D8E" w:rsidRDefault="007106A6" w:rsidP="00C74EB6">
            <w:pPr>
              <w:autoSpaceDE w:val="0"/>
              <w:autoSpaceDN w:val="0"/>
              <w:adjustRightInd w:val="0"/>
              <w:jc w:val="center"/>
              <w:rPr>
                <w:kern w:val="0"/>
                <w:szCs w:val="21"/>
              </w:rPr>
            </w:pPr>
            <w:r w:rsidRPr="00FD0D8E">
              <w:rPr>
                <w:kern w:val="0"/>
                <w:szCs w:val="21"/>
              </w:rPr>
              <w:t>(0.136)</w:t>
            </w:r>
          </w:p>
        </w:tc>
        <w:tc>
          <w:tcPr>
            <w:tcW w:w="1651" w:type="pct"/>
            <w:tcBorders>
              <w:top w:val="nil"/>
              <w:left w:val="nil"/>
              <w:bottom w:val="nil"/>
              <w:right w:val="nil"/>
            </w:tcBorders>
          </w:tcPr>
          <w:p w14:paraId="403737DF" w14:textId="77777777" w:rsidR="007106A6" w:rsidRPr="00FD0D8E" w:rsidRDefault="007106A6" w:rsidP="00C74EB6">
            <w:pPr>
              <w:autoSpaceDE w:val="0"/>
              <w:autoSpaceDN w:val="0"/>
              <w:adjustRightInd w:val="0"/>
              <w:jc w:val="center"/>
              <w:rPr>
                <w:kern w:val="0"/>
                <w:szCs w:val="21"/>
              </w:rPr>
            </w:pPr>
            <w:r w:rsidRPr="00FD0D8E">
              <w:rPr>
                <w:kern w:val="0"/>
                <w:szCs w:val="21"/>
              </w:rPr>
              <w:t>(0.173)</w:t>
            </w:r>
          </w:p>
        </w:tc>
      </w:tr>
      <w:tr w:rsidR="007106A6" w:rsidRPr="00FD0D8E" w14:paraId="4F6C9BBB" w14:textId="77777777" w:rsidTr="007106A6">
        <w:tc>
          <w:tcPr>
            <w:tcW w:w="1697" w:type="pct"/>
            <w:tcBorders>
              <w:top w:val="nil"/>
              <w:left w:val="nil"/>
              <w:bottom w:val="nil"/>
              <w:right w:val="nil"/>
            </w:tcBorders>
          </w:tcPr>
          <w:p w14:paraId="1065873E" w14:textId="77777777" w:rsidR="007106A6" w:rsidRPr="00FD0D8E" w:rsidRDefault="007106A6" w:rsidP="00C74EB6">
            <w:pPr>
              <w:autoSpaceDE w:val="0"/>
              <w:autoSpaceDN w:val="0"/>
              <w:adjustRightInd w:val="0"/>
              <w:rPr>
                <w:kern w:val="0"/>
                <w:szCs w:val="21"/>
              </w:rPr>
            </w:pPr>
            <w:r w:rsidRPr="00FD0D8E">
              <w:rPr>
                <w:kern w:val="0"/>
                <w:szCs w:val="21"/>
              </w:rPr>
              <w:t>Volatility</w:t>
            </w:r>
          </w:p>
        </w:tc>
        <w:tc>
          <w:tcPr>
            <w:tcW w:w="1652" w:type="pct"/>
            <w:tcBorders>
              <w:top w:val="nil"/>
              <w:left w:val="nil"/>
              <w:bottom w:val="nil"/>
              <w:right w:val="nil"/>
            </w:tcBorders>
          </w:tcPr>
          <w:p w14:paraId="43C3EF4D" w14:textId="77777777" w:rsidR="007106A6" w:rsidRPr="00FD0D8E" w:rsidRDefault="007106A6" w:rsidP="00C74EB6">
            <w:pPr>
              <w:autoSpaceDE w:val="0"/>
              <w:autoSpaceDN w:val="0"/>
              <w:adjustRightInd w:val="0"/>
              <w:jc w:val="center"/>
              <w:rPr>
                <w:kern w:val="0"/>
                <w:szCs w:val="21"/>
              </w:rPr>
            </w:pPr>
            <w:r w:rsidRPr="00FD0D8E">
              <w:rPr>
                <w:kern w:val="0"/>
                <w:szCs w:val="21"/>
              </w:rPr>
              <w:t>-0.100</w:t>
            </w:r>
          </w:p>
        </w:tc>
        <w:tc>
          <w:tcPr>
            <w:tcW w:w="1651" w:type="pct"/>
            <w:tcBorders>
              <w:top w:val="nil"/>
              <w:left w:val="nil"/>
              <w:bottom w:val="nil"/>
              <w:right w:val="nil"/>
            </w:tcBorders>
          </w:tcPr>
          <w:p w14:paraId="3E3D4429" w14:textId="77777777" w:rsidR="007106A6" w:rsidRPr="00FD0D8E" w:rsidRDefault="007106A6" w:rsidP="00C74EB6">
            <w:pPr>
              <w:autoSpaceDE w:val="0"/>
              <w:autoSpaceDN w:val="0"/>
              <w:adjustRightInd w:val="0"/>
              <w:jc w:val="center"/>
              <w:rPr>
                <w:kern w:val="0"/>
                <w:szCs w:val="21"/>
              </w:rPr>
            </w:pPr>
            <w:r w:rsidRPr="00FD0D8E">
              <w:rPr>
                <w:kern w:val="0"/>
                <w:szCs w:val="21"/>
              </w:rPr>
              <w:t>-0.137</w:t>
            </w:r>
          </w:p>
        </w:tc>
      </w:tr>
      <w:tr w:rsidR="007106A6" w:rsidRPr="00FD0D8E" w14:paraId="5072CD30" w14:textId="77777777" w:rsidTr="007106A6">
        <w:tc>
          <w:tcPr>
            <w:tcW w:w="1697" w:type="pct"/>
            <w:tcBorders>
              <w:top w:val="nil"/>
              <w:left w:val="nil"/>
              <w:bottom w:val="nil"/>
              <w:right w:val="nil"/>
            </w:tcBorders>
          </w:tcPr>
          <w:p w14:paraId="149F2FAD"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7B5F6B05" w14:textId="77777777" w:rsidR="007106A6" w:rsidRPr="00FD0D8E" w:rsidRDefault="007106A6" w:rsidP="00C74EB6">
            <w:pPr>
              <w:autoSpaceDE w:val="0"/>
              <w:autoSpaceDN w:val="0"/>
              <w:adjustRightInd w:val="0"/>
              <w:jc w:val="center"/>
              <w:rPr>
                <w:kern w:val="0"/>
                <w:szCs w:val="21"/>
              </w:rPr>
            </w:pPr>
            <w:r w:rsidRPr="00FD0D8E">
              <w:rPr>
                <w:kern w:val="0"/>
                <w:szCs w:val="21"/>
              </w:rPr>
              <w:t>(0.224)</w:t>
            </w:r>
          </w:p>
        </w:tc>
        <w:tc>
          <w:tcPr>
            <w:tcW w:w="1651" w:type="pct"/>
            <w:tcBorders>
              <w:top w:val="nil"/>
              <w:left w:val="nil"/>
              <w:bottom w:val="nil"/>
              <w:right w:val="nil"/>
            </w:tcBorders>
          </w:tcPr>
          <w:p w14:paraId="1D6540C7" w14:textId="77777777" w:rsidR="007106A6" w:rsidRPr="00FD0D8E" w:rsidRDefault="007106A6" w:rsidP="00C74EB6">
            <w:pPr>
              <w:autoSpaceDE w:val="0"/>
              <w:autoSpaceDN w:val="0"/>
              <w:adjustRightInd w:val="0"/>
              <w:jc w:val="center"/>
              <w:rPr>
                <w:kern w:val="0"/>
                <w:szCs w:val="21"/>
              </w:rPr>
            </w:pPr>
            <w:r w:rsidRPr="00FD0D8E">
              <w:rPr>
                <w:kern w:val="0"/>
                <w:szCs w:val="21"/>
              </w:rPr>
              <w:t>(0.300)</w:t>
            </w:r>
          </w:p>
        </w:tc>
      </w:tr>
      <w:tr w:rsidR="007106A6" w:rsidRPr="00FD0D8E" w14:paraId="1C17B7C7" w14:textId="77777777" w:rsidTr="007106A6">
        <w:tc>
          <w:tcPr>
            <w:tcW w:w="1697" w:type="pct"/>
            <w:tcBorders>
              <w:top w:val="nil"/>
              <w:left w:val="nil"/>
              <w:bottom w:val="nil"/>
              <w:right w:val="nil"/>
            </w:tcBorders>
          </w:tcPr>
          <w:p w14:paraId="5F367B6F" w14:textId="77777777" w:rsidR="007106A6" w:rsidRPr="00FD0D8E" w:rsidRDefault="007106A6" w:rsidP="00C74EB6">
            <w:pPr>
              <w:autoSpaceDE w:val="0"/>
              <w:autoSpaceDN w:val="0"/>
              <w:adjustRightInd w:val="0"/>
              <w:rPr>
                <w:kern w:val="0"/>
                <w:szCs w:val="21"/>
              </w:rPr>
            </w:pPr>
            <w:r w:rsidRPr="00FD0D8E">
              <w:rPr>
                <w:kern w:val="0"/>
                <w:szCs w:val="21"/>
              </w:rPr>
              <w:t>PB</w:t>
            </w:r>
          </w:p>
        </w:tc>
        <w:tc>
          <w:tcPr>
            <w:tcW w:w="1652" w:type="pct"/>
            <w:tcBorders>
              <w:top w:val="nil"/>
              <w:left w:val="nil"/>
              <w:bottom w:val="nil"/>
              <w:right w:val="nil"/>
            </w:tcBorders>
          </w:tcPr>
          <w:p w14:paraId="16CF0486" w14:textId="77777777" w:rsidR="007106A6" w:rsidRPr="00FD0D8E" w:rsidRDefault="007106A6" w:rsidP="00C74EB6">
            <w:pPr>
              <w:autoSpaceDE w:val="0"/>
              <w:autoSpaceDN w:val="0"/>
              <w:adjustRightInd w:val="0"/>
              <w:jc w:val="center"/>
              <w:rPr>
                <w:kern w:val="0"/>
                <w:szCs w:val="21"/>
              </w:rPr>
            </w:pPr>
            <w:r w:rsidRPr="00FD0D8E">
              <w:rPr>
                <w:kern w:val="0"/>
                <w:szCs w:val="21"/>
              </w:rPr>
              <w:t>0.087</w:t>
            </w:r>
            <w:r w:rsidRPr="00FD0D8E">
              <w:rPr>
                <w:kern w:val="0"/>
                <w:szCs w:val="21"/>
                <w:vertAlign w:val="superscript"/>
              </w:rPr>
              <w:t>***</w:t>
            </w:r>
          </w:p>
        </w:tc>
        <w:tc>
          <w:tcPr>
            <w:tcW w:w="1651" w:type="pct"/>
            <w:tcBorders>
              <w:top w:val="nil"/>
              <w:left w:val="nil"/>
              <w:bottom w:val="nil"/>
              <w:right w:val="nil"/>
            </w:tcBorders>
          </w:tcPr>
          <w:p w14:paraId="114B9820" w14:textId="77777777" w:rsidR="007106A6" w:rsidRPr="00FD0D8E" w:rsidRDefault="007106A6" w:rsidP="00C74EB6">
            <w:pPr>
              <w:autoSpaceDE w:val="0"/>
              <w:autoSpaceDN w:val="0"/>
              <w:adjustRightInd w:val="0"/>
              <w:jc w:val="center"/>
              <w:rPr>
                <w:kern w:val="0"/>
                <w:szCs w:val="21"/>
              </w:rPr>
            </w:pPr>
            <w:r w:rsidRPr="00FD0D8E">
              <w:rPr>
                <w:kern w:val="0"/>
                <w:szCs w:val="21"/>
              </w:rPr>
              <w:t>0.108</w:t>
            </w:r>
            <w:r w:rsidRPr="00FD0D8E">
              <w:rPr>
                <w:kern w:val="0"/>
                <w:szCs w:val="21"/>
                <w:vertAlign w:val="superscript"/>
              </w:rPr>
              <w:t>***</w:t>
            </w:r>
          </w:p>
        </w:tc>
      </w:tr>
      <w:tr w:rsidR="007106A6" w:rsidRPr="00FD0D8E" w14:paraId="5B25CB2C" w14:textId="77777777" w:rsidTr="007106A6">
        <w:tc>
          <w:tcPr>
            <w:tcW w:w="1697" w:type="pct"/>
            <w:tcBorders>
              <w:top w:val="nil"/>
              <w:left w:val="nil"/>
              <w:bottom w:val="nil"/>
              <w:right w:val="nil"/>
            </w:tcBorders>
          </w:tcPr>
          <w:p w14:paraId="54F210F4"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29CCF0EF" w14:textId="77777777" w:rsidR="007106A6" w:rsidRPr="00FD0D8E" w:rsidRDefault="007106A6" w:rsidP="00C74EB6">
            <w:pPr>
              <w:autoSpaceDE w:val="0"/>
              <w:autoSpaceDN w:val="0"/>
              <w:adjustRightInd w:val="0"/>
              <w:jc w:val="center"/>
              <w:rPr>
                <w:kern w:val="0"/>
                <w:szCs w:val="21"/>
              </w:rPr>
            </w:pPr>
            <w:r w:rsidRPr="00FD0D8E">
              <w:rPr>
                <w:kern w:val="0"/>
                <w:szCs w:val="21"/>
              </w:rPr>
              <w:t>(0.018)</w:t>
            </w:r>
          </w:p>
        </w:tc>
        <w:tc>
          <w:tcPr>
            <w:tcW w:w="1651" w:type="pct"/>
            <w:tcBorders>
              <w:top w:val="nil"/>
              <w:left w:val="nil"/>
              <w:bottom w:val="nil"/>
              <w:right w:val="nil"/>
            </w:tcBorders>
          </w:tcPr>
          <w:p w14:paraId="630BEA3B" w14:textId="77777777" w:rsidR="007106A6" w:rsidRPr="00FD0D8E" w:rsidRDefault="007106A6" w:rsidP="00C74EB6">
            <w:pPr>
              <w:autoSpaceDE w:val="0"/>
              <w:autoSpaceDN w:val="0"/>
              <w:adjustRightInd w:val="0"/>
              <w:jc w:val="center"/>
              <w:rPr>
                <w:kern w:val="0"/>
                <w:szCs w:val="21"/>
              </w:rPr>
            </w:pPr>
            <w:r w:rsidRPr="00FD0D8E">
              <w:rPr>
                <w:kern w:val="0"/>
                <w:szCs w:val="21"/>
              </w:rPr>
              <w:t>(0.021)</w:t>
            </w:r>
          </w:p>
        </w:tc>
      </w:tr>
      <w:tr w:rsidR="007106A6" w:rsidRPr="00FD0D8E" w14:paraId="7E63DB5A" w14:textId="77777777" w:rsidTr="007106A6">
        <w:tc>
          <w:tcPr>
            <w:tcW w:w="1697" w:type="pct"/>
            <w:tcBorders>
              <w:top w:val="nil"/>
              <w:left w:val="nil"/>
              <w:bottom w:val="nil"/>
              <w:right w:val="nil"/>
            </w:tcBorders>
          </w:tcPr>
          <w:p w14:paraId="53F04CD8" w14:textId="77777777" w:rsidR="007106A6" w:rsidRPr="00FD0D8E" w:rsidRDefault="007106A6" w:rsidP="00C74EB6">
            <w:pPr>
              <w:autoSpaceDE w:val="0"/>
              <w:autoSpaceDN w:val="0"/>
              <w:adjustRightInd w:val="0"/>
              <w:rPr>
                <w:kern w:val="0"/>
                <w:szCs w:val="21"/>
              </w:rPr>
            </w:pPr>
            <w:proofErr w:type="spellStart"/>
            <w:r w:rsidRPr="00FD0D8E">
              <w:rPr>
                <w:kern w:val="0"/>
                <w:szCs w:val="21"/>
              </w:rPr>
              <w:t>GrowthRev</w:t>
            </w:r>
            <w:proofErr w:type="spellEnd"/>
          </w:p>
        </w:tc>
        <w:tc>
          <w:tcPr>
            <w:tcW w:w="1652" w:type="pct"/>
            <w:tcBorders>
              <w:top w:val="nil"/>
              <w:left w:val="nil"/>
              <w:bottom w:val="nil"/>
              <w:right w:val="nil"/>
            </w:tcBorders>
          </w:tcPr>
          <w:p w14:paraId="38C25CA7" w14:textId="77777777" w:rsidR="007106A6" w:rsidRPr="00FD0D8E" w:rsidRDefault="007106A6" w:rsidP="00C74EB6">
            <w:pPr>
              <w:autoSpaceDE w:val="0"/>
              <w:autoSpaceDN w:val="0"/>
              <w:adjustRightInd w:val="0"/>
              <w:jc w:val="center"/>
              <w:rPr>
                <w:kern w:val="0"/>
                <w:szCs w:val="21"/>
              </w:rPr>
            </w:pPr>
            <w:r w:rsidRPr="00FD0D8E">
              <w:rPr>
                <w:kern w:val="0"/>
                <w:szCs w:val="21"/>
              </w:rPr>
              <w:t>0.231</w:t>
            </w:r>
            <w:r w:rsidRPr="00FD0D8E">
              <w:rPr>
                <w:kern w:val="0"/>
                <w:szCs w:val="21"/>
                <w:vertAlign w:val="superscript"/>
              </w:rPr>
              <w:t>***</w:t>
            </w:r>
          </w:p>
        </w:tc>
        <w:tc>
          <w:tcPr>
            <w:tcW w:w="1651" w:type="pct"/>
            <w:tcBorders>
              <w:top w:val="nil"/>
              <w:left w:val="nil"/>
              <w:bottom w:val="nil"/>
              <w:right w:val="nil"/>
            </w:tcBorders>
          </w:tcPr>
          <w:p w14:paraId="45EBB3F7" w14:textId="77777777" w:rsidR="007106A6" w:rsidRPr="00FD0D8E" w:rsidRDefault="007106A6" w:rsidP="00C74EB6">
            <w:pPr>
              <w:autoSpaceDE w:val="0"/>
              <w:autoSpaceDN w:val="0"/>
              <w:adjustRightInd w:val="0"/>
              <w:jc w:val="center"/>
              <w:rPr>
                <w:kern w:val="0"/>
                <w:szCs w:val="21"/>
              </w:rPr>
            </w:pPr>
            <w:r w:rsidRPr="00FD0D8E">
              <w:rPr>
                <w:kern w:val="0"/>
                <w:szCs w:val="21"/>
              </w:rPr>
              <w:t>0.309</w:t>
            </w:r>
            <w:r w:rsidRPr="00FD0D8E">
              <w:rPr>
                <w:kern w:val="0"/>
                <w:szCs w:val="21"/>
                <w:vertAlign w:val="superscript"/>
              </w:rPr>
              <w:t>***</w:t>
            </w:r>
          </w:p>
        </w:tc>
      </w:tr>
      <w:tr w:rsidR="007106A6" w:rsidRPr="00FD0D8E" w14:paraId="28D05EBF" w14:textId="77777777" w:rsidTr="007106A6">
        <w:tc>
          <w:tcPr>
            <w:tcW w:w="1697" w:type="pct"/>
            <w:tcBorders>
              <w:top w:val="nil"/>
              <w:left w:val="nil"/>
              <w:bottom w:val="nil"/>
              <w:right w:val="nil"/>
            </w:tcBorders>
          </w:tcPr>
          <w:p w14:paraId="57E2F69E"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7F611961" w14:textId="77777777" w:rsidR="007106A6" w:rsidRPr="00FD0D8E" w:rsidRDefault="007106A6" w:rsidP="00C74EB6">
            <w:pPr>
              <w:autoSpaceDE w:val="0"/>
              <w:autoSpaceDN w:val="0"/>
              <w:adjustRightInd w:val="0"/>
              <w:jc w:val="center"/>
              <w:rPr>
                <w:kern w:val="0"/>
                <w:szCs w:val="21"/>
              </w:rPr>
            </w:pPr>
            <w:r w:rsidRPr="00FD0D8E">
              <w:rPr>
                <w:kern w:val="0"/>
                <w:szCs w:val="21"/>
              </w:rPr>
              <w:t>(0.027)</w:t>
            </w:r>
          </w:p>
        </w:tc>
        <w:tc>
          <w:tcPr>
            <w:tcW w:w="1651" w:type="pct"/>
            <w:tcBorders>
              <w:top w:val="nil"/>
              <w:left w:val="nil"/>
              <w:bottom w:val="nil"/>
              <w:right w:val="nil"/>
            </w:tcBorders>
          </w:tcPr>
          <w:p w14:paraId="6317F2F4" w14:textId="77777777" w:rsidR="007106A6" w:rsidRPr="00FD0D8E" w:rsidRDefault="007106A6" w:rsidP="00C74EB6">
            <w:pPr>
              <w:autoSpaceDE w:val="0"/>
              <w:autoSpaceDN w:val="0"/>
              <w:adjustRightInd w:val="0"/>
              <w:jc w:val="center"/>
              <w:rPr>
                <w:kern w:val="0"/>
                <w:szCs w:val="21"/>
              </w:rPr>
            </w:pPr>
            <w:r w:rsidRPr="00FD0D8E">
              <w:rPr>
                <w:kern w:val="0"/>
                <w:szCs w:val="21"/>
              </w:rPr>
              <w:t>(0.031)</w:t>
            </w:r>
          </w:p>
        </w:tc>
      </w:tr>
      <w:tr w:rsidR="007106A6" w:rsidRPr="00FD0D8E" w14:paraId="32D10D6B" w14:textId="77777777" w:rsidTr="007106A6">
        <w:tc>
          <w:tcPr>
            <w:tcW w:w="1697" w:type="pct"/>
            <w:tcBorders>
              <w:top w:val="nil"/>
              <w:left w:val="nil"/>
              <w:bottom w:val="nil"/>
              <w:right w:val="nil"/>
            </w:tcBorders>
          </w:tcPr>
          <w:p w14:paraId="5CCF92A3" w14:textId="77777777" w:rsidR="007106A6" w:rsidRPr="00FD0D8E" w:rsidRDefault="007106A6" w:rsidP="00C74EB6">
            <w:pPr>
              <w:autoSpaceDE w:val="0"/>
              <w:autoSpaceDN w:val="0"/>
              <w:adjustRightInd w:val="0"/>
              <w:rPr>
                <w:kern w:val="0"/>
                <w:szCs w:val="21"/>
              </w:rPr>
            </w:pPr>
            <w:r w:rsidRPr="00FD0D8E">
              <w:rPr>
                <w:kern w:val="0"/>
                <w:szCs w:val="21"/>
              </w:rPr>
              <w:t>ROA</w:t>
            </w:r>
          </w:p>
        </w:tc>
        <w:tc>
          <w:tcPr>
            <w:tcW w:w="1652" w:type="pct"/>
            <w:tcBorders>
              <w:top w:val="nil"/>
              <w:left w:val="nil"/>
              <w:bottom w:val="nil"/>
              <w:right w:val="nil"/>
            </w:tcBorders>
          </w:tcPr>
          <w:p w14:paraId="0D76E5C9" w14:textId="77777777" w:rsidR="007106A6" w:rsidRPr="00FD0D8E" w:rsidRDefault="007106A6" w:rsidP="00C74EB6">
            <w:pPr>
              <w:autoSpaceDE w:val="0"/>
              <w:autoSpaceDN w:val="0"/>
              <w:adjustRightInd w:val="0"/>
              <w:jc w:val="center"/>
              <w:rPr>
                <w:kern w:val="0"/>
                <w:szCs w:val="21"/>
              </w:rPr>
            </w:pPr>
            <w:r w:rsidRPr="00FD0D8E">
              <w:rPr>
                <w:kern w:val="0"/>
                <w:szCs w:val="21"/>
              </w:rPr>
              <w:t>5.220</w:t>
            </w:r>
            <w:r w:rsidRPr="00FD0D8E">
              <w:rPr>
                <w:kern w:val="0"/>
                <w:szCs w:val="21"/>
                <w:vertAlign w:val="superscript"/>
              </w:rPr>
              <w:t>***</w:t>
            </w:r>
          </w:p>
        </w:tc>
        <w:tc>
          <w:tcPr>
            <w:tcW w:w="1651" w:type="pct"/>
            <w:tcBorders>
              <w:top w:val="nil"/>
              <w:left w:val="nil"/>
              <w:bottom w:val="nil"/>
              <w:right w:val="nil"/>
            </w:tcBorders>
          </w:tcPr>
          <w:p w14:paraId="09984D10" w14:textId="77777777" w:rsidR="007106A6" w:rsidRPr="00FD0D8E" w:rsidRDefault="007106A6" w:rsidP="00C74EB6">
            <w:pPr>
              <w:autoSpaceDE w:val="0"/>
              <w:autoSpaceDN w:val="0"/>
              <w:adjustRightInd w:val="0"/>
              <w:jc w:val="center"/>
              <w:rPr>
                <w:kern w:val="0"/>
                <w:szCs w:val="21"/>
              </w:rPr>
            </w:pPr>
            <w:r w:rsidRPr="00FD0D8E">
              <w:rPr>
                <w:kern w:val="0"/>
                <w:szCs w:val="21"/>
              </w:rPr>
              <w:t>6.424</w:t>
            </w:r>
            <w:r w:rsidRPr="00FD0D8E">
              <w:rPr>
                <w:kern w:val="0"/>
                <w:szCs w:val="21"/>
                <w:vertAlign w:val="superscript"/>
              </w:rPr>
              <w:t>***</w:t>
            </w:r>
          </w:p>
        </w:tc>
      </w:tr>
      <w:tr w:rsidR="007106A6" w:rsidRPr="00FD0D8E" w14:paraId="39472782" w14:textId="77777777" w:rsidTr="007106A6">
        <w:tc>
          <w:tcPr>
            <w:tcW w:w="1697" w:type="pct"/>
            <w:tcBorders>
              <w:top w:val="nil"/>
              <w:left w:val="nil"/>
              <w:bottom w:val="nil"/>
              <w:right w:val="nil"/>
            </w:tcBorders>
          </w:tcPr>
          <w:p w14:paraId="18FC9AF7"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5F2A09DD" w14:textId="77777777" w:rsidR="007106A6" w:rsidRPr="00FD0D8E" w:rsidRDefault="007106A6" w:rsidP="00C74EB6">
            <w:pPr>
              <w:autoSpaceDE w:val="0"/>
              <w:autoSpaceDN w:val="0"/>
              <w:adjustRightInd w:val="0"/>
              <w:jc w:val="center"/>
              <w:rPr>
                <w:kern w:val="0"/>
                <w:szCs w:val="21"/>
              </w:rPr>
            </w:pPr>
            <w:r w:rsidRPr="00FD0D8E">
              <w:rPr>
                <w:kern w:val="0"/>
                <w:szCs w:val="21"/>
              </w:rPr>
              <w:t>(0.535)</w:t>
            </w:r>
          </w:p>
        </w:tc>
        <w:tc>
          <w:tcPr>
            <w:tcW w:w="1651" w:type="pct"/>
            <w:tcBorders>
              <w:top w:val="nil"/>
              <w:left w:val="nil"/>
              <w:bottom w:val="nil"/>
              <w:right w:val="nil"/>
            </w:tcBorders>
          </w:tcPr>
          <w:p w14:paraId="48AD3E98" w14:textId="77777777" w:rsidR="007106A6" w:rsidRPr="00FD0D8E" w:rsidRDefault="007106A6" w:rsidP="00C74EB6">
            <w:pPr>
              <w:autoSpaceDE w:val="0"/>
              <w:autoSpaceDN w:val="0"/>
              <w:adjustRightInd w:val="0"/>
              <w:jc w:val="center"/>
              <w:rPr>
                <w:kern w:val="0"/>
                <w:szCs w:val="21"/>
              </w:rPr>
            </w:pPr>
            <w:r w:rsidRPr="00FD0D8E">
              <w:rPr>
                <w:kern w:val="0"/>
                <w:szCs w:val="21"/>
              </w:rPr>
              <w:t>(0.655)</w:t>
            </w:r>
          </w:p>
        </w:tc>
      </w:tr>
      <w:tr w:rsidR="007106A6" w:rsidRPr="00FD0D8E" w14:paraId="3815D9EA" w14:textId="77777777" w:rsidTr="007106A6">
        <w:tc>
          <w:tcPr>
            <w:tcW w:w="1697" w:type="pct"/>
            <w:tcBorders>
              <w:top w:val="nil"/>
              <w:left w:val="nil"/>
              <w:bottom w:val="nil"/>
              <w:right w:val="nil"/>
            </w:tcBorders>
          </w:tcPr>
          <w:p w14:paraId="79C37B58" w14:textId="77777777" w:rsidR="007106A6" w:rsidRPr="00FD0D8E" w:rsidRDefault="007106A6" w:rsidP="00C74EB6">
            <w:pPr>
              <w:autoSpaceDE w:val="0"/>
              <w:autoSpaceDN w:val="0"/>
              <w:adjustRightInd w:val="0"/>
              <w:rPr>
                <w:kern w:val="0"/>
                <w:szCs w:val="21"/>
              </w:rPr>
            </w:pPr>
            <w:r w:rsidRPr="00FD0D8E">
              <w:rPr>
                <w:kern w:val="0"/>
                <w:szCs w:val="21"/>
              </w:rPr>
              <w:t>Penalty</w:t>
            </w:r>
          </w:p>
        </w:tc>
        <w:tc>
          <w:tcPr>
            <w:tcW w:w="1652" w:type="pct"/>
            <w:tcBorders>
              <w:top w:val="nil"/>
              <w:left w:val="nil"/>
              <w:bottom w:val="nil"/>
              <w:right w:val="nil"/>
            </w:tcBorders>
          </w:tcPr>
          <w:p w14:paraId="043B9830" w14:textId="77777777" w:rsidR="007106A6" w:rsidRPr="00FD0D8E" w:rsidRDefault="007106A6" w:rsidP="00C74EB6">
            <w:pPr>
              <w:autoSpaceDE w:val="0"/>
              <w:autoSpaceDN w:val="0"/>
              <w:adjustRightInd w:val="0"/>
              <w:jc w:val="center"/>
              <w:rPr>
                <w:kern w:val="0"/>
                <w:szCs w:val="21"/>
              </w:rPr>
            </w:pPr>
            <w:r w:rsidRPr="00FD0D8E">
              <w:rPr>
                <w:kern w:val="0"/>
                <w:szCs w:val="21"/>
              </w:rPr>
              <w:t>-0.128</w:t>
            </w:r>
            <w:r w:rsidRPr="00FD0D8E">
              <w:rPr>
                <w:kern w:val="0"/>
                <w:szCs w:val="21"/>
                <w:vertAlign w:val="superscript"/>
              </w:rPr>
              <w:t>***</w:t>
            </w:r>
          </w:p>
        </w:tc>
        <w:tc>
          <w:tcPr>
            <w:tcW w:w="1651" w:type="pct"/>
            <w:tcBorders>
              <w:top w:val="nil"/>
              <w:left w:val="nil"/>
              <w:bottom w:val="nil"/>
              <w:right w:val="nil"/>
            </w:tcBorders>
          </w:tcPr>
          <w:p w14:paraId="20C81D39" w14:textId="77777777" w:rsidR="007106A6" w:rsidRPr="00FD0D8E" w:rsidRDefault="007106A6" w:rsidP="00C74EB6">
            <w:pPr>
              <w:autoSpaceDE w:val="0"/>
              <w:autoSpaceDN w:val="0"/>
              <w:adjustRightInd w:val="0"/>
              <w:jc w:val="center"/>
              <w:rPr>
                <w:kern w:val="0"/>
                <w:szCs w:val="21"/>
              </w:rPr>
            </w:pPr>
            <w:r w:rsidRPr="00FD0D8E">
              <w:rPr>
                <w:kern w:val="0"/>
                <w:szCs w:val="21"/>
              </w:rPr>
              <w:t>-0.140</w:t>
            </w:r>
            <w:r w:rsidRPr="00FD0D8E">
              <w:rPr>
                <w:kern w:val="0"/>
                <w:szCs w:val="21"/>
                <w:vertAlign w:val="superscript"/>
              </w:rPr>
              <w:t>**</w:t>
            </w:r>
          </w:p>
        </w:tc>
      </w:tr>
      <w:tr w:rsidR="007106A6" w:rsidRPr="00FD0D8E" w14:paraId="79785272" w14:textId="77777777" w:rsidTr="007106A6">
        <w:tc>
          <w:tcPr>
            <w:tcW w:w="1697" w:type="pct"/>
            <w:tcBorders>
              <w:top w:val="nil"/>
              <w:left w:val="nil"/>
              <w:bottom w:val="nil"/>
              <w:right w:val="nil"/>
            </w:tcBorders>
          </w:tcPr>
          <w:p w14:paraId="3955C76A"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0A7A2A37" w14:textId="77777777" w:rsidR="007106A6" w:rsidRPr="00FD0D8E" w:rsidRDefault="007106A6" w:rsidP="00C74EB6">
            <w:pPr>
              <w:autoSpaceDE w:val="0"/>
              <w:autoSpaceDN w:val="0"/>
              <w:adjustRightInd w:val="0"/>
              <w:jc w:val="center"/>
              <w:rPr>
                <w:kern w:val="0"/>
                <w:szCs w:val="21"/>
              </w:rPr>
            </w:pPr>
            <w:r w:rsidRPr="00FD0D8E">
              <w:rPr>
                <w:kern w:val="0"/>
                <w:szCs w:val="21"/>
              </w:rPr>
              <w:t>(0.031)</w:t>
            </w:r>
          </w:p>
        </w:tc>
        <w:tc>
          <w:tcPr>
            <w:tcW w:w="1651" w:type="pct"/>
            <w:tcBorders>
              <w:top w:val="nil"/>
              <w:left w:val="nil"/>
              <w:bottom w:val="nil"/>
              <w:right w:val="nil"/>
            </w:tcBorders>
          </w:tcPr>
          <w:p w14:paraId="4C9B3620" w14:textId="77777777" w:rsidR="007106A6" w:rsidRPr="00FD0D8E" w:rsidRDefault="007106A6" w:rsidP="00C74EB6">
            <w:pPr>
              <w:autoSpaceDE w:val="0"/>
              <w:autoSpaceDN w:val="0"/>
              <w:adjustRightInd w:val="0"/>
              <w:jc w:val="center"/>
              <w:rPr>
                <w:kern w:val="0"/>
                <w:szCs w:val="21"/>
              </w:rPr>
            </w:pPr>
            <w:r w:rsidRPr="00FD0D8E">
              <w:rPr>
                <w:kern w:val="0"/>
                <w:szCs w:val="21"/>
              </w:rPr>
              <w:t>(0.048)</w:t>
            </w:r>
          </w:p>
        </w:tc>
      </w:tr>
      <w:tr w:rsidR="007106A6" w:rsidRPr="00FD0D8E" w14:paraId="55AFFC5E" w14:textId="77777777" w:rsidTr="007106A6">
        <w:tc>
          <w:tcPr>
            <w:tcW w:w="1697" w:type="pct"/>
            <w:tcBorders>
              <w:top w:val="nil"/>
              <w:left w:val="nil"/>
              <w:bottom w:val="nil"/>
              <w:right w:val="nil"/>
            </w:tcBorders>
          </w:tcPr>
          <w:p w14:paraId="17FFE40A" w14:textId="77777777" w:rsidR="007106A6" w:rsidRPr="00FD0D8E" w:rsidRDefault="007106A6" w:rsidP="00C74EB6">
            <w:pPr>
              <w:autoSpaceDE w:val="0"/>
              <w:autoSpaceDN w:val="0"/>
              <w:adjustRightInd w:val="0"/>
              <w:rPr>
                <w:kern w:val="0"/>
                <w:szCs w:val="21"/>
              </w:rPr>
            </w:pPr>
            <w:proofErr w:type="spellStart"/>
            <w:r w:rsidRPr="00FD0D8E">
              <w:rPr>
                <w:kern w:val="0"/>
                <w:szCs w:val="21"/>
              </w:rPr>
              <w:t>IndepR</w:t>
            </w:r>
            <w:proofErr w:type="spellEnd"/>
          </w:p>
        </w:tc>
        <w:tc>
          <w:tcPr>
            <w:tcW w:w="1652" w:type="pct"/>
            <w:tcBorders>
              <w:top w:val="nil"/>
              <w:left w:val="nil"/>
              <w:bottom w:val="nil"/>
              <w:right w:val="nil"/>
            </w:tcBorders>
          </w:tcPr>
          <w:p w14:paraId="6CF4ED37" w14:textId="77777777" w:rsidR="007106A6" w:rsidRPr="00FD0D8E" w:rsidRDefault="007106A6" w:rsidP="00C74EB6">
            <w:pPr>
              <w:autoSpaceDE w:val="0"/>
              <w:autoSpaceDN w:val="0"/>
              <w:adjustRightInd w:val="0"/>
              <w:jc w:val="center"/>
              <w:rPr>
                <w:kern w:val="0"/>
                <w:szCs w:val="21"/>
              </w:rPr>
            </w:pPr>
            <w:r w:rsidRPr="00FD0D8E">
              <w:rPr>
                <w:kern w:val="0"/>
                <w:szCs w:val="21"/>
              </w:rPr>
              <w:t>-0.018</w:t>
            </w:r>
          </w:p>
        </w:tc>
        <w:tc>
          <w:tcPr>
            <w:tcW w:w="1651" w:type="pct"/>
            <w:tcBorders>
              <w:top w:val="nil"/>
              <w:left w:val="nil"/>
              <w:bottom w:val="nil"/>
              <w:right w:val="nil"/>
            </w:tcBorders>
          </w:tcPr>
          <w:p w14:paraId="4B9CB3F1" w14:textId="77777777" w:rsidR="007106A6" w:rsidRPr="00FD0D8E" w:rsidRDefault="007106A6" w:rsidP="00C74EB6">
            <w:pPr>
              <w:autoSpaceDE w:val="0"/>
              <w:autoSpaceDN w:val="0"/>
              <w:adjustRightInd w:val="0"/>
              <w:jc w:val="center"/>
              <w:rPr>
                <w:kern w:val="0"/>
                <w:szCs w:val="21"/>
              </w:rPr>
            </w:pPr>
            <w:r w:rsidRPr="00FD0D8E">
              <w:rPr>
                <w:kern w:val="0"/>
                <w:szCs w:val="21"/>
              </w:rPr>
              <w:t>-0.004</w:t>
            </w:r>
          </w:p>
        </w:tc>
      </w:tr>
      <w:tr w:rsidR="007106A6" w:rsidRPr="00FD0D8E" w14:paraId="6777DBD7" w14:textId="77777777" w:rsidTr="007106A6">
        <w:tc>
          <w:tcPr>
            <w:tcW w:w="1697" w:type="pct"/>
            <w:tcBorders>
              <w:top w:val="nil"/>
              <w:left w:val="nil"/>
              <w:bottom w:val="nil"/>
              <w:right w:val="nil"/>
            </w:tcBorders>
          </w:tcPr>
          <w:p w14:paraId="5B71777E"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04BADE15" w14:textId="77777777" w:rsidR="007106A6" w:rsidRPr="00FD0D8E" w:rsidRDefault="007106A6" w:rsidP="00C74EB6">
            <w:pPr>
              <w:autoSpaceDE w:val="0"/>
              <w:autoSpaceDN w:val="0"/>
              <w:adjustRightInd w:val="0"/>
              <w:jc w:val="center"/>
              <w:rPr>
                <w:kern w:val="0"/>
                <w:szCs w:val="21"/>
              </w:rPr>
            </w:pPr>
            <w:r w:rsidRPr="00FD0D8E">
              <w:rPr>
                <w:kern w:val="0"/>
                <w:szCs w:val="21"/>
              </w:rPr>
              <w:t>(0.085)</w:t>
            </w:r>
          </w:p>
        </w:tc>
        <w:tc>
          <w:tcPr>
            <w:tcW w:w="1651" w:type="pct"/>
            <w:tcBorders>
              <w:top w:val="nil"/>
              <w:left w:val="nil"/>
              <w:bottom w:val="nil"/>
              <w:right w:val="nil"/>
            </w:tcBorders>
          </w:tcPr>
          <w:p w14:paraId="194AD91D" w14:textId="77777777" w:rsidR="007106A6" w:rsidRPr="00FD0D8E" w:rsidRDefault="007106A6" w:rsidP="00C74EB6">
            <w:pPr>
              <w:autoSpaceDE w:val="0"/>
              <w:autoSpaceDN w:val="0"/>
              <w:adjustRightInd w:val="0"/>
              <w:jc w:val="center"/>
              <w:rPr>
                <w:kern w:val="0"/>
                <w:szCs w:val="21"/>
              </w:rPr>
            </w:pPr>
            <w:r w:rsidRPr="00FD0D8E">
              <w:rPr>
                <w:kern w:val="0"/>
                <w:szCs w:val="21"/>
              </w:rPr>
              <w:t>(0.108)</w:t>
            </w:r>
          </w:p>
        </w:tc>
      </w:tr>
      <w:tr w:rsidR="007106A6" w:rsidRPr="00FD0D8E" w14:paraId="4B51A6F5" w14:textId="77777777" w:rsidTr="007106A6">
        <w:tc>
          <w:tcPr>
            <w:tcW w:w="1697" w:type="pct"/>
            <w:tcBorders>
              <w:top w:val="nil"/>
              <w:left w:val="nil"/>
              <w:bottom w:val="nil"/>
              <w:right w:val="nil"/>
            </w:tcBorders>
          </w:tcPr>
          <w:p w14:paraId="7C39AAAF" w14:textId="77777777" w:rsidR="007106A6" w:rsidRPr="00FD0D8E" w:rsidRDefault="007106A6" w:rsidP="00C74EB6">
            <w:pPr>
              <w:autoSpaceDE w:val="0"/>
              <w:autoSpaceDN w:val="0"/>
              <w:adjustRightInd w:val="0"/>
              <w:rPr>
                <w:kern w:val="0"/>
                <w:szCs w:val="21"/>
              </w:rPr>
            </w:pPr>
            <w:proofErr w:type="spellStart"/>
            <w:r w:rsidRPr="00FD0D8E">
              <w:rPr>
                <w:kern w:val="0"/>
                <w:szCs w:val="21"/>
              </w:rPr>
              <w:t>DSize</w:t>
            </w:r>
            <w:proofErr w:type="spellEnd"/>
          </w:p>
        </w:tc>
        <w:tc>
          <w:tcPr>
            <w:tcW w:w="1652" w:type="pct"/>
            <w:tcBorders>
              <w:top w:val="nil"/>
              <w:left w:val="nil"/>
              <w:bottom w:val="nil"/>
              <w:right w:val="nil"/>
            </w:tcBorders>
          </w:tcPr>
          <w:p w14:paraId="39365AAB" w14:textId="77777777" w:rsidR="007106A6" w:rsidRPr="00FD0D8E" w:rsidRDefault="007106A6" w:rsidP="00C74EB6">
            <w:pPr>
              <w:autoSpaceDE w:val="0"/>
              <w:autoSpaceDN w:val="0"/>
              <w:adjustRightInd w:val="0"/>
              <w:jc w:val="center"/>
              <w:rPr>
                <w:kern w:val="0"/>
                <w:szCs w:val="21"/>
              </w:rPr>
            </w:pPr>
            <w:r w:rsidRPr="00FD0D8E">
              <w:rPr>
                <w:kern w:val="0"/>
                <w:szCs w:val="21"/>
              </w:rPr>
              <w:t>0.003</w:t>
            </w:r>
          </w:p>
        </w:tc>
        <w:tc>
          <w:tcPr>
            <w:tcW w:w="1651" w:type="pct"/>
            <w:tcBorders>
              <w:top w:val="nil"/>
              <w:left w:val="nil"/>
              <w:bottom w:val="nil"/>
              <w:right w:val="nil"/>
            </w:tcBorders>
          </w:tcPr>
          <w:p w14:paraId="600F703C" w14:textId="77777777" w:rsidR="007106A6" w:rsidRPr="00FD0D8E" w:rsidRDefault="007106A6" w:rsidP="00C74EB6">
            <w:pPr>
              <w:autoSpaceDE w:val="0"/>
              <w:autoSpaceDN w:val="0"/>
              <w:adjustRightInd w:val="0"/>
              <w:jc w:val="center"/>
              <w:rPr>
                <w:kern w:val="0"/>
                <w:szCs w:val="21"/>
              </w:rPr>
            </w:pPr>
            <w:r w:rsidRPr="00FD0D8E">
              <w:rPr>
                <w:kern w:val="0"/>
                <w:szCs w:val="21"/>
              </w:rPr>
              <w:t>0.004</w:t>
            </w:r>
          </w:p>
        </w:tc>
      </w:tr>
      <w:tr w:rsidR="007106A6" w:rsidRPr="00FD0D8E" w14:paraId="188E77BB" w14:textId="77777777" w:rsidTr="007106A6">
        <w:tc>
          <w:tcPr>
            <w:tcW w:w="1697" w:type="pct"/>
            <w:tcBorders>
              <w:top w:val="nil"/>
              <w:left w:val="nil"/>
              <w:bottom w:val="nil"/>
              <w:right w:val="nil"/>
            </w:tcBorders>
          </w:tcPr>
          <w:p w14:paraId="167ED3D5"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52B02E8A" w14:textId="77777777" w:rsidR="007106A6" w:rsidRPr="00FD0D8E" w:rsidRDefault="007106A6" w:rsidP="00C74EB6">
            <w:pPr>
              <w:autoSpaceDE w:val="0"/>
              <w:autoSpaceDN w:val="0"/>
              <w:adjustRightInd w:val="0"/>
              <w:jc w:val="center"/>
              <w:rPr>
                <w:kern w:val="0"/>
                <w:szCs w:val="21"/>
              </w:rPr>
            </w:pPr>
            <w:r w:rsidRPr="00FD0D8E">
              <w:rPr>
                <w:kern w:val="0"/>
                <w:szCs w:val="21"/>
              </w:rPr>
              <w:t>(0.005)</w:t>
            </w:r>
          </w:p>
        </w:tc>
        <w:tc>
          <w:tcPr>
            <w:tcW w:w="1651" w:type="pct"/>
            <w:tcBorders>
              <w:top w:val="nil"/>
              <w:left w:val="nil"/>
              <w:bottom w:val="nil"/>
              <w:right w:val="nil"/>
            </w:tcBorders>
          </w:tcPr>
          <w:p w14:paraId="423579CD" w14:textId="77777777" w:rsidR="007106A6" w:rsidRPr="00FD0D8E" w:rsidRDefault="007106A6" w:rsidP="00C74EB6">
            <w:pPr>
              <w:autoSpaceDE w:val="0"/>
              <w:autoSpaceDN w:val="0"/>
              <w:adjustRightInd w:val="0"/>
              <w:jc w:val="center"/>
              <w:rPr>
                <w:kern w:val="0"/>
                <w:szCs w:val="21"/>
              </w:rPr>
            </w:pPr>
            <w:r w:rsidRPr="00FD0D8E">
              <w:rPr>
                <w:kern w:val="0"/>
                <w:szCs w:val="21"/>
              </w:rPr>
              <w:t>(0.007)</w:t>
            </w:r>
          </w:p>
        </w:tc>
      </w:tr>
      <w:tr w:rsidR="007106A6" w:rsidRPr="00FD0D8E" w14:paraId="6B631EEE" w14:textId="77777777" w:rsidTr="007106A6">
        <w:tc>
          <w:tcPr>
            <w:tcW w:w="1697" w:type="pct"/>
            <w:tcBorders>
              <w:top w:val="nil"/>
              <w:left w:val="nil"/>
              <w:bottom w:val="nil"/>
              <w:right w:val="nil"/>
            </w:tcBorders>
          </w:tcPr>
          <w:p w14:paraId="2C93F4A3" w14:textId="77777777" w:rsidR="007106A6" w:rsidRPr="00FD0D8E" w:rsidRDefault="007106A6" w:rsidP="00C74EB6">
            <w:pPr>
              <w:autoSpaceDE w:val="0"/>
              <w:autoSpaceDN w:val="0"/>
              <w:adjustRightInd w:val="0"/>
              <w:rPr>
                <w:kern w:val="0"/>
                <w:szCs w:val="21"/>
              </w:rPr>
            </w:pPr>
            <w:r w:rsidRPr="00FD0D8E">
              <w:rPr>
                <w:kern w:val="0"/>
                <w:szCs w:val="21"/>
              </w:rPr>
              <w:t>Duality</w:t>
            </w:r>
          </w:p>
        </w:tc>
        <w:tc>
          <w:tcPr>
            <w:tcW w:w="1652" w:type="pct"/>
            <w:tcBorders>
              <w:top w:val="nil"/>
              <w:left w:val="nil"/>
              <w:bottom w:val="nil"/>
              <w:right w:val="nil"/>
            </w:tcBorders>
          </w:tcPr>
          <w:p w14:paraId="439B35FD" w14:textId="77777777" w:rsidR="007106A6" w:rsidRPr="00FD0D8E" w:rsidRDefault="007106A6" w:rsidP="00C74EB6">
            <w:pPr>
              <w:autoSpaceDE w:val="0"/>
              <w:autoSpaceDN w:val="0"/>
              <w:adjustRightInd w:val="0"/>
              <w:jc w:val="center"/>
              <w:rPr>
                <w:kern w:val="0"/>
                <w:szCs w:val="21"/>
              </w:rPr>
            </w:pPr>
            <w:r w:rsidRPr="00FD0D8E">
              <w:rPr>
                <w:kern w:val="0"/>
                <w:szCs w:val="21"/>
              </w:rPr>
              <w:t>0.046</w:t>
            </w:r>
            <w:r w:rsidRPr="00FD0D8E">
              <w:rPr>
                <w:kern w:val="0"/>
                <w:szCs w:val="21"/>
                <w:vertAlign w:val="superscript"/>
              </w:rPr>
              <w:t>**</w:t>
            </w:r>
          </w:p>
        </w:tc>
        <w:tc>
          <w:tcPr>
            <w:tcW w:w="1651" w:type="pct"/>
            <w:tcBorders>
              <w:top w:val="nil"/>
              <w:left w:val="nil"/>
              <w:bottom w:val="nil"/>
              <w:right w:val="nil"/>
            </w:tcBorders>
          </w:tcPr>
          <w:p w14:paraId="39F79D87" w14:textId="77777777" w:rsidR="007106A6" w:rsidRPr="00FD0D8E" w:rsidRDefault="007106A6" w:rsidP="00C74EB6">
            <w:pPr>
              <w:autoSpaceDE w:val="0"/>
              <w:autoSpaceDN w:val="0"/>
              <w:adjustRightInd w:val="0"/>
              <w:jc w:val="center"/>
              <w:rPr>
                <w:kern w:val="0"/>
                <w:szCs w:val="21"/>
              </w:rPr>
            </w:pPr>
            <w:r w:rsidRPr="00FD0D8E">
              <w:rPr>
                <w:kern w:val="0"/>
                <w:szCs w:val="21"/>
              </w:rPr>
              <w:t>0.066</w:t>
            </w:r>
            <w:r w:rsidRPr="00FD0D8E">
              <w:rPr>
                <w:kern w:val="0"/>
                <w:szCs w:val="21"/>
                <w:vertAlign w:val="superscript"/>
              </w:rPr>
              <w:t>**</w:t>
            </w:r>
          </w:p>
        </w:tc>
      </w:tr>
      <w:tr w:rsidR="007106A6" w:rsidRPr="00FD0D8E" w14:paraId="0A55157B" w14:textId="77777777" w:rsidTr="007106A6">
        <w:tc>
          <w:tcPr>
            <w:tcW w:w="1697" w:type="pct"/>
            <w:tcBorders>
              <w:top w:val="nil"/>
              <w:left w:val="nil"/>
              <w:bottom w:val="nil"/>
              <w:right w:val="nil"/>
            </w:tcBorders>
          </w:tcPr>
          <w:p w14:paraId="54A676F6"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45E7C3DA" w14:textId="77777777" w:rsidR="007106A6" w:rsidRPr="00FD0D8E" w:rsidRDefault="007106A6" w:rsidP="00C74EB6">
            <w:pPr>
              <w:autoSpaceDE w:val="0"/>
              <w:autoSpaceDN w:val="0"/>
              <w:adjustRightInd w:val="0"/>
              <w:jc w:val="center"/>
              <w:rPr>
                <w:kern w:val="0"/>
                <w:szCs w:val="21"/>
              </w:rPr>
            </w:pPr>
            <w:r w:rsidRPr="00FD0D8E">
              <w:rPr>
                <w:kern w:val="0"/>
                <w:szCs w:val="21"/>
              </w:rPr>
              <w:t>(0.015)</w:t>
            </w:r>
          </w:p>
        </w:tc>
        <w:tc>
          <w:tcPr>
            <w:tcW w:w="1651" w:type="pct"/>
            <w:tcBorders>
              <w:top w:val="nil"/>
              <w:left w:val="nil"/>
              <w:bottom w:val="nil"/>
              <w:right w:val="nil"/>
            </w:tcBorders>
          </w:tcPr>
          <w:p w14:paraId="39443FEC" w14:textId="77777777" w:rsidR="007106A6" w:rsidRPr="00FD0D8E" w:rsidRDefault="007106A6" w:rsidP="00C74EB6">
            <w:pPr>
              <w:autoSpaceDE w:val="0"/>
              <w:autoSpaceDN w:val="0"/>
              <w:adjustRightInd w:val="0"/>
              <w:jc w:val="center"/>
              <w:rPr>
                <w:kern w:val="0"/>
                <w:szCs w:val="21"/>
              </w:rPr>
            </w:pPr>
            <w:r w:rsidRPr="00FD0D8E">
              <w:rPr>
                <w:kern w:val="0"/>
                <w:szCs w:val="21"/>
              </w:rPr>
              <w:t>(0.021)</w:t>
            </w:r>
          </w:p>
        </w:tc>
      </w:tr>
      <w:tr w:rsidR="007106A6" w:rsidRPr="00FD0D8E" w14:paraId="17E25661" w14:textId="77777777" w:rsidTr="007106A6">
        <w:tc>
          <w:tcPr>
            <w:tcW w:w="1697" w:type="pct"/>
            <w:tcBorders>
              <w:top w:val="nil"/>
              <w:left w:val="nil"/>
              <w:bottom w:val="nil"/>
              <w:right w:val="nil"/>
            </w:tcBorders>
          </w:tcPr>
          <w:p w14:paraId="7D25D3DD" w14:textId="77777777" w:rsidR="007106A6" w:rsidRPr="00FD0D8E" w:rsidRDefault="007106A6" w:rsidP="00C74EB6">
            <w:pPr>
              <w:autoSpaceDE w:val="0"/>
              <w:autoSpaceDN w:val="0"/>
              <w:adjustRightInd w:val="0"/>
              <w:rPr>
                <w:kern w:val="0"/>
                <w:szCs w:val="21"/>
              </w:rPr>
            </w:pPr>
            <w:r w:rsidRPr="00FD0D8E">
              <w:rPr>
                <w:kern w:val="0"/>
                <w:szCs w:val="21"/>
              </w:rPr>
              <w:t>DOSR</w:t>
            </w:r>
          </w:p>
        </w:tc>
        <w:tc>
          <w:tcPr>
            <w:tcW w:w="1652" w:type="pct"/>
            <w:tcBorders>
              <w:top w:val="nil"/>
              <w:left w:val="nil"/>
              <w:bottom w:val="nil"/>
              <w:right w:val="nil"/>
            </w:tcBorders>
          </w:tcPr>
          <w:p w14:paraId="717D4AC1" w14:textId="77777777" w:rsidR="007106A6" w:rsidRPr="00FD0D8E" w:rsidRDefault="007106A6" w:rsidP="00C74EB6">
            <w:pPr>
              <w:autoSpaceDE w:val="0"/>
              <w:autoSpaceDN w:val="0"/>
              <w:adjustRightInd w:val="0"/>
              <w:jc w:val="center"/>
              <w:rPr>
                <w:kern w:val="0"/>
                <w:szCs w:val="21"/>
              </w:rPr>
            </w:pPr>
            <w:r w:rsidRPr="00FD0D8E">
              <w:rPr>
                <w:kern w:val="0"/>
                <w:szCs w:val="21"/>
              </w:rPr>
              <w:t>0.206</w:t>
            </w:r>
            <w:r w:rsidRPr="00FD0D8E">
              <w:rPr>
                <w:kern w:val="0"/>
                <w:szCs w:val="21"/>
                <w:vertAlign w:val="superscript"/>
              </w:rPr>
              <w:t>***</w:t>
            </w:r>
          </w:p>
        </w:tc>
        <w:tc>
          <w:tcPr>
            <w:tcW w:w="1651" w:type="pct"/>
            <w:tcBorders>
              <w:top w:val="nil"/>
              <w:left w:val="nil"/>
              <w:bottom w:val="nil"/>
              <w:right w:val="nil"/>
            </w:tcBorders>
          </w:tcPr>
          <w:p w14:paraId="03B0275A" w14:textId="77777777" w:rsidR="007106A6" w:rsidRPr="00FD0D8E" w:rsidRDefault="007106A6" w:rsidP="00C74EB6">
            <w:pPr>
              <w:autoSpaceDE w:val="0"/>
              <w:autoSpaceDN w:val="0"/>
              <w:adjustRightInd w:val="0"/>
              <w:jc w:val="center"/>
              <w:rPr>
                <w:kern w:val="0"/>
                <w:szCs w:val="21"/>
              </w:rPr>
            </w:pPr>
            <w:r w:rsidRPr="00FD0D8E">
              <w:rPr>
                <w:kern w:val="0"/>
                <w:szCs w:val="21"/>
              </w:rPr>
              <w:t>0.272</w:t>
            </w:r>
            <w:r w:rsidRPr="00FD0D8E">
              <w:rPr>
                <w:kern w:val="0"/>
                <w:szCs w:val="21"/>
                <w:vertAlign w:val="superscript"/>
              </w:rPr>
              <w:t>***</w:t>
            </w:r>
          </w:p>
        </w:tc>
      </w:tr>
      <w:tr w:rsidR="007106A6" w:rsidRPr="00FD0D8E" w14:paraId="13ADA5A9" w14:textId="77777777" w:rsidTr="007106A6">
        <w:tc>
          <w:tcPr>
            <w:tcW w:w="1697" w:type="pct"/>
            <w:tcBorders>
              <w:top w:val="nil"/>
              <w:left w:val="nil"/>
              <w:bottom w:val="nil"/>
              <w:right w:val="nil"/>
            </w:tcBorders>
          </w:tcPr>
          <w:p w14:paraId="611880EE"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0703567C" w14:textId="77777777" w:rsidR="007106A6" w:rsidRPr="00FD0D8E" w:rsidRDefault="007106A6" w:rsidP="00C74EB6">
            <w:pPr>
              <w:autoSpaceDE w:val="0"/>
              <w:autoSpaceDN w:val="0"/>
              <w:adjustRightInd w:val="0"/>
              <w:jc w:val="center"/>
              <w:rPr>
                <w:kern w:val="0"/>
                <w:szCs w:val="21"/>
              </w:rPr>
            </w:pPr>
            <w:r w:rsidRPr="00FD0D8E">
              <w:rPr>
                <w:kern w:val="0"/>
                <w:szCs w:val="21"/>
              </w:rPr>
              <w:t>(0.058)</w:t>
            </w:r>
          </w:p>
        </w:tc>
        <w:tc>
          <w:tcPr>
            <w:tcW w:w="1651" w:type="pct"/>
            <w:tcBorders>
              <w:top w:val="nil"/>
              <w:left w:val="nil"/>
              <w:bottom w:val="nil"/>
              <w:right w:val="nil"/>
            </w:tcBorders>
          </w:tcPr>
          <w:p w14:paraId="3F35F2BA" w14:textId="77777777" w:rsidR="007106A6" w:rsidRPr="00FD0D8E" w:rsidRDefault="007106A6" w:rsidP="00C74EB6">
            <w:pPr>
              <w:autoSpaceDE w:val="0"/>
              <w:autoSpaceDN w:val="0"/>
              <w:adjustRightInd w:val="0"/>
              <w:jc w:val="center"/>
              <w:rPr>
                <w:kern w:val="0"/>
                <w:szCs w:val="21"/>
              </w:rPr>
            </w:pPr>
            <w:r w:rsidRPr="00FD0D8E">
              <w:rPr>
                <w:kern w:val="0"/>
                <w:szCs w:val="21"/>
              </w:rPr>
              <w:t>(0.079)</w:t>
            </w:r>
          </w:p>
        </w:tc>
      </w:tr>
      <w:tr w:rsidR="007106A6" w:rsidRPr="00FD0D8E" w14:paraId="2A88D223" w14:textId="77777777" w:rsidTr="007106A6">
        <w:tc>
          <w:tcPr>
            <w:tcW w:w="1697" w:type="pct"/>
            <w:tcBorders>
              <w:top w:val="nil"/>
              <w:left w:val="nil"/>
              <w:bottom w:val="nil"/>
              <w:right w:val="nil"/>
            </w:tcBorders>
          </w:tcPr>
          <w:p w14:paraId="07B900F1" w14:textId="77777777" w:rsidR="007106A6" w:rsidRPr="00FD0D8E" w:rsidRDefault="007106A6" w:rsidP="00C74EB6">
            <w:pPr>
              <w:autoSpaceDE w:val="0"/>
              <w:autoSpaceDN w:val="0"/>
              <w:adjustRightInd w:val="0"/>
              <w:rPr>
                <w:kern w:val="0"/>
                <w:szCs w:val="21"/>
              </w:rPr>
            </w:pPr>
            <w:r w:rsidRPr="00FD0D8E">
              <w:rPr>
                <w:kern w:val="0"/>
                <w:szCs w:val="21"/>
              </w:rPr>
              <w:t>Size</w:t>
            </w:r>
          </w:p>
        </w:tc>
        <w:tc>
          <w:tcPr>
            <w:tcW w:w="1652" w:type="pct"/>
            <w:tcBorders>
              <w:top w:val="nil"/>
              <w:left w:val="nil"/>
              <w:bottom w:val="nil"/>
              <w:right w:val="nil"/>
            </w:tcBorders>
          </w:tcPr>
          <w:p w14:paraId="5EB7DABB" w14:textId="77777777" w:rsidR="007106A6" w:rsidRPr="00FD0D8E" w:rsidRDefault="007106A6" w:rsidP="00C74EB6">
            <w:pPr>
              <w:autoSpaceDE w:val="0"/>
              <w:autoSpaceDN w:val="0"/>
              <w:adjustRightInd w:val="0"/>
              <w:jc w:val="center"/>
              <w:rPr>
                <w:kern w:val="0"/>
                <w:szCs w:val="21"/>
              </w:rPr>
            </w:pPr>
            <w:r w:rsidRPr="00FD0D8E">
              <w:rPr>
                <w:kern w:val="0"/>
                <w:szCs w:val="21"/>
              </w:rPr>
              <w:t>0.280</w:t>
            </w:r>
            <w:r w:rsidRPr="00FD0D8E">
              <w:rPr>
                <w:kern w:val="0"/>
                <w:szCs w:val="21"/>
                <w:vertAlign w:val="superscript"/>
              </w:rPr>
              <w:t>***</w:t>
            </w:r>
          </w:p>
        </w:tc>
        <w:tc>
          <w:tcPr>
            <w:tcW w:w="1651" w:type="pct"/>
            <w:tcBorders>
              <w:top w:val="nil"/>
              <w:left w:val="nil"/>
              <w:bottom w:val="nil"/>
              <w:right w:val="nil"/>
            </w:tcBorders>
          </w:tcPr>
          <w:p w14:paraId="4F773067" w14:textId="77777777" w:rsidR="007106A6" w:rsidRPr="00FD0D8E" w:rsidRDefault="007106A6" w:rsidP="00C74EB6">
            <w:pPr>
              <w:autoSpaceDE w:val="0"/>
              <w:autoSpaceDN w:val="0"/>
              <w:adjustRightInd w:val="0"/>
              <w:jc w:val="center"/>
              <w:rPr>
                <w:kern w:val="0"/>
                <w:szCs w:val="21"/>
              </w:rPr>
            </w:pPr>
            <w:r w:rsidRPr="00FD0D8E">
              <w:rPr>
                <w:kern w:val="0"/>
                <w:szCs w:val="21"/>
              </w:rPr>
              <w:t>0.343</w:t>
            </w:r>
            <w:r w:rsidRPr="00FD0D8E">
              <w:rPr>
                <w:kern w:val="0"/>
                <w:szCs w:val="21"/>
                <w:vertAlign w:val="superscript"/>
              </w:rPr>
              <w:t>***</w:t>
            </w:r>
          </w:p>
        </w:tc>
      </w:tr>
      <w:tr w:rsidR="007106A6" w:rsidRPr="00FD0D8E" w14:paraId="5FE5F31E" w14:textId="77777777" w:rsidTr="007106A6">
        <w:tc>
          <w:tcPr>
            <w:tcW w:w="1697" w:type="pct"/>
            <w:tcBorders>
              <w:top w:val="nil"/>
              <w:left w:val="nil"/>
              <w:bottom w:val="nil"/>
              <w:right w:val="nil"/>
            </w:tcBorders>
          </w:tcPr>
          <w:p w14:paraId="5DF23FB6" w14:textId="77777777" w:rsidR="007106A6" w:rsidRPr="00FD0D8E" w:rsidRDefault="007106A6" w:rsidP="00C74EB6">
            <w:pPr>
              <w:autoSpaceDE w:val="0"/>
              <w:autoSpaceDN w:val="0"/>
              <w:adjustRightInd w:val="0"/>
              <w:rPr>
                <w:kern w:val="0"/>
                <w:szCs w:val="21"/>
              </w:rPr>
            </w:pPr>
          </w:p>
        </w:tc>
        <w:tc>
          <w:tcPr>
            <w:tcW w:w="1652" w:type="pct"/>
            <w:tcBorders>
              <w:top w:val="nil"/>
              <w:left w:val="nil"/>
              <w:bottom w:val="nil"/>
              <w:right w:val="nil"/>
            </w:tcBorders>
          </w:tcPr>
          <w:p w14:paraId="0BF26D36" w14:textId="77777777" w:rsidR="007106A6" w:rsidRPr="00FD0D8E" w:rsidRDefault="007106A6" w:rsidP="00C74EB6">
            <w:pPr>
              <w:autoSpaceDE w:val="0"/>
              <w:autoSpaceDN w:val="0"/>
              <w:adjustRightInd w:val="0"/>
              <w:jc w:val="center"/>
              <w:rPr>
                <w:kern w:val="0"/>
                <w:szCs w:val="21"/>
              </w:rPr>
            </w:pPr>
            <w:r w:rsidRPr="00FD0D8E">
              <w:rPr>
                <w:kern w:val="0"/>
                <w:szCs w:val="21"/>
              </w:rPr>
              <w:t>(0.030)</w:t>
            </w:r>
          </w:p>
        </w:tc>
        <w:tc>
          <w:tcPr>
            <w:tcW w:w="1651" w:type="pct"/>
            <w:tcBorders>
              <w:top w:val="nil"/>
              <w:left w:val="nil"/>
              <w:bottom w:val="nil"/>
              <w:right w:val="nil"/>
            </w:tcBorders>
          </w:tcPr>
          <w:p w14:paraId="3776B40C" w14:textId="77777777" w:rsidR="007106A6" w:rsidRPr="00FD0D8E" w:rsidRDefault="007106A6" w:rsidP="00C74EB6">
            <w:pPr>
              <w:autoSpaceDE w:val="0"/>
              <w:autoSpaceDN w:val="0"/>
              <w:adjustRightInd w:val="0"/>
              <w:jc w:val="center"/>
              <w:rPr>
                <w:kern w:val="0"/>
                <w:szCs w:val="21"/>
              </w:rPr>
            </w:pPr>
            <w:r w:rsidRPr="00FD0D8E">
              <w:rPr>
                <w:kern w:val="0"/>
                <w:szCs w:val="21"/>
              </w:rPr>
              <w:t>(0.032)</w:t>
            </w:r>
          </w:p>
        </w:tc>
      </w:tr>
      <w:tr w:rsidR="007106A6" w:rsidRPr="00FD0D8E" w14:paraId="4D1B47A7" w14:textId="77777777" w:rsidTr="007106A6">
        <w:tc>
          <w:tcPr>
            <w:tcW w:w="1697" w:type="pct"/>
            <w:tcBorders>
              <w:top w:val="nil"/>
              <w:left w:val="nil"/>
              <w:bottom w:val="nil"/>
              <w:right w:val="nil"/>
            </w:tcBorders>
          </w:tcPr>
          <w:p w14:paraId="13ACC009" w14:textId="77777777" w:rsidR="007106A6" w:rsidRPr="00FD0D8E" w:rsidRDefault="007106A6" w:rsidP="00C74EB6">
            <w:pPr>
              <w:autoSpaceDE w:val="0"/>
              <w:autoSpaceDN w:val="0"/>
              <w:adjustRightInd w:val="0"/>
              <w:rPr>
                <w:kern w:val="0"/>
                <w:szCs w:val="21"/>
              </w:rPr>
            </w:pPr>
            <w:r w:rsidRPr="00FD0D8E">
              <w:rPr>
                <w:kern w:val="0"/>
                <w:szCs w:val="21"/>
              </w:rPr>
              <w:t>SOE</w:t>
            </w:r>
          </w:p>
        </w:tc>
        <w:tc>
          <w:tcPr>
            <w:tcW w:w="1652" w:type="pct"/>
            <w:tcBorders>
              <w:top w:val="nil"/>
              <w:left w:val="nil"/>
              <w:bottom w:val="nil"/>
              <w:right w:val="nil"/>
            </w:tcBorders>
          </w:tcPr>
          <w:p w14:paraId="41DBC825" w14:textId="77777777" w:rsidR="007106A6" w:rsidRPr="00FD0D8E" w:rsidRDefault="007106A6" w:rsidP="00C74EB6">
            <w:pPr>
              <w:autoSpaceDE w:val="0"/>
              <w:autoSpaceDN w:val="0"/>
              <w:adjustRightInd w:val="0"/>
              <w:jc w:val="center"/>
              <w:rPr>
                <w:kern w:val="0"/>
                <w:szCs w:val="21"/>
              </w:rPr>
            </w:pPr>
            <w:r w:rsidRPr="00FD0D8E">
              <w:rPr>
                <w:kern w:val="0"/>
                <w:szCs w:val="21"/>
              </w:rPr>
              <w:t>-0.197</w:t>
            </w:r>
            <w:r w:rsidRPr="00FD0D8E">
              <w:rPr>
                <w:kern w:val="0"/>
                <w:szCs w:val="21"/>
                <w:vertAlign w:val="superscript"/>
              </w:rPr>
              <w:t>***</w:t>
            </w:r>
          </w:p>
        </w:tc>
        <w:tc>
          <w:tcPr>
            <w:tcW w:w="1651" w:type="pct"/>
            <w:tcBorders>
              <w:top w:val="nil"/>
              <w:left w:val="nil"/>
              <w:bottom w:val="nil"/>
              <w:right w:val="nil"/>
            </w:tcBorders>
          </w:tcPr>
          <w:p w14:paraId="5B725B09" w14:textId="77777777" w:rsidR="007106A6" w:rsidRPr="00FD0D8E" w:rsidRDefault="007106A6" w:rsidP="00C74EB6">
            <w:pPr>
              <w:autoSpaceDE w:val="0"/>
              <w:autoSpaceDN w:val="0"/>
              <w:adjustRightInd w:val="0"/>
              <w:jc w:val="center"/>
              <w:rPr>
                <w:kern w:val="0"/>
                <w:szCs w:val="21"/>
              </w:rPr>
            </w:pPr>
            <w:r w:rsidRPr="00FD0D8E">
              <w:rPr>
                <w:kern w:val="0"/>
                <w:szCs w:val="21"/>
              </w:rPr>
              <w:t>-0.276</w:t>
            </w:r>
            <w:r w:rsidRPr="00FD0D8E">
              <w:rPr>
                <w:kern w:val="0"/>
                <w:szCs w:val="21"/>
                <w:vertAlign w:val="superscript"/>
              </w:rPr>
              <w:t>***</w:t>
            </w:r>
          </w:p>
        </w:tc>
      </w:tr>
      <w:tr w:rsidR="007106A6" w:rsidRPr="00FD0D8E" w14:paraId="15BEC86A" w14:textId="77777777" w:rsidTr="007106A6">
        <w:tc>
          <w:tcPr>
            <w:tcW w:w="1697" w:type="pct"/>
            <w:tcBorders>
              <w:top w:val="nil"/>
              <w:left w:val="nil"/>
              <w:right w:val="nil"/>
            </w:tcBorders>
          </w:tcPr>
          <w:p w14:paraId="2A98B446" w14:textId="77777777" w:rsidR="007106A6" w:rsidRPr="00FD0D8E" w:rsidRDefault="007106A6" w:rsidP="00C74EB6">
            <w:pPr>
              <w:autoSpaceDE w:val="0"/>
              <w:autoSpaceDN w:val="0"/>
              <w:adjustRightInd w:val="0"/>
              <w:rPr>
                <w:kern w:val="0"/>
                <w:szCs w:val="21"/>
              </w:rPr>
            </w:pPr>
          </w:p>
        </w:tc>
        <w:tc>
          <w:tcPr>
            <w:tcW w:w="1652" w:type="pct"/>
            <w:tcBorders>
              <w:top w:val="nil"/>
              <w:left w:val="nil"/>
              <w:right w:val="nil"/>
            </w:tcBorders>
          </w:tcPr>
          <w:p w14:paraId="647E9526" w14:textId="77777777" w:rsidR="007106A6" w:rsidRPr="00FD0D8E" w:rsidRDefault="007106A6" w:rsidP="00C74EB6">
            <w:pPr>
              <w:autoSpaceDE w:val="0"/>
              <w:autoSpaceDN w:val="0"/>
              <w:adjustRightInd w:val="0"/>
              <w:jc w:val="center"/>
              <w:rPr>
                <w:kern w:val="0"/>
                <w:szCs w:val="21"/>
              </w:rPr>
            </w:pPr>
            <w:r w:rsidRPr="00FD0D8E">
              <w:rPr>
                <w:kern w:val="0"/>
                <w:szCs w:val="21"/>
              </w:rPr>
              <w:t>(0.019)</w:t>
            </w:r>
          </w:p>
        </w:tc>
        <w:tc>
          <w:tcPr>
            <w:tcW w:w="1651" w:type="pct"/>
            <w:tcBorders>
              <w:top w:val="nil"/>
              <w:left w:val="nil"/>
              <w:right w:val="nil"/>
            </w:tcBorders>
          </w:tcPr>
          <w:p w14:paraId="3CBC1001" w14:textId="77777777" w:rsidR="007106A6" w:rsidRPr="00FD0D8E" w:rsidRDefault="007106A6" w:rsidP="00C74EB6">
            <w:pPr>
              <w:autoSpaceDE w:val="0"/>
              <w:autoSpaceDN w:val="0"/>
              <w:adjustRightInd w:val="0"/>
              <w:jc w:val="center"/>
              <w:rPr>
                <w:kern w:val="0"/>
                <w:szCs w:val="21"/>
              </w:rPr>
            </w:pPr>
            <w:r w:rsidRPr="00FD0D8E">
              <w:rPr>
                <w:kern w:val="0"/>
                <w:szCs w:val="21"/>
              </w:rPr>
              <w:t>(0.030)</w:t>
            </w:r>
          </w:p>
        </w:tc>
      </w:tr>
      <w:tr w:rsidR="007106A6" w:rsidRPr="00FD0D8E" w14:paraId="6F358D68" w14:textId="77777777" w:rsidTr="007106A6">
        <w:tc>
          <w:tcPr>
            <w:tcW w:w="1697" w:type="pct"/>
            <w:tcBorders>
              <w:left w:val="nil"/>
              <w:bottom w:val="nil"/>
              <w:right w:val="nil"/>
            </w:tcBorders>
          </w:tcPr>
          <w:p w14:paraId="531B3A03" w14:textId="06910EF8" w:rsidR="007106A6" w:rsidRPr="00FD0D8E" w:rsidRDefault="007106A6" w:rsidP="00C74EB6">
            <w:pPr>
              <w:autoSpaceDE w:val="0"/>
              <w:autoSpaceDN w:val="0"/>
              <w:adjustRightInd w:val="0"/>
              <w:rPr>
                <w:kern w:val="0"/>
                <w:szCs w:val="21"/>
              </w:rPr>
            </w:pPr>
            <w:r w:rsidRPr="00FD0D8E">
              <w:rPr>
                <w:rFonts w:hint="eastAsia"/>
                <w:kern w:val="0"/>
                <w:szCs w:val="21"/>
              </w:rPr>
              <w:t>行业</w:t>
            </w:r>
            <w:r w:rsidRPr="00FD0D8E">
              <w:rPr>
                <w:rFonts w:hint="eastAsia"/>
                <w:kern w:val="0"/>
                <w:szCs w:val="21"/>
              </w:rPr>
              <w:t>FE</w:t>
            </w:r>
          </w:p>
        </w:tc>
        <w:tc>
          <w:tcPr>
            <w:tcW w:w="1652" w:type="pct"/>
            <w:tcBorders>
              <w:left w:val="nil"/>
              <w:bottom w:val="nil"/>
              <w:right w:val="nil"/>
            </w:tcBorders>
          </w:tcPr>
          <w:p w14:paraId="096B5788" w14:textId="14399A5C" w:rsidR="007106A6" w:rsidRPr="00FD0D8E" w:rsidRDefault="007106A6" w:rsidP="00C74EB6">
            <w:pPr>
              <w:autoSpaceDE w:val="0"/>
              <w:autoSpaceDN w:val="0"/>
              <w:adjustRightInd w:val="0"/>
              <w:jc w:val="center"/>
              <w:rPr>
                <w:kern w:val="0"/>
                <w:szCs w:val="21"/>
              </w:rPr>
            </w:pPr>
            <w:r w:rsidRPr="00FD0D8E">
              <w:rPr>
                <w:rFonts w:hint="eastAsia"/>
                <w:kern w:val="0"/>
                <w:szCs w:val="21"/>
              </w:rPr>
              <w:t>控制</w:t>
            </w:r>
          </w:p>
        </w:tc>
        <w:tc>
          <w:tcPr>
            <w:tcW w:w="1651" w:type="pct"/>
            <w:tcBorders>
              <w:left w:val="nil"/>
              <w:bottom w:val="nil"/>
              <w:right w:val="nil"/>
            </w:tcBorders>
          </w:tcPr>
          <w:p w14:paraId="6DB5B6DF" w14:textId="33277C70" w:rsidR="007106A6" w:rsidRPr="00FD0D8E" w:rsidRDefault="007106A6" w:rsidP="00C74EB6">
            <w:pPr>
              <w:autoSpaceDE w:val="0"/>
              <w:autoSpaceDN w:val="0"/>
              <w:adjustRightInd w:val="0"/>
              <w:jc w:val="center"/>
              <w:rPr>
                <w:kern w:val="0"/>
                <w:szCs w:val="21"/>
              </w:rPr>
            </w:pPr>
            <w:r w:rsidRPr="00FD0D8E">
              <w:rPr>
                <w:rFonts w:hint="eastAsia"/>
                <w:kern w:val="0"/>
                <w:szCs w:val="21"/>
              </w:rPr>
              <w:t>控制</w:t>
            </w:r>
          </w:p>
        </w:tc>
      </w:tr>
      <w:tr w:rsidR="007106A6" w:rsidRPr="00FD0D8E" w14:paraId="63FA91BE" w14:textId="77777777" w:rsidTr="007106A6">
        <w:tc>
          <w:tcPr>
            <w:tcW w:w="1697" w:type="pct"/>
            <w:tcBorders>
              <w:top w:val="nil"/>
              <w:left w:val="nil"/>
              <w:bottom w:val="nil"/>
              <w:right w:val="nil"/>
            </w:tcBorders>
          </w:tcPr>
          <w:p w14:paraId="747ECD7B" w14:textId="30046824" w:rsidR="007106A6" w:rsidRPr="00FD0D8E" w:rsidRDefault="007106A6" w:rsidP="00C74EB6">
            <w:pPr>
              <w:autoSpaceDE w:val="0"/>
              <w:autoSpaceDN w:val="0"/>
              <w:adjustRightInd w:val="0"/>
              <w:rPr>
                <w:kern w:val="0"/>
                <w:szCs w:val="21"/>
              </w:rPr>
            </w:pPr>
            <w:r w:rsidRPr="00FD0D8E">
              <w:rPr>
                <w:rFonts w:hint="eastAsia"/>
                <w:kern w:val="0"/>
                <w:szCs w:val="21"/>
              </w:rPr>
              <w:t>年份</w:t>
            </w:r>
            <w:r w:rsidRPr="00FD0D8E">
              <w:rPr>
                <w:rFonts w:hint="eastAsia"/>
                <w:kern w:val="0"/>
                <w:szCs w:val="21"/>
              </w:rPr>
              <w:t>FE</w:t>
            </w:r>
          </w:p>
        </w:tc>
        <w:tc>
          <w:tcPr>
            <w:tcW w:w="1652" w:type="pct"/>
            <w:tcBorders>
              <w:top w:val="nil"/>
              <w:left w:val="nil"/>
              <w:bottom w:val="nil"/>
              <w:right w:val="nil"/>
            </w:tcBorders>
          </w:tcPr>
          <w:p w14:paraId="28BBB6DE" w14:textId="2E5B53FC" w:rsidR="007106A6" w:rsidRPr="00FD0D8E" w:rsidRDefault="007106A6" w:rsidP="00C74EB6">
            <w:pPr>
              <w:autoSpaceDE w:val="0"/>
              <w:autoSpaceDN w:val="0"/>
              <w:adjustRightInd w:val="0"/>
              <w:jc w:val="center"/>
              <w:rPr>
                <w:kern w:val="0"/>
                <w:szCs w:val="21"/>
              </w:rPr>
            </w:pPr>
            <w:r w:rsidRPr="00FD0D8E">
              <w:rPr>
                <w:rFonts w:hint="eastAsia"/>
                <w:kern w:val="0"/>
                <w:szCs w:val="21"/>
              </w:rPr>
              <w:t>控制</w:t>
            </w:r>
          </w:p>
        </w:tc>
        <w:tc>
          <w:tcPr>
            <w:tcW w:w="1651" w:type="pct"/>
            <w:tcBorders>
              <w:top w:val="nil"/>
              <w:left w:val="nil"/>
              <w:bottom w:val="nil"/>
              <w:right w:val="nil"/>
            </w:tcBorders>
          </w:tcPr>
          <w:p w14:paraId="2BA49526" w14:textId="3DBB17BB" w:rsidR="007106A6" w:rsidRPr="00FD0D8E" w:rsidRDefault="007106A6" w:rsidP="00C74EB6">
            <w:pPr>
              <w:autoSpaceDE w:val="0"/>
              <w:autoSpaceDN w:val="0"/>
              <w:adjustRightInd w:val="0"/>
              <w:jc w:val="center"/>
              <w:rPr>
                <w:kern w:val="0"/>
                <w:szCs w:val="21"/>
              </w:rPr>
            </w:pPr>
            <w:r w:rsidRPr="00FD0D8E">
              <w:rPr>
                <w:rFonts w:hint="eastAsia"/>
                <w:kern w:val="0"/>
                <w:szCs w:val="21"/>
              </w:rPr>
              <w:t>控制</w:t>
            </w:r>
          </w:p>
        </w:tc>
      </w:tr>
      <w:tr w:rsidR="007106A6" w:rsidRPr="00FD0D8E" w14:paraId="39936AA5" w14:textId="77777777" w:rsidTr="007106A6">
        <w:tc>
          <w:tcPr>
            <w:tcW w:w="1697" w:type="pct"/>
            <w:tcBorders>
              <w:top w:val="nil"/>
              <w:left w:val="nil"/>
              <w:right w:val="nil"/>
            </w:tcBorders>
          </w:tcPr>
          <w:p w14:paraId="1E169577" w14:textId="793EE480" w:rsidR="007106A6" w:rsidRPr="00FD0D8E" w:rsidRDefault="007106A6" w:rsidP="00C74EB6">
            <w:pPr>
              <w:autoSpaceDE w:val="0"/>
              <w:autoSpaceDN w:val="0"/>
              <w:adjustRightInd w:val="0"/>
              <w:rPr>
                <w:kern w:val="0"/>
                <w:szCs w:val="21"/>
              </w:rPr>
            </w:pPr>
            <w:r w:rsidRPr="00FD0D8E">
              <w:rPr>
                <w:kern w:val="0"/>
                <w:szCs w:val="21"/>
              </w:rPr>
              <w:t>N</w:t>
            </w:r>
          </w:p>
        </w:tc>
        <w:tc>
          <w:tcPr>
            <w:tcW w:w="1652" w:type="pct"/>
            <w:tcBorders>
              <w:top w:val="nil"/>
              <w:left w:val="nil"/>
              <w:right w:val="nil"/>
            </w:tcBorders>
          </w:tcPr>
          <w:p w14:paraId="6370AE0D" w14:textId="3BA8FFA7" w:rsidR="007106A6" w:rsidRPr="00FD0D8E" w:rsidRDefault="007106A6" w:rsidP="00C74EB6">
            <w:pPr>
              <w:autoSpaceDE w:val="0"/>
              <w:autoSpaceDN w:val="0"/>
              <w:adjustRightInd w:val="0"/>
              <w:jc w:val="center"/>
              <w:rPr>
                <w:kern w:val="0"/>
                <w:szCs w:val="21"/>
              </w:rPr>
            </w:pPr>
            <w:r w:rsidRPr="00FD0D8E">
              <w:rPr>
                <w:rFonts w:hint="eastAsia"/>
                <w:kern w:val="0"/>
                <w:szCs w:val="21"/>
              </w:rPr>
              <w:t>15324</w:t>
            </w:r>
          </w:p>
        </w:tc>
        <w:tc>
          <w:tcPr>
            <w:tcW w:w="1651" w:type="pct"/>
            <w:tcBorders>
              <w:top w:val="nil"/>
              <w:left w:val="nil"/>
              <w:right w:val="nil"/>
            </w:tcBorders>
          </w:tcPr>
          <w:p w14:paraId="74D20EEC" w14:textId="7D06A49E" w:rsidR="007106A6" w:rsidRPr="00FD0D8E" w:rsidRDefault="007106A6" w:rsidP="00C74EB6">
            <w:pPr>
              <w:autoSpaceDE w:val="0"/>
              <w:autoSpaceDN w:val="0"/>
              <w:adjustRightInd w:val="0"/>
              <w:jc w:val="center"/>
              <w:rPr>
                <w:kern w:val="0"/>
                <w:szCs w:val="21"/>
              </w:rPr>
            </w:pPr>
            <w:r w:rsidRPr="00FD0D8E">
              <w:rPr>
                <w:rFonts w:hint="eastAsia"/>
                <w:kern w:val="0"/>
                <w:szCs w:val="21"/>
              </w:rPr>
              <w:t>15383</w:t>
            </w:r>
          </w:p>
        </w:tc>
      </w:tr>
      <w:tr w:rsidR="007106A6" w:rsidRPr="00FD0D8E" w14:paraId="2F337CE9" w14:textId="77777777" w:rsidTr="007106A6">
        <w:tc>
          <w:tcPr>
            <w:tcW w:w="1697" w:type="pct"/>
            <w:tcBorders>
              <w:top w:val="nil"/>
              <w:left w:val="nil"/>
              <w:bottom w:val="single" w:sz="4" w:space="0" w:color="auto"/>
              <w:right w:val="nil"/>
            </w:tcBorders>
          </w:tcPr>
          <w:p w14:paraId="1EB6160B" w14:textId="19567D3B" w:rsidR="007106A6" w:rsidRPr="00FD0D8E" w:rsidRDefault="007106A6" w:rsidP="00C74EB6">
            <w:pPr>
              <w:autoSpaceDE w:val="0"/>
              <w:autoSpaceDN w:val="0"/>
              <w:adjustRightInd w:val="0"/>
              <w:rPr>
                <w:kern w:val="0"/>
                <w:szCs w:val="21"/>
              </w:rPr>
            </w:pPr>
            <w:r w:rsidRPr="00FD0D8E">
              <w:rPr>
                <w:rFonts w:hint="eastAsia"/>
                <w:kern w:val="0"/>
                <w:szCs w:val="21"/>
              </w:rPr>
              <w:t>Adj R</w:t>
            </w:r>
            <w:r w:rsidRPr="00FD0D8E">
              <w:rPr>
                <w:rFonts w:hint="eastAsia"/>
                <w:kern w:val="0"/>
                <w:szCs w:val="21"/>
              </w:rPr>
              <w:t>²</w:t>
            </w:r>
          </w:p>
        </w:tc>
        <w:tc>
          <w:tcPr>
            <w:tcW w:w="1652" w:type="pct"/>
            <w:tcBorders>
              <w:top w:val="nil"/>
              <w:left w:val="nil"/>
              <w:bottom w:val="single" w:sz="4" w:space="0" w:color="auto"/>
              <w:right w:val="nil"/>
            </w:tcBorders>
          </w:tcPr>
          <w:p w14:paraId="08EE0A09" w14:textId="19B7FF5E" w:rsidR="007106A6" w:rsidRPr="00FD0D8E" w:rsidRDefault="007106A6" w:rsidP="00C74EB6">
            <w:pPr>
              <w:autoSpaceDE w:val="0"/>
              <w:autoSpaceDN w:val="0"/>
              <w:adjustRightInd w:val="0"/>
              <w:jc w:val="center"/>
              <w:rPr>
                <w:kern w:val="0"/>
                <w:szCs w:val="21"/>
              </w:rPr>
            </w:pPr>
            <w:r w:rsidRPr="00FD0D8E">
              <w:rPr>
                <w:rFonts w:hint="eastAsia"/>
                <w:kern w:val="0"/>
                <w:szCs w:val="21"/>
              </w:rPr>
              <w:t>0.36</w:t>
            </w:r>
          </w:p>
        </w:tc>
        <w:tc>
          <w:tcPr>
            <w:tcW w:w="1651" w:type="pct"/>
            <w:tcBorders>
              <w:top w:val="nil"/>
              <w:left w:val="nil"/>
              <w:bottom w:val="single" w:sz="4" w:space="0" w:color="auto"/>
              <w:right w:val="nil"/>
            </w:tcBorders>
          </w:tcPr>
          <w:p w14:paraId="38F52259" w14:textId="00ECD386" w:rsidR="007106A6" w:rsidRPr="00FD0D8E" w:rsidRDefault="007106A6" w:rsidP="00C74EB6">
            <w:pPr>
              <w:autoSpaceDE w:val="0"/>
              <w:autoSpaceDN w:val="0"/>
              <w:adjustRightInd w:val="0"/>
              <w:jc w:val="center"/>
              <w:rPr>
                <w:kern w:val="0"/>
                <w:szCs w:val="21"/>
              </w:rPr>
            </w:pPr>
            <w:r w:rsidRPr="00FD0D8E">
              <w:rPr>
                <w:rFonts w:hint="eastAsia"/>
                <w:kern w:val="0"/>
                <w:szCs w:val="21"/>
              </w:rPr>
              <w:t>0.35</w:t>
            </w:r>
          </w:p>
        </w:tc>
      </w:tr>
    </w:tbl>
    <w:p w14:paraId="08C32EE4" w14:textId="77777777" w:rsidR="00BE7A0E" w:rsidRPr="00086241" w:rsidRDefault="00BE7A0E" w:rsidP="00BE7A0E">
      <w:pPr>
        <w:autoSpaceDE w:val="0"/>
        <w:autoSpaceDN w:val="0"/>
        <w:adjustRightInd w:val="0"/>
        <w:ind w:firstLine="360"/>
        <w:rPr>
          <w:kern w:val="0"/>
          <w:sz w:val="18"/>
          <w:szCs w:val="18"/>
        </w:rPr>
      </w:pPr>
      <w:r w:rsidRPr="00086241">
        <w:rPr>
          <w:rFonts w:hint="eastAsia"/>
          <w:kern w:val="0"/>
          <w:sz w:val="18"/>
          <w:szCs w:val="18"/>
        </w:rPr>
        <w:t>注：括号内代表聚类稳健标准误；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p>
    <w:p w14:paraId="6C048298" w14:textId="77777777" w:rsidR="00BE7A0E" w:rsidRPr="00086241" w:rsidRDefault="00BE7A0E" w:rsidP="00BE7A0E">
      <w:pPr>
        <w:ind w:firstLine="480"/>
        <w:sectPr w:rsidR="00BE7A0E" w:rsidRPr="00086241" w:rsidSect="004C36D5">
          <w:headerReference w:type="even" r:id="rId24"/>
          <w:headerReference w:type="default" r:id="rId25"/>
          <w:headerReference w:type="first" r:id="rId26"/>
          <w:pgSz w:w="11906" w:h="16838"/>
          <w:pgMar w:top="1440" w:right="1800" w:bottom="1440" w:left="1800" w:header="851" w:footer="992" w:gutter="0"/>
          <w:cols w:space="425"/>
          <w:docGrid w:type="lines" w:linePitch="312"/>
        </w:sectPr>
      </w:pPr>
    </w:p>
    <w:p w14:paraId="63BDFEF9" w14:textId="3FF9B296" w:rsidR="001D21C2" w:rsidRPr="00C74EB6" w:rsidRDefault="001D21C2" w:rsidP="00C0628E">
      <w:pPr>
        <w:pStyle w:val="1"/>
        <w:rPr>
          <w:rFonts w:hint="eastAsia"/>
        </w:rPr>
      </w:pPr>
      <w:bookmarkStart w:id="127" w:name="_Toc191420758"/>
      <w:bookmarkStart w:id="128" w:name="_Toc191574128"/>
      <w:bookmarkStart w:id="129" w:name="_Toc198286999"/>
      <w:r w:rsidRPr="00C74EB6">
        <w:rPr>
          <w:rFonts w:hint="eastAsia"/>
        </w:rPr>
        <w:lastRenderedPageBreak/>
        <w:t>进一步分析</w:t>
      </w:r>
      <w:bookmarkEnd w:id="127"/>
      <w:bookmarkEnd w:id="128"/>
      <w:bookmarkEnd w:id="129"/>
    </w:p>
    <w:p w14:paraId="435C8AE7" w14:textId="5A92758F" w:rsidR="008C1471" w:rsidRPr="00C74EB6" w:rsidRDefault="0097020C" w:rsidP="00C74EB6">
      <w:pPr>
        <w:pStyle w:val="2"/>
      </w:pPr>
      <w:bookmarkStart w:id="130" w:name="_Toc191420759"/>
      <w:bookmarkStart w:id="131" w:name="_Toc191574129"/>
      <w:bookmarkStart w:id="132" w:name="_Toc198287000"/>
      <w:r w:rsidRPr="00C74EB6">
        <w:rPr>
          <w:rFonts w:hint="eastAsia"/>
        </w:rPr>
        <w:t>异质性分析</w:t>
      </w:r>
      <w:bookmarkEnd w:id="130"/>
      <w:bookmarkEnd w:id="131"/>
      <w:bookmarkEnd w:id="132"/>
    </w:p>
    <w:p w14:paraId="3242D106" w14:textId="005DBD95" w:rsidR="00E47FFD" w:rsidRPr="00C74EB6" w:rsidRDefault="00E47FFD" w:rsidP="00C74EB6">
      <w:pPr>
        <w:pStyle w:val="3"/>
      </w:pPr>
      <w:bookmarkStart w:id="133" w:name="_Toc191420760"/>
      <w:bookmarkStart w:id="134" w:name="_Toc191574130"/>
      <w:bookmarkStart w:id="135" w:name="_Toc198287001"/>
      <w:r w:rsidRPr="00C74EB6">
        <w:rPr>
          <w:rFonts w:hint="eastAsia"/>
        </w:rPr>
        <w:t>按公司特征分析</w:t>
      </w:r>
      <w:bookmarkEnd w:id="133"/>
      <w:bookmarkEnd w:id="134"/>
      <w:bookmarkEnd w:id="135"/>
    </w:p>
    <w:p w14:paraId="2BADD49D" w14:textId="7BC02184" w:rsidR="00E47FFD" w:rsidRPr="00C74EB6" w:rsidRDefault="004B772F" w:rsidP="00E47FFD">
      <w:pPr>
        <w:spacing w:line="360" w:lineRule="auto"/>
        <w:ind w:firstLineChars="200" w:firstLine="480"/>
        <w:rPr>
          <w:sz w:val="24"/>
        </w:rPr>
      </w:pPr>
      <w:r w:rsidRPr="00C74EB6">
        <w:rPr>
          <w:sz w:val="24"/>
        </w:rPr>
        <w:fldChar w:fldCharType="begin"/>
      </w:r>
      <w:r w:rsidRPr="00C74EB6">
        <w:rPr>
          <w:sz w:val="24"/>
        </w:rPr>
        <w:instrText xml:space="preserve"> </w:instrText>
      </w:r>
      <w:r w:rsidRPr="00C74EB6">
        <w:rPr>
          <w:rFonts w:hint="eastAsia"/>
          <w:sz w:val="24"/>
        </w:rPr>
        <w:instrText>REF _Ref190769291 \h</w:instrText>
      </w:r>
      <w:r w:rsidRPr="00C74EB6">
        <w:rPr>
          <w:sz w:val="24"/>
        </w:rPr>
        <w:instrText xml:space="preserve">  \* MERGEFORMAT </w:instrText>
      </w:r>
      <w:r w:rsidRPr="00C74EB6">
        <w:rPr>
          <w:sz w:val="24"/>
        </w:rPr>
      </w:r>
      <w:r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10</w:t>
      </w:r>
      <w:r w:rsidRPr="00C74EB6">
        <w:rPr>
          <w:sz w:val="24"/>
        </w:rPr>
        <w:fldChar w:fldCharType="end"/>
      </w:r>
      <w:r w:rsidR="00E47FFD" w:rsidRPr="00C74EB6">
        <w:rPr>
          <w:rFonts w:hint="eastAsia"/>
          <w:sz w:val="24"/>
        </w:rPr>
        <w:t>列（</w:t>
      </w:r>
      <w:r w:rsidR="00E47FFD" w:rsidRPr="00C74EB6">
        <w:rPr>
          <w:rFonts w:hint="eastAsia"/>
          <w:sz w:val="24"/>
        </w:rPr>
        <w:t>1</w:t>
      </w:r>
      <w:r w:rsidR="00E47FFD" w:rsidRPr="00C74EB6">
        <w:rPr>
          <w:rFonts w:hint="eastAsia"/>
          <w:sz w:val="24"/>
        </w:rPr>
        <w:t>）</w:t>
      </w:r>
      <w:r w:rsidR="00E47FFD" w:rsidRPr="00C74EB6">
        <w:rPr>
          <w:rFonts w:hint="eastAsia"/>
          <w:sz w:val="24"/>
        </w:rPr>
        <w:t>-</w:t>
      </w:r>
      <w:r w:rsidR="00E47FFD" w:rsidRPr="00C74EB6">
        <w:rPr>
          <w:rFonts w:hint="eastAsia"/>
          <w:sz w:val="24"/>
        </w:rPr>
        <w:t>（</w:t>
      </w:r>
      <w:r w:rsidR="00E47FFD" w:rsidRPr="00C74EB6">
        <w:rPr>
          <w:rFonts w:hint="eastAsia"/>
          <w:sz w:val="24"/>
        </w:rPr>
        <w:t>2</w:t>
      </w:r>
      <w:r w:rsidR="00E47FFD" w:rsidRPr="00C74EB6">
        <w:rPr>
          <w:rFonts w:hint="eastAsia"/>
          <w:sz w:val="24"/>
        </w:rPr>
        <w:t>）为基于公司产权性质的异质性分析。国有企业和非国有企业的组织资本均起到促进作用，但民营企业边际效应也更高</w:t>
      </w:r>
      <w:r w:rsidR="00B652C2" w:rsidRPr="00C74EB6">
        <w:rPr>
          <w:rFonts w:hint="eastAsia"/>
          <w:sz w:val="24"/>
        </w:rPr>
        <w:t>，组间系数差异显著</w:t>
      </w:r>
      <w:r w:rsidR="003B2DE5" w:rsidRPr="00C74EB6">
        <w:rPr>
          <w:rFonts w:hint="eastAsia"/>
          <w:sz w:val="24"/>
        </w:rPr>
        <w:t>。这可能</w:t>
      </w:r>
      <w:r w:rsidR="00524E1B" w:rsidRPr="00C74EB6">
        <w:rPr>
          <w:rFonts w:hint="eastAsia"/>
          <w:sz w:val="24"/>
        </w:rPr>
        <w:t>是</w:t>
      </w:r>
      <w:r w:rsidR="003B2DE5" w:rsidRPr="00C74EB6">
        <w:rPr>
          <w:rFonts w:hint="eastAsia"/>
          <w:sz w:val="24"/>
        </w:rPr>
        <w:t>因为，</w:t>
      </w:r>
      <w:r w:rsidR="00BB0413" w:rsidRPr="00C74EB6">
        <w:rPr>
          <w:rFonts w:hint="eastAsia"/>
          <w:sz w:val="24"/>
        </w:rPr>
        <w:t>对于国有企业来说，其高管兼具“政治人”属性，其风险决策可能更受行政干预的影响，</w:t>
      </w:r>
      <w:r w:rsidR="00342A5A" w:rsidRPr="00C74EB6">
        <w:rPr>
          <w:rFonts w:hint="eastAsia"/>
          <w:sz w:val="24"/>
        </w:rPr>
        <w:t>其示范作用、改善公司治理能力的需求削弱</w:t>
      </w:r>
      <w:r w:rsidR="00BB0413" w:rsidRPr="00C74EB6">
        <w:rPr>
          <w:rFonts w:hint="eastAsia"/>
          <w:sz w:val="24"/>
        </w:rPr>
        <w:t>组织资本的边际作用。而</w:t>
      </w:r>
      <w:r w:rsidR="003B2DE5" w:rsidRPr="00C74EB6">
        <w:rPr>
          <w:rFonts w:hint="eastAsia"/>
          <w:sz w:val="24"/>
        </w:rPr>
        <w:t>民营企业中创始人、管理层与股东身份重叠现象普遍，决策权高度集中，导致委托代理问题更加复杂。组织资本的提升可能加剧管理层对风险暴露的担忧，而购买</w:t>
      </w:r>
      <w:proofErr w:type="gramStart"/>
      <w:r w:rsidR="003B2DE5" w:rsidRPr="00C74EB6">
        <w:rPr>
          <w:rFonts w:hint="eastAsia"/>
          <w:sz w:val="24"/>
        </w:rPr>
        <w:t>董责险能够</w:t>
      </w:r>
      <w:proofErr w:type="gramEnd"/>
      <w:r w:rsidR="003B2DE5" w:rsidRPr="00C74EB6">
        <w:rPr>
          <w:rFonts w:hint="eastAsia"/>
          <w:sz w:val="24"/>
        </w:rPr>
        <w:t>通过风险转移显著降低</w:t>
      </w:r>
      <w:r w:rsidR="00524E1B" w:rsidRPr="00C74EB6">
        <w:rPr>
          <w:rFonts w:hint="eastAsia"/>
          <w:sz w:val="24"/>
        </w:rPr>
        <w:t>履职顾虑。</w:t>
      </w:r>
    </w:p>
    <w:p w14:paraId="36ED0ADA" w14:textId="7692B75C" w:rsidR="00524E1B" w:rsidRPr="00C74EB6" w:rsidRDefault="004B772F" w:rsidP="00B67AE4">
      <w:pPr>
        <w:spacing w:line="360" w:lineRule="auto"/>
        <w:ind w:firstLineChars="200" w:firstLine="480"/>
        <w:rPr>
          <w:sz w:val="24"/>
        </w:rPr>
      </w:pPr>
      <w:r w:rsidRPr="00C74EB6">
        <w:rPr>
          <w:sz w:val="24"/>
        </w:rPr>
        <w:fldChar w:fldCharType="begin"/>
      </w:r>
      <w:r w:rsidRPr="00C74EB6">
        <w:rPr>
          <w:sz w:val="24"/>
        </w:rPr>
        <w:instrText xml:space="preserve"> </w:instrText>
      </w:r>
      <w:r w:rsidRPr="00C74EB6">
        <w:rPr>
          <w:rFonts w:hint="eastAsia"/>
          <w:sz w:val="24"/>
        </w:rPr>
        <w:instrText>REF _Ref190769291 \h</w:instrText>
      </w:r>
      <w:r w:rsidRPr="00C74EB6">
        <w:rPr>
          <w:sz w:val="24"/>
        </w:rPr>
        <w:instrText xml:space="preserve">  \* MERGEFORMAT </w:instrText>
      </w:r>
      <w:r w:rsidRPr="00C74EB6">
        <w:rPr>
          <w:sz w:val="24"/>
        </w:rPr>
      </w:r>
      <w:r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10</w:t>
      </w:r>
      <w:r w:rsidRPr="00C74EB6">
        <w:rPr>
          <w:sz w:val="24"/>
        </w:rPr>
        <w:fldChar w:fldCharType="end"/>
      </w:r>
      <w:r w:rsidR="008844AB" w:rsidRPr="00C74EB6">
        <w:rPr>
          <w:rFonts w:hint="eastAsia"/>
          <w:sz w:val="24"/>
        </w:rPr>
        <w:t>列（</w:t>
      </w:r>
      <w:r w:rsidR="00524E1B" w:rsidRPr="00C74EB6">
        <w:rPr>
          <w:rFonts w:hint="eastAsia"/>
          <w:sz w:val="24"/>
        </w:rPr>
        <w:t>3</w:t>
      </w:r>
      <w:r w:rsidR="008844AB" w:rsidRPr="00C74EB6">
        <w:rPr>
          <w:rFonts w:hint="eastAsia"/>
          <w:sz w:val="24"/>
        </w:rPr>
        <w:t>）</w:t>
      </w:r>
      <w:r w:rsidR="008844AB" w:rsidRPr="00C74EB6">
        <w:rPr>
          <w:rFonts w:hint="eastAsia"/>
          <w:sz w:val="24"/>
        </w:rPr>
        <w:t>-</w:t>
      </w:r>
      <w:r w:rsidR="008844AB" w:rsidRPr="00C74EB6">
        <w:rPr>
          <w:rFonts w:hint="eastAsia"/>
          <w:sz w:val="24"/>
        </w:rPr>
        <w:t>（</w:t>
      </w:r>
      <w:r w:rsidR="00524E1B" w:rsidRPr="00C74EB6">
        <w:rPr>
          <w:rFonts w:hint="eastAsia"/>
          <w:sz w:val="24"/>
        </w:rPr>
        <w:t>4</w:t>
      </w:r>
      <w:r w:rsidR="008844AB" w:rsidRPr="00C74EB6">
        <w:rPr>
          <w:rFonts w:hint="eastAsia"/>
          <w:sz w:val="24"/>
        </w:rPr>
        <w:t>）为基于公司规模的异质性分析。</w:t>
      </w:r>
      <w:r w:rsidR="00803573" w:rsidRPr="00C74EB6">
        <w:rPr>
          <w:rFonts w:hint="eastAsia"/>
          <w:sz w:val="24"/>
        </w:rPr>
        <w:t>将公司规模</w:t>
      </w:r>
      <w:r w:rsidR="008844AB" w:rsidRPr="00C74EB6">
        <w:rPr>
          <w:rFonts w:hint="eastAsia"/>
          <w:sz w:val="24"/>
        </w:rPr>
        <w:t>分组后</w:t>
      </w:r>
      <w:r w:rsidR="00803573" w:rsidRPr="00C74EB6">
        <w:rPr>
          <w:rFonts w:hint="eastAsia"/>
          <w:sz w:val="24"/>
        </w:rPr>
        <w:t>，</w:t>
      </w:r>
      <w:r w:rsidR="00524E1B" w:rsidRPr="00C74EB6">
        <w:rPr>
          <w:rFonts w:hint="eastAsia"/>
          <w:sz w:val="24"/>
        </w:rPr>
        <w:t>规模低的组别系数显著为正，且边际效应高达</w:t>
      </w:r>
      <w:r w:rsidR="00524E1B" w:rsidRPr="00C74EB6">
        <w:rPr>
          <w:rFonts w:hint="eastAsia"/>
          <w:sz w:val="24"/>
        </w:rPr>
        <w:t>17.4%</w:t>
      </w:r>
      <w:r w:rsidR="00524E1B" w:rsidRPr="00C74EB6">
        <w:rPr>
          <w:rFonts w:hint="eastAsia"/>
          <w:sz w:val="24"/>
        </w:rPr>
        <w:t>，规模高的组别并不显著</w:t>
      </w:r>
      <w:r w:rsidR="00B652C2" w:rsidRPr="00C74EB6">
        <w:rPr>
          <w:rFonts w:hint="eastAsia"/>
          <w:sz w:val="24"/>
        </w:rPr>
        <w:t>，组间系数差异显著</w:t>
      </w:r>
      <w:r w:rsidR="00524E1B" w:rsidRPr="00C74EB6">
        <w:rPr>
          <w:rFonts w:hint="eastAsia"/>
          <w:sz w:val="24"/>
        </w:rPr>
        <w:t>。这可能是因为小规模公司抗风险能力相对较弱，</w:t>
      </w:r>
      <w:r w:rsidR="00492406" w:rsidRPr="00C74EB6">
        <w:rPr>
          <w:rFonts w:hint="eastAsia"/>
          <w:sz w:val="24"/>
        </w:rPr>
        <w:t>在组织资本提升后，因缺乏足够的法律资源，因此更倾向于通过配置保险来转移风险。</w:t>
      </w:r>
      <w:r w:rsidR="00866EE3" w:rsidRPr="00C74EB6">
        <w:rPr>
          <w:rFonts w:hint="eastAsia"/>
          <w:sz w:val="24"/>
        </w:rPr>
        <w:t>而大企业无论组织资本高低，其风险应对手段已多元化，因此保险配置需求呈现“刚性化”特征。</w:t>
      </w:r>
    </w:p>
    <w:p w14:paraId="5DD5088B" w14:textId="77777777" w:rsidR="0088438A" w:rsidRPr="00C74EB6" w:rsidRDefault="0088438A" w:rsidP="00A56183">
      <w:pPr>
        <w:spacing w:line="360" w:lineRule="auto"/>
        <w:ind w:firstLineChars="200" w:firstLine="480"/>
        <w:rPr>
          <w:sz w:val="24"/>
        </w:rPr>
      </w:pPr>
    </w:p>
    <w:p w14:paraId="7CA00D51" w14:textId="77777777" w:rsidR="0088438A" w:rsidRDefault="0088438A" w:rsidP="00A56183">
      <w:pPr>
        <w:spacing w:line="360" w:lineRule="auto"/>
        <w:ind w:firstLineChars="200" w:firstLine="480"/>
        <w:rPr>
          <w:sz w:val="24"/>
        </w:rPr>
      </w:pPr>
    </w:p>
    <w:p w14:paraId="24790548" w14:textId="77777777" w:rsidR="0088438A" w:rsidRDefault="0088438A" w:rsidP="00A56183">
      <w:pPr>
        <w:spacing w:line="360" w:lineRule="auto"/>
        <w:ind w:firstLineChars="200" w:firstLine="480"/>
        <w:rPr>
          <w:sz w:val="24"/>
        </w:rPr>
      </w:pPr>
    </w:p>
    <w:p w14:paraId="29D401C7" w14:textId="77777777" w:rsidR="0088438A" w:rsidRDefault="0088438A" w:rsidP="00A56183">
      <w:pPr>
        <w:spacing w:line="360" w:lineRule="auto"/>
        <w:ind w:firstLineChars="200" w:firstLine="480"/>
        <w:rPr>
          <w:sz w:val="24"/>
        </w:rPr>
      </w:pPr>
    </w:p>
    <w:p w14:paraId="03B7FE4B" w14:textId="77777777" w:rsidR="00564C66" w:rsidRDefault="00564C66" w:rsidP="00A56183">
      <w:pPr>
        <w:spacing w:line="360" w:lineRule="auto"/>
        <w:ind w:firstLineChars="200" w:firstLine="480"/>
        <w:rPr>
          <w:sz w:val="24"/>
        </w:rPr>
      </w:pPr>
    </w:p>
    <w:p w14:paraId="437A3442" w14:textId="77777777" w:rsidR="00564C66" w:rsidRDefault="00564C66" w:rsidP="00A56183">
      <w:pPr>
        <w:spacing w:line="360" w:lineRule="auto"/>
        <w:ind w:firstLineChars="200" w:firstLine="480"/>
        <w:rPr>
          <w:sz w:val="24"/>
        </w:rPr>
      </w:pPr>
    </w:p>
    <w:p w14:paraId="545D435E" w14:textId="77777777" w:rsidR="00564C66" w:rsidRDefault="00564C66" w:rsidP="00A56183">
      <w:pPr>
        <w:spacing w:line="360" w:lineRule="auto"/>
        <w:ind w:firstLineChars="200" w:firstLine="480"/>
        <w:rPr>
          <w:sz w:val="24"/>
        </w:rPr>
      </w:pPr>
    </w:p>
    <w:p w14:paraId="0C3C7A83" w14:textId="77777777" w:rsidR="00564C66" w:rsidRDefault="00564C66" w:rsidP="00A56183">
      <w:pPr>
        <w:spacing w:line="360" w:lineRule="auto"/>
        <w:ind w:firstLineChars="200" w:firstLine="480"/>
        <w:rPr>
          <w:sz w:val="24"/>
        </w:rPr>
      </w:pPr>
    </w:p>
    <w:p w14:paraId="0953505A" w14:textId="77777777" w:rsidR="00564C66" w:rsidRDefault="00564C66" w:rsidP="00A56183">
      <w:pPr>
        <w:spacing w:line="360" w:lineRule="auto"/>
        <w:ind w:firstLineChars="200" w:firstLine="480"/>
        <w:rPr>
          <w:sz w:val="24"/>
        </w:rPr>
      </w:pPr>
    </w:p>
    <w:p w14:paraId="6943BAEB" w14:textId="77777777" w:rsidR="0088438A" w:rsidRDefault="0088438A" w:rsidP="00A56183">
      <w:pPr>
        <w:spacing w:line="360" w:lineRule="auto"/>
        <w:ind w:firstLineChars="200" w:firstLine="480"/>
        <w:rPr>
          <w:sz w:val="24"/>
        </w:rPr>
      </w:pPr>
    </w:p>
    <w:p w14:paraId="0F92269D" w14:textId="77777777" w:rsidR="0088438A" w:rsidRDefault="0088438A" w:rsidP="00A56183">
      <w:pPr>
        <w:spacing w:line="360" w:lineRule="auto"/>
        <w:ind w:firstLineChars="200" w:firstLine="480"/>
        <w:rPr>
          <w:sz w:val="24"/>
        </w:rPr>
      </w:pPr>
    </w:p>
    <w:p w14:paraId="52265616" w14:textId="77777777" w:rsidR="0088438A" w:rsidRDefault="0088438A" w:rsidP="00A56183">
      <w:pPr>
        <w:spacing w:line="360" w:lineRule="auto"/>
        <w:ind w:firstLineChars="200" w:firstLine="480"/>
        <w:rPr>
          <w:sz w:val="24"/>
        </w:rPr>
      </w:pPr>
    </w:p>
    <w:p w14:paraId="511F0603" w14:textId="77777777" w:rsidR="0088438A" w:rsidRDefault="0088438A" w:rsidP="00B652C2">
      <w:pPr>
        <w:spacing w:line="360" w:lineRule="auto"/>
        <w:ind w:firstLine="480"/>
        <w:rPr>
          <w:sz w:val="24"/>
        </w:rPr>
      </w:pPr>
    </w:p>
    <w:p w14:paraId="79A11EF1" w14:textId="77777777" w:rsidR="0088438A" w:rsidRDefault="0088438A" w:rsidP="00A56183">
      <w:pPr>
        <w:spacing w:line="360" w:lineRule="auto"/>
        <w:ind w:firstLineChars="200" w:firstLine="480"/>
        <w:rPr>
          <w:sz w:val="24"/>
        </w:rPr>
      </w:pPr>
    </w:p>
    <w:p w14:paraId="64BBDE3C" w14:textId="498E1E12" w:rsidR="0088438A" w:rsidRPr="00734874" w:rsidRDefault="00734874" w:rsidP="00734874">
      <w:pPr>
        <w:pStyle w:val="af5"/>
        <w:ind w:firstLine="482"/>
        <w:rPr>
          <w:rFonts w:ascii="Times New Roman" w:hAnsi="Times New Roman"/>
        </w:rPr>
      </w:pPr>
      <w:bookmarkStart w:id="136" w:name="_Ref190769291"/>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rPr>
        <w:fldChar w:fldCharType="begin"/>
      </w:r>
      <w:r w:rsidRPr="00734874">
        <w:rPr>
          <w:rFonts w:ascii="Times New Roman" w:hAnsi="Times New Roman"/>
        </w:rPr>
        <w:instrText xml:space="preserve"> </w:instrText>
      </w:r>
      <w:r w:rsidRPr="00734874">
        <w:rPr>
          <w:rFonts w:ascii="Times New Roman" w:hAnsi="Times New Roman" w:hint="eastAsia"/>
        </w:rPr>
        <w:instrText xml:space="preserve">SEQ </w:instrText>
      </w:r>
      <w:r w:rsidRPr="00734874">
        <w:rPr>
          <w:rFonts w:ascii="Times New Roman" w:hAnsi="Times New Roman" w:hint="eastAsia"/>
        </w:rPr>
        <w:instrText>表</w:instrText>
      </w:r>
      <w:r w:rsidRPr="00734874">
        <w:rPr>
          <w:rFonts w:ascii="Times New Roman" w:hAnsi="Times New Roman" w:hint="eastAsia"/>
        </w:rPr>
        <w:instrText xml:space="preserve"> \* ARABIC</w:instrText>
      </w:r>
      <w:r w:rsidRPr="00734874">
        <w:rPr>
          <w:rFonts w:ascii="Times New Roman" w:hAnsi="Times New Roman"/>
        </w:rPr>
        <w:instrText xml:space="preserve"> </w:instrText>
      </w:r>
      <w:r w:rsidRPr="00734874">
        <w:rPr>
          <w:rFonts w:ascii="Times New Roman" w:hAnsi="Times New Roman"/>
        </w:rPr>
        <w:fldChar w:fldCharType="separate"/>
      </w:r>
      <w:r w:rsidR="00AF2180">
        <w:rPr>
          <w:rFonts w:ascii="Times New Roman" w:hAnsi="Times New Roman"/>
          <w:noProof/>
        </w:rPr>
        <w:t>10</w:t>
      </w:r>
      <w:r w:rsidRPr="00734874">
        <w:rPr>
          <w:rFonts w:ascii="Times New Roman" w:hAnsi="Times New Roman"/>
        </w:rPr>
        <w:fldChar w:fldCharType="end"/>
      </w:r>
      <w:bookmarkEnd w:id="136"/>
      <w:r w:rsidR="0088438A" w:rsidRPr="00734874">
        <w:rPr>
          <w:rFonts w:ascii="Times New Roman" w:hAnsi="Times New Roman" w:hint="eastAsia"/>
        </w:rPr>
        <w:t>：异质性分析基于公司特征分组</w:t>
      </w:r>
    </w:p>
    <w:tbl>
      <w:tblPr>
        <w:tblW w:w="5000" w:type="pct"/>
        <w:tblLook w:val="0000" w:firstRow="0" w:lastRow="0" w:firstColumn="0" w:lastColumn="0" w:noHBand="0" w:noVBand="0"/>
      </w:tblPr>
      <w:tblGrid>
        <w:gridCol w:w="1854"/>
        <w:gridCol w:w="1611"/>
        <w:gridCol w:w="1615"/>
        <w:gridCol w:w="1613"/>
        <w:gridCol w:w="1613"/>
      </w:tblGrid>
      <w:tr w:rsidR="00564C66" w:rsidRPr="00FD0D8E" w14:paraId="72CD07B2" w14:textId="77777777" w:rsidTr="00564C66">
        <w:tc>
          <w:tcPr>
            <w:tcW w:w="1116" w:type="pct"/>
            <w:tcBorders>
              <w:top w:val="single" w:sz="4" w:space="0" w:color="auto"/>
              <w:left w:val="nil"/>
              <w:bottom w:val="nil"/>
              <w:right w:val="nil"/>
            </w:tcBorders>
          </w:tcPr>
          <w:p w14:paraId="774708CD" w14:textId="77777777" w:rsidR="00564C66" w:rsidRPr="00FD0D8E" w:rsidRDefault="00564C66" w:rsidP="00C74EB6">
            <w:pPr>
              <w:autoSpaceDE w:val="0"/>
              <w:autoSpaceDN w:val="0"/>
              <w:adjustRightInd w:val="0"/>
              <w:rPr>
                <w:kern w:val="0"/>
                <w:szCs w:val="21"/>
              </w:rPr>
            </w:pPr>
          </w:p>
        </w:tc>
        <w:tc>
          <w:tcPr>
            <w:tcW w:w="970" w:type="pct"/>
            <w:tcBorders>
              <w:top w:val="single" w:sz="4" w:space="0" w:color="auto"/>
              <w:left w:val="nil"/>
              <w:bottom w:val="nil"/>
              <w:right w:val="nil"/>
            </w:tcBorders>
          </w:tcPr>
          <w:p w14:paraId="7B29992E" w14:textId="77777777" w:rsidR="00564C66" w:rsidRPr="00FD0D8E" w:rsidRDefault="00564C66" w:rsidP="00C74EB6">
            <w:pPr>
              <w:autoSpaceDE w:val="0"/>
              <w:autoSpaceDN w:val="0"/>
              <w:adjustRightInd w:val="0"/>
              <w:jc w:val="center"/>
              <w:rPr>
                <w:kern w:val="0"/>
                <w:szCs w:val="21"/>
              </w:rPr>
            </w:pPr>
            <w:r w:rsidRPr="00FD0D8E">
              <w:rPr>
                <w:kern w:val="0"/>
                <w:szCs w:val="21"/>
              </w:rPr>
              <w:t>(1)</w:t>
            </w:r>
          </w:p>
        </w:tc>
        <w:tc>
          <w:tcPr>
            <w:tcW w:w="972" w:type="pct"/>
            <w:tcBorders>
              <w:top w:val="single" w:sz="4" w:space="0" w:color="auto"/>
              <w:left w:val="nil"/>
              <w:bottom w:val="nil"/>
              <w:right w:val="nil"/>
            </w:tcBorders>
          </w:tcPr>
          <w:p w14:paraId="05E66B88" w14:textId="77777777" w:rsidR="00564C66" w:rsidRPr="00FD0D8E" w:rsidRDefault="00564C66" w:rsidP="00C74EB6">
            <w:pPr>
              <w:autoSpaceDE w:val="0"/>
              <w:autoSpaceDN w:val="0"/>
              <w:adjustRightInd w:val="0"/>
              <w:jc w:val="center"/>
              <w:rPr>
                <w:kern w:val="0"/>
                <w:szCs w:val="21"/>
              </w:rPr>
            </w:pPr>
            <w:r w:rsidRPr="00FD0D8E">
              <w:rPr>
                <w:kern w:val="0"/>
                <w:szCs w:val="21"/>
              </w:rPr>
              <w:t>(2)</w:t>
            </w:r>
          </w:p>
        </w:tc>
        <w:tc>
          <w:tcPr>
            <w:tcW w:w="971" w:type="pct"/>
            <w:tcBorders>
              <w:top w:val="single" w:sz="4" w:space="0" w:color="auto"/>
              <w:left w:val="nil"/>
              <w:bottom w:val="nil"/>
              <w:right w:val="nil"/>
            </w:tcBorders>
          </w:tcPr>
          <w:p w14:paraId="73B7F095" w14:textId="77777777" w:rsidR="00564C66" w:rsidRPr="00FD0D8E" w:rsidRDefault="00564C66" w:rsidP="00C74EB6">
            <w:pPr>
              <w:autoSpaceDE w:val="0"/>
              <w:autoSpaceDN w:val="0"/>
              <w:adjustRightInd w:val="0"/>
              <w:jc w:val="center"/>
              <w:rPr>
                <w:kern w:val="0"/>
                <w:szCs w:val="21"/>
              </w:rPr>
            </w:pPr>
            <w:r w:rsidRPr="00FD0D8E">
              <w:rPr>
                <w:kern w:val="0"/>
                <w:szCs w:val="21"/>
              </w:rPr>
              <w:t>(3)</w:t>
            </w:r>
          </w:p>
        </w:tc>
        <w:tc>
          <w:tcPr>
            <w:tcW w:w="971" w:type="pct"/>
            <w:tcBorders>
              <w:top w:val="single" w:sz="4" w:space="0" w:color="auto"/>
              <w:left w:val="nil"/>
              <w:bottom w:val="nil"/>
              <w:right w:val="nil"/>
            </w:tcBorders>
          </w:tcPr>
          <w:p w14:paraId="72957C76" w14:textId="77777777" w:rsidR="00564C66" w:rsidRPr="00FD0D8E" w:rsidRDefault="00564C66" w:rsidP="00C74EB6">
            <w:pPr>
              <w:autoSpaceDE w:val="0"/>
              <w:autoSpaceDN w:val="0"/>
              <w:adjustRightInd w:val="0"/>
              <w:jc w:val="center"/>
              <w:rPr>
                <w:kern w:val="0"/>
                <w:szCs w:val="21"/>
              </w:rPr>
            </w:pPr>
            <w:r w:rsidRPr="00FD0D8E">
              <w:rPr>
                <w:kern w:val="0"/>
                <w:szCs w:val="21"/>
              </w:rPr>
              <w:t>(4)</w:t>
            </w:r>
          </w:p>
        </w:tc>
      </w:tr>
      <w:tr w:rsidR="00564C66" w:rsidRPr="00FD0D8E" w14:paraId="1DF28D1F" w14:textId="77777777" w:rsidTr="00564C66">
        <w:tc>
          <w:tcPr>
            <w:tcW w:w="1116" w:type="pct"/>
            <w:tcBorders>
              <w:top w:val="nil"/>
              <w:left w:val="nil"/>
              <w:bottom w:val="nil"/>
              <w:right w:val="nil"/>
            </w:tcBorders>
            <w:vAlign w:val="bottom"/>
          </w:tcPr>
          <w:p w14:paraId="3EAD1F84" w14:textId="77777777" w:rsidR="00564C66" w:rsidRPr="00FD0D8E" w:rsidRDefault="00564C66" w:rsidP="00C74EB6">
            <w:pPr>
              <w:autoSpaceDE w:val="0"/>
              <w:autoSpaceDN w:val="0"/>
              <w:adjustRightInd w:val="0"/>
              <w:rPr>
                <w:kern w:val="0"/>
                <w:szCs w:val="21"/>
              </w:rPr>
            </w:pPr>
            <w:r w:rsidRPr="00FD0D8E">
              <w:rPr>
                <w:kern w:val="0"/>
                <w:szCs w:val="21"/>
              </w:rPr>
              <w:t>DO</w:t>
            </w:r>
            <w:r w:rsidRPr="00FD0D8E">
              <w:rPr>
                <w:kern w:val="0"/>
                <w:szCs w:val="21"/>
                <w:vertAlign w:val="subscript"/>
              </w:rPr>
              <w:t>t+1</w:t>
            </w:r>
          </w:p>
        </w:tc>
        <w:tc>
          <w:tcPr>
            <w:tcW w:w="970" w:type="pct"/>
            <w:tcBorders>
              <w:top w:val="nil"/>
              <w:left w:val="nil"/>
              <w:bottom w:val="nil"/>
              <w:right w:val="nil"/>
            </w:tcBorders>
            <w:vAlign w:val="center"/>
          </w:tcPr>
          <w:p w14:paraId="129EDB81"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国有</w:t>
            </w:r>
          </w:p>
        </w:tc>
        <w:tc>
          <w:tcPr>
            <w:tcW w:w="972" w:type="pct"/>
            <w:tcBorders>
              <w:top w:val="nil"/>
              <w:left w:val="nil"/>
              <w:bottom w:val="nil"/>
              <w:right w:val="nil"/>
            </w:tcBorders>
            <w:vAlign w:val="center"/>
          </w:tcPr>
          <w:p w14:paraId="7357A174"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非国有</w:t>
            </w:r>
          </w:p>
        </w:tc>
        <w:tc>
          <w:tcPr>
            <w:tcW w:w="971" w:type="pct"/>
            <w:tcBorders>
              <w:top w:val="nil"/>
              <w:left w:val="nil"/>
              <w:bottom w:val="nil"/>
              <w:right w:val="nil"/>
            </w:tcBorders>
            <w:vAlign w:val="center"/>
          </w:tcPr>
          <w:p w14:paraId="03D9C4D3"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规模高</w:t>
            </w:r>
          </w:p>
        </w:tc>
        <w:tc>
          <w:tcPr>
            <w:tcW w:w="971" w:type="pct"/>
            <w:tcBorders>
              <w:top w:val="nil"/>
              <w:left w:val="nil"/>
              <w:bottom w:val="nil"/>
              <w:right w:val="nil"/>
            </w:tcBorders>
            <w:vAlign w:val="center"/>
          </w:tcPr>
          <w:p w14:paraId="5460727F"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规模低</w:t>
            </w:r>
          </w:p>
        </w:tc>
      </w:tr>
      <w:tr w:rsidR="00564C66" w:rsidRPr="00FD0D8E" w14:paraId="312FDFFF" w14:textId="77777777" w:rsidTr="00564C66">
        <w:tc>
          <w:tcPr>
            <w:tcW w:w="1116" w:type="pct"/>
            <w:tcBorders>
              <w:top w:val="single" w:sz="4" w:space="0" w:color="auto"/>
              <w:left w:val="nil"/>
              <w:bottom w:val="nil"/>
              <w:right w:val="nil"/>
            </w:tcBorders>
          </w:tcPr>
          <w:p w14:paraId="7D1CABF5" w14:textId="1E628C51" w:rsidR="00564C66" w:rsidRPr="00FD0D8E" w:rsidRDefault="00564C66" w:rsidP="00C74EB6">
            <w:pPr>
              <w:autoSpaceDE w:val="0"/>
              <w:autoSpaceDN w:val="0"/>
              <w:adjustRightInd w:val="0"/>
              <w:rPr>
                <w:kern w:val="0"/>
                <w:szCs w:val="21"/>
              </w:rPr>
            </w:pPr>
            <w:r w:rsidRPr="00FD0D8E">
              <w:rPr>
                <w:kern w:val="0"/>
                <w:szCs w:val="21"/>
              </w:rPr>
              <w:t>OC</w:t>
            </w:r>
          </w:p>
        </w:tc>
        <w:tc>
          <w:tcPr>
            <w:tcW w:w="970" w:type="pct"/>
            <w:tcBorders>
              <w:top w:val="single" w:sz="4" w:space="0" w:color="auto"/>
              <w:left w:val="nil"/>
              <w:bottom w:val="nil"/>
              <w:right w:val="nil"/>
            </w:tcBorders>
          </w:tcPr>
          <w:p w14:paraId="4FFDE411" w14:textId="77777777" w:rsidR="00564C66" w:rsidRPr="00FD0D8E" w:rsidRDefault="00564C66" w:rsidP="00C74EB6">
            <w:pPr>
              <w:autoSpaceDE w:val="0"/>
              <w:autoSpaceDN w:val="0"/>
              <w:adjustRightInd w:val="0"/>
              <w:jc w:val="center"/>
              <w:rPr>
                <w:kern w:val="0"/>
                <w:szCs w:val="21"/>
              </w:rPr>
            </w:pPr>
            <w:r w:rsidRPr="00FD0D8E">
              <w:rPr>
                <w:kern w:val="0"/>
                <w:szCs w:val="21"/>
              </w:rPr>
              <w:t>0.070</w:t>
            </w:r>
            <w:r w:rsidRPr="00FD0D8E">
              <w:rPr>
                <w:kern w:val="0"/>
                <w:szCs w:val="21"/>
                <w:vertAlign w:val="superscript"/>
              </w:rPr>
              <w:t>*</w:t>
            </w:r>
          </w:p>
        </w:tc>
        <w:tc>
          <w:tcPr>
            <w:tcW w:w="972" w:type="pct"/>
            <w:tcBorders>
              <w:top w:val="single" w:sz="4" w:space="0" w:color="auto"/>
              <w:left w:val="nil"/>
              <w:bottom w:val="nil"/>
              <w:right w:val="nil"/>
            </w:tcBorders>
          </w:tcPr>
          <w:p w14:paraId="5A234900" w14:textId="77777777" w:rsidR="00564C66" w:rsidRPr="00FD0D8E" w:rsidRDefault="00564C66" w:rsidP="00C74EB6">
            <w:pPr>
              <w:autoSpaceDE w:val="0"/>
              <w:autoSpaceDN w:val="0"/>
              <w:adjustRightInd w:val="0"/>
              <w:jc w:val="center"/>
              <w:rPr>
                <w:kern w:val="0"/>
                <w:szCs w:val="21"/>
              </w:rPr>
            </w:pPr>
            <w:r w:rsidRPr="00FD0D8E">
              <w:rPr>
                <w:kern w:val="0"/>
                <w:szCs w:val="21"/>
              </w:rPr>
              <w:t>0.123</w:t>
            </w:r>
            <w:r w:rsidRPr="00FD0D8E">
              <w:rPr>
                <w:kern w:val="0"/>
                <w:szCs w:val="21"/>
                <w:vertAlign w:val="superscript"/>
              </w:rPr>
              <w:t>***</w:t>
            </w:r>
          </w:p>
        </w:tc>
        <w:tc>
          <w:tcPr>
            <w:tcW w:w="971" w:type="pct"/>
            <w:tcBorders>
              <w:top w:val="single" w:sz="4" w:space="0" w:color="auto"/>
              <w:left w:val="nil"/>
              <w:bottom w:val="nil"/>
              <w:right w:val="nil"/>
            </w:tcBorders>
          </w:tcPr>
          <w:p w14:paraId="16B46343" w14:textId="77777777" w:rsidR="00564C66" w:rsidRPr="00FD0D8E" w:rsidRDefault="00564C66" w:rsidP="00C74EB6">
            <w:pPr>
              <w:autoSpaceDE w:val="0"/>
              <w:autoSpaceDN w:val="0"/>
              <w:adjustRightInd w:val="0"/>
              <w:jc w:val="center"/>
              <w:rPr>
                <w:kern w:val="0"/>
                <w:szCs w:val="21"/>
              </w:rPr>
            </w:pPr>
            <w:r w:rsidRPr="00FD0D8E">
              <w:rPr>
                <w:kern w:val="0"/>
                <w:szCs w:val="21"/>
              </w:rPr>
              <w:t>0.047</w:t>
            </w:r>
          </w:p>
        </w:tc>
        <w:tc>
          <w:tcPr>
            <w:tcW w:w="971" w:type="pct"/>
            <w:tcBorders>
              <w:top w:val="single" w:sz="4" w:space="0" w:color="auto"/>
              <w:left w:val="nil"/>
              <w:bottom w:val="nil"/>
              <w:right w:val="nil"/>
            </w:tcBorders>
          </w:tcPr>
          <w:p w14:paraId="2150C826" w14:textId="77777777" w:rsidR="00564C66" w:rsidRPr="00FD0D8E" w:rsidRDefault="00564C66" w:rsidP="00C74EB6">
            <w:pPr>
              <w:autoSpaceDE w:val="0"/>
              <w:autoSpaceDN w:val="0"/>
              <w:adjustRightInd w:val="0"/>
              <w:jc w:val="center"/>
              <w:rPr>
                <w:kern w:val="0"/>
                <w:szCs w:val="21"/>
              </w:rPr>
            </w:pPr>
            <w:r w:rsidRPr="00FD0D8E">
              <w:rPr>
                <w:kern w:val="0"/>
                <w:szCs w:val="21"/>
              </w:rPr>
              <w:t>0.174</w:t>
            </w:r>
            <w:r w:rsidRPr="00FD0D8E">
              <w:rPr>
                <w:kern w:val="0"/>
                <w:szCs w:val="21"/>
                <w:vertAlign w:val="superscript"/>
              </w:rPr>
              <w:t>***</w:t>
            </w:r>
          </w:p>
        </w:tc>
      </w:tr>
      <w:tr w:rsidR="00564C66" w:rsidRPr="00FD0D8E" w14:paraId="58E1DC7D" w14:textId="77777777" w:rsidTr="00564C66">
        <w:tc>
          <w:tcPr>
            <w:tcW w:w="1116" w:type="pct"/>
            <w:tcBorders>
              <w:top w:val="nil"/>
              <w:left w:val="nil"/>
              <w:bottom w:val="nil"/>
              <w:right w:val="nil"/>
            </w:tcBorders>
          </w:tcPr>
          <w:p w14:paraId="14B11188"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67FA445A" w14:textId="77777777" w:rsidR="00564C66" w:rsidRPr="00FD0D8E" w:rsidRDefault="00564C66" w:rsidP="00C74EB6">
            <w:pPr>
              <w:autoSpaceDE w:val="0"/>
              <w:autoSpaceDN w:val="0"/>
              <w:adjustRightInd w:val="0"/>
              <w:jc w:val="center"/>
              <w:rPr>
                <w:kern w:val="0"/>
                <w:szCs w:val="21"/>
              </w:rPr>
            </w:pPr>
            <w:r w:rsidRPr="00FD0D8E">
              <w:rPr>
                <w:kern w:val="0"/>
                <w:szCs w:val="21"/>
              </w:rPr>
              <w:t>(0.042)</w:t>
            </w:r>
          </w:p>
        </w:tc>
        <w:tc>
          <w:tcPr>
            <w:tcW w:w="972" w:type="pct"/>
            <w:tcBorders>
              <w:top w:val="nil"/>
              <w:left w:val="nil"/>
              <w:bottom w:val="nil"/>
              <w:right w:val="nil"/>
            </w:tcBorders>
          </w:tcPr>
          <w:p w14:paraId="071D2882" w14:textId="77777777" w:rsidR="00564C66" w:rsidRPr="00FD0D8E" w:rsidRDefault="00564C66" w:rsidP="00C74EB6">
            <w:pPr>
              <w:autoSpaceDE w:val="0"/>
              <w:autoSpaceDN w:val="0"/>
              <w:adjustRightInd w:val="0"/>
              <w:jc w:val="center"/>
              <w:rPr>
                <w:kern w:val="0"/>
                <w:szCs w:val="21"/>
              </w:rPr>
            </w:pPr>
            <w:r w:rsidRPr="00FD0D8E">
              <w:rPr>
                <w:kern w:val="0"/>
                <w:szCs w:val="21"/>
              </w:rPr>
              <w:t>(0.025)</w:t>
            </w:r>
          </w:p>
        </w:tc>
        <w:tc>
          <w:tcPr>
            <w:tcW w:w="971" w:type="pct"/>
            <w:tcBorders>
              <w:top w:val="nil"/>
              <w:left w:val="nil"/>
              <w:bottom w:val="nil"/>
              <w:right w:val="nil"/>
            </w:tcBorders>
          </w:tcPr>
          <w:p w14:paraId="04A7C7B7" w14:textId="77777777" w:rsidR="00564C66" w:rsidRPr="00FD0D8E" w:rsidRDefault="00564C66" w:rsidP="00C74EB6">
            <w:pPr>
              <w:autoSpaceDE w:val="0"/>
              <w:autoSpaceDN w:val="0"/>
              <w:adjustRightInd w:val="0"/>
              <w:jc w:val="center"/>
              <w:rPr>
                <w:kern w:val="0"/>
                <w:szCs w:val="21"/>
              </w:rPr>
            </w:pPr>
            <w:r w:rsidRPr="00FD0D8E">
              <w:rPr>
                <w:kern w:val="0"/>
                <w:szCs w:val="21"/>
              </w:rPr>
              <w:t>(0.033)</w:t>
            </w:r>
          </w:p>
        </w:tc>
        <w:tc>
          <w:tcPr>
            <w:tcW w:w="971" w:type="pct"/>
            <w:tcBorders>
              <w:top w:val="nil"/>
              <w:left w:val="nil"/>
              <w:bottom w:val="nil"/>
              <w:right w:val="nil"/>
            </w:tcBorders>
          </w:tcPr>
          <w:p w14:paraId="33A56BB5" w14:textId="77777777" w:rsidR="00564C66" w:rsidRPr="00FD0D8E" w:rsidRDefault="00564C66" w:rsidP="00C74EB6">
            <w:pPr>
              <w:autoSpaceDE w:val="0"/>
              <w:autoSpaceDN w:val="0"/>
              <w:adjustRightInd w:val="0"/>
              <w:jc w:val="center"/>
              <w:rPr>
                <w:kern w:val="0"/>
                <w:szCs w:val="21"/>
              </w:rPr>
            </w:pPr>
            <w:r w:rsidRPr="00FD0D8E">
              <w:rPr>
                <w:kern w:val="0"/>
                <w:szCs w:val="21"/>
              </w:rPr>
              <w:t>(0.030)</w:t>
            </w:r>
          </w:p>
        </w:tc>
      </w:tr>
      <w:tr w:rsidR="00564C66" w:rsidRPr="00FD0D8E" w14:paraId="646EBD61" w14:textId="77777777" w:rsidTr="00564C66">
        <w:tc>
          <w:tcPr>
            <w:tcW w:w="1116" w:type="pct"/>
            <w:tcBorders>
              <w:top w:val="nil"/>
              <w:left w:val="nil"/>
              <w:bottom w:val="nil"/>
              <w:right w:val="nil"/>
            </w:tcBorders>
          </w:tcPr>
          <w:p w14:paraId="6BD47D47" w14:textId="77777777" w:rsidR="00564C66" w:rsidRPr="00FD0D8E" w:rsidRDefault="00564C66" w:rsidP="00C74EB6">
            <w:pPr>
              <w:autoSpaceDE w:val="0"/>
              <w:autoSpaceDN w:val="0"/>
              <w:adjustRightInd w:val="0"/>
              <w:rPr>
                <w:kern w:val="0"/>
                <w:szCs w:val="21"/>
              </w:rPr>
            </w:pPr>
            <w:r w:rsidRPr="00FD0D8E">
              <w:rPr>
                <w:kern w:val="0"/>
                <w:szCs w:val="21"/>
              </w:rPr>
              <w:t>SOE</w:t>
            </w:r>
          </w:p>
        </w:tc>
        <w:tc>
          <w:tcPr>
            <w:tcW w:w="970" w:type="pct"/>
            <w:tcBorders>
              <w:top w:val="nil"/>
              <w:left w:val="nil"/>
              <w:bottom w:val="nil"/>
              <w:right w:val="nil"/>
            </w:tcBorders>
          </w:tcPr>
          <w:p w14:paraId="51D6ECC6" w14:textId="77777777" w:rsidR="00564C66" w:rsidRPr="00FD0D8E" w:rsidRDefault="00564C66" w:rsidP="00C74EB6">
            <w:pPr>
              <w:autoSpaceDE w:val="0"/>
              <w:autoSpaceDN w:val="0"/>
              <w:adjustRightInd w:val="0"/>
              <w:jc w:val="center"/>
              <w:rPr>
                <w:kern w:val="0"/>
                <w:szCs w:val="21"/>
              </w:rPr>
            </w:pPr>
          </w:p>
        </w:tc>
        <w:tc>
          <w:tcPr>
            <w:tcW w:w="972" w:type="pct"/>
            <w:tcBorders>
              <w:top w:val="nil"/>
              <w:left w:val="nil"/>
              <w:bottom w:val="nil"/>
              <w:right w:val="nil"/>
            </w:tcBorders>
          </w:tcPr>
          <w:p w14:paraId="3D465BFE" w14:textId="77777777" w:rsidR="00564C66" w:rsidRPr="00FD0D8E" w:rsidRDefault="00564C66" w:rsidP="00C74EB6">
            <w:pPr>
              <w:autoSpaceDE w:val="0"/>
              <w:autoSpaceDN w:val="0"/>
              <w:adjustRightInd w:val="0"/>
              <w:jc w:val="center"/>
              <w:rPr>
                <w:kern w:val="0"/>
                <w:szCs w:val="21"/>
              </w:rPr>
            </w:pPr>
          </w:p>
        </w:tc>
        <w:tc>
          <w:tcPr>
            <w:tcW w:w="971" w:type="pct"/>
            <w:tcBorders>
              <w:top w:val="nil"/>
              <w:left w:val="nil"/>
              <w:bottom w:val="nil"/>
              <w:right w:val="nil"/>
            </w:tcBorders>
          </w:tcPr>
          <w:p w14:paraId="4F4406F9" w14:textId="77777777" w:rsidR="00564C66" w:rsidRPr="00FD0D8E" w:rsidRDefault="00564C66" w:rsidP="00C74EB6">
            <w:pPr>
              <w:autoSpaceDE w:val="0"/>
              <w:autoSpaceDN w:val="0"/>
              <w:adjustRightInd w:val="0"/>
              <w:jc w:val="center"/>
              <w:rPr>
                <w:kern w:val="0"/>
                <w:szCs w:val="21"/>
              </w:rPr>
            </w:pPr>
            <w:r w:rsidRPr="00FD0D8E">
              <w:rPr>
                <w:kern w:val="0"/>
                <w:szCs w:val="21"/>
              </w:rPr>
              <w:t>0.044</w:t>
            </w:r>
            <w:r w:rsidRPr="00FD0D8E">
              <w:rPr>
                <w:kern w:val="0"/>
                <w:szCs w:val="21"/>
                <w:vertAlign w:val="superscript"/>
              </w:rPr>
              <w:t>***</w:t>
            </w:r>
          </w:p>
        </w:tc>
        <w:tc>
          <w:tcPr>
            <w:tcW w:w="971" w:type="pct"/>
            <w:tcBorders>
              <w:top w:val="nil"/>
              <w:left w:val="nil"/>
              <w:bottom w:val="nil"/>
              <w:right w:val="nil"/>
            </w:tcBorders>
          </w:tcPr>
          <w:p w14:paraId="7FCC6747" w14:textId="77777777" w:rsidR="00564C66" w:rsidRPr="00FD0D8E" w:rsidRDefault="00564C66" w:rsidP="00C74EB6">
            <w:pPr>
              <w:autoSpaceDE w:val="0"/>
              <w:autoSpaceDN w:val="0"/>
              <w:adjustRightInd w:val="0"/>
              <w:jc w:val="center"/>
              <w:rPr>
                <w:kern w:val="0"/>
                <w:szCs w:val="21"/>
              </w:rPr>
            </w:pPr>
            <w:r w:rsidRPr="00FD0D8E">
              <w:rPr>
                <w:kern w:val="0"/>
                <w:szCs w:val="21"/>
              </w:rPr>
              <w:t>-0.004</w:t>
            </w:r>
          </w:p>
        </w:tc>
      </w:tr>
      <w:tr w:rsidR="00564C66" w:rsidRPr="00FD0D8E" w14:paraId="4CFC04A1" w14:textId="77777777" w:rsidTr="00564C66">
        <w:tc>
          <w:tcPr>
            <w:tcW w:w="1116" w:type="pct"/>
            <w:tcBorders>
              <w:top w:val="nil"/>
              <w:left w:val="nil"/>
              <w:bottom w:val="nil"/>
              <w:right w:val="nil"/>
            </w:tcBorders>
          </w:tcPr>
          <w:p w14:paraId="07640E54"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2486690F" w14:textId="77777777" w:rsidR="00564C66" w:rsidRPr="00FD0D8E" w:rsidRDefault="00564C66" w:rsidP="00C74EB6">
            <w:pPr>
              <w:autoSpaceDE w:val="0"/>
              <w:autoSpaceDN w:val="0"/>
              <w:adjustRightInd w:val="0"/>
              <w:jc w:val="center"/>
              <w:rPr>
                <w:kern w:val="0"/>
                <w:szCs w:val="21"/>
              </w:rPr>
            </w:pPr>
          </w:p>
        </w:tc>
        <w:tc>
          <w:tcPr>
            <w:tcW w:w="972" w:type="pct"/>
            <w:tcBorders>
              <w:top w:val="nil"/>
              <w:left w:val="nil"/>
              <w:bottom w:val="nil"/>
              <w:right w:val="nil"/>
            </w:tcBorders>
          </w:tcPr>
          <w:p w14:paraId="5379354C" w14:textId="77777777" w:rsidR="00564C66" w:rsidRPr="00FD0D8E" w:rsidRDefault="00564C66" w:rsidP="00C74EB6">
            <w:pPr>
              <w:autoSpaceDE w:val="0"/>
              <w:autoSpaceDN w:val="0"/>
              <w:adjustRightInd w:val="0"/>
              <w:jc w:val="center"/>
              <w:rPr>
                <w:kern w:val="0"/>
                <w:szCs w:val="21"/>
              </w:rPr>
            </w:pPr>
          </w:p>
        </w:tc>
        <w:tc>
          <w:tcPr>
            <w:tcW w:w="971" w:type="pct"/>
            <w:tcBorders>
              <w:top w:val="nil"/>
              <w:left w:val="nil"/>
              <w:bottom w:val="nil"/>
              <w:right w:val="nil"/>
            </w:tcBorders>
          </w:tcPr>
          <w:p w14:paraId="6BFE7E12"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971" w:type="pct"/>
            <w:tcBorders>
              <w:top w:val="nil"/>
              <w:left w:val="nil"/>
              <w:bottom w:val="nil"/>
              <w:right w:val="nil"/>
            </w:tcBorders>
          </w:tcPr>
          <w:p w14:paraId="1D377419" w14:textId="77777777" w:rsidR="00564C66" w:rsidRPr="00FD0D8E" w:rsidRDefault="00564C66" w:rsidP="00C74EB6">
            <w:pPr>
              <w:autoSpaceDE w:val="0"/>
              <w:autoSpaceDN w:val="0"/>
              <w:adjustRightInd w:val="0"/>
              <w:jc w:val="center"/>
              <w:rPr>
                <w:kern w:val="0"/>
                <w:szCs w:val="21"/>
              </w:rPr>
            </w:pPr>
            <w:r w:rsidRPr="00FD0D8E">
              <w:rPr>
                <w:kern w:val="0"/>
                <w:szCs w:val="21"/>
              </w:rPr>
              <w:t>(0.005)</w:t>
            </w:r>
          </w:p>
        </w:tc>
      </w:tr>
      <w:tr w:rsidR="00564C66" w:rsidRPr="00FD0D8E" w14:paraId="7F96C26B" w14:textId="77777777" w:rsidTr="00564C66">
        <w:tc>
          <w:tcPr>
            <w:tcW w:w="1116" w:type="pct"/>
            <w:tcBorders>
              <w:top w:val="nil"/>
              <w:left w:val="nil"/>
              <w:bottom w:val="nil"/>
              <w:right w:val="nil"/>
            </w:tcBorders>
          </w:tcPr>
          <w:p w14:paraId="7B4A7B23" w14:textId="77777777" w:rsidR="00564C66" w:rsidRPr="00FD0D8E" w:rsidRDefault="00564C66" w:rsidP="00C74EB6">
            <w:pPr>
              <w:autoSpaceDE w:val="0"/>
              <w:autoSpaceDN w:val="0"/>
              <w:adjustRightInd w:val="0"/>
              <w:rPr>
                <w:kern w:val="0"/>
                <w:szCs w:val="21"/>
              </w:rPr>
            </w:pPr>
            <w:r w:rsidRPr="00FD0D8E">
              <w:rPr>
                <w:kern w:val="0"/>
                <w:szCs w:val="21"/>
              </w:rPr>
              <w:t>Size</w:t>
            </w:r>
          </w:p>
        </w:tc>
        <w:tc>
          <w:tcPr>
            <w:tcW w:w="970" w:type="pct"/>
            <w:tcBorders>
              <w:top w:val="nil"/>
              <w:left w:val="nil"/>
              <w:bottom w:val="nil"/>
              <w:right w:val="nil"/>
            </w:tcBorders>
          </w:tcPr>
          <w:p w14:paraId="7362E812" w14:textId="77777777" w:rsidR="00564C66" w:rsidRPr="00FD0D8E" w:rsidRDefault="00564C66" w:rsidP="00C74EB6">
            <w:pPr>
              <w:autoSpaceDE w:val="0"/>
              <w:autoSpaceDN w:val="0"/>
              <w:adjustRightInd w:val="0"/>
              <w:jc w:val="center"/>
              <w:rPr>
                <w:kern w:val="0"/>
                <w:szCs w:val="21"/>
              </w:rPr>
            </w:pPr>
            <w:r w:rsidRPr="00FD0D8E">
              <w:rPr>
                <w:kern w:val="0"/>
                <w:szCs w:val="21"/>
              </w:rPr>
              <w:t>0.074</w:t>
            </w:r>
            <w:r w:rsidRPr="00FD0D8E">
              <w:rPr>
                <w:kern w:val="0"/>
                <w:szCs w:val="21"/>
                <w:vertAlign w:val="superscript"/>
              </w:rPr>
              <w:t>***</w:t>
            </w:r>
          </w:p>
        </w:tc>
        <w:tc>
          <w:tcPr>
            <w:tcW w:w="972" w:type="pct"/>
            <w:tcBorders>
              <w:top w:val="nil"/>
              <w:left w:val="nil"/>
              <w:bottom w:val="nil"/>
              <w:right w:val="nil"/>
            </w:tcBorders>
          </w:tcPr>
          <w:p w14:paraId="346DEC35" w14:textId="77777777" w:rsidR="00564C66" w:rsidRPr="00FD0D8E" w:rsidRDefault="00564C66" w:rsidP="00C74EB6">
            <w:pPr>
              <w:autoSpaceDE w:val="0"/>
              <w:autoSpaceDN w:val="0"/>
              <w:adjustRightInd w:val="0"/>
              <w:jc w:val="center"/>
              <w:rPr>
                <w:kern w:val="0"/>
                <w:szCs w:val="21"/>
              </w:rPr>
            </w:pPr>
            <w:r w:rsidRPr="00FD0D8E">
              <w:rPr>
                <w:kern w:val="0"/>
                <w:szCs w:val="21"/>
              </w:rPr>
              <w:t>-0.003</w:t>
            </w:r>
          </w:p>
        </w:tc>
        <w:tc>
          <w:tcPr>
            <w:tcW w:w="971" w:type="pct"/>
            <w:tcBorders>
              <w:top w:val="nil"/>
              <w:left w:val="nil"/>
              <w:bottom w:val="nil"/>
              <w:right w:val="nil"/>
            </w:tcBorders>
          </w:tcPr>
          <w:p w14:paraId="780B75DB" w14:textId="77777777" w:rsidR="00564C66" w:rsidRPr="00FD0D8E" w:rsidRDefault="00564C66" w:rsidP="00C74EB6">
            <w:pPr>
              <w:autoSpaceDE w:val="0"/>
              <w:autoSpaceDN w:val="0"/>
              <w:adjustRightInd w:val="0"/>
              <w:jc w:val="center"/>
              <w:rPr>
                <w:kern w:val="0"/>
                <w:szCs w:val="21"/>
              </w:rPr>
            </w:pPr>
          </w:p>
        </w:tc>
        <w:tc>
          <w:tcPr>
            <w:tcW w:w="971" w:type="pct"/>
            <w:tcBorders>
              <w:top w:val="nil"/>
              <w:left w:val="nil"/>
              <w:bottom w:val="nil"/>
              <w:right w:val="nil"/>
            </w:tcBorders>
          </w:tcPr>
          <w:p w14:paraId="6AB55322" w14:textId="77777777" w:rsidR="00564C66" w:rsidRPr="00FD0D8E" w:rsidRDefault="00564C66" w:rsidP="00C74EB6">
            <w:pPr>
              <w:autoSpaceDE w:val="0"/>
              <w:autoSpaceDN w:val="0"/>
              <w:adjustRightInd w:val="0"/>
              <w:jc w:val="center"/>
              <w:rPr>
                <w:kern w:val="0"/>
                <w:szCs w:val="21"/>
              </w:rPr>
            </w:pPr>
          </w:p>
        </w:tc>
      </w:tr>
      <w:tr w:rsidR="00564C66" w:rsidRPr="00FD0D8E" w14:paraId="26D397DC" w14:textId="77777777" w:rsidTr="00564C66">
        <w:tc>
          <w:tcPr>
            <w:tcW w:w="1116" w:type="pct"/>
            <w:tcBorders>
              <w:top w:val="nil"/>
              <w:left w:val="nil"/>
              <w:bottom w:val="nil"/>
              <w:right w:val="nil"/>
            </w:tcBorders>
          </w:tcPr>
          <w:p w14:paraId="55AD89BE"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7D8A1610"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972" w:type="pct"/>
            <w:tcBorders>
              <w:top w:val="nil"/>
              <w:left w:val="nil"/>
              <w:bottom w:val="nil"/>
              <w:right w:val="nil"/>
            </w:tcBorders>
          </w:tcPr>
          <w:p w14:paraId="357D4E10" w14:textId="77777777" w:rsidR="00564C66" w:rsidRPr="00FD0D8E" w:rsidRDefault="00564C66" w:rsidP="00C74EB6">
            <w:pPr>
              <w:autoSpaceDE w:val="0"/>
              <w:autoSpaceDN w:val="0"/>
              <w:adjustRightInd w:val="0"/>
              <w:jc w:val="center"/>
              <w:rPr>
                <w:kern w:val="0"/>
                <w:szCs w:val="21"/>
              </w:rPr>
            </w:pPr>
            <w:r w:rsidRPr="00FD0D8E">
              <w:rPr>
                <w:kern w:val="0"/>
                <w:szCs w:val="21"/>
              </w:rPr>
              <w:t>(0.005)</w:t>
            </w:r>
          </w:p>
        </w:tc>
        <w:tc>
          <w:tcPr>
            <w:tcW w:w="971" w:type="pct"/>
            <w:tcBorders>
              <w:top w:val="nil"/>
              <w:left w:val="nil"/>
              <w:bottom w:val="nil"/>
              <w:right w:val="nil"/>
            </w:tcBorders>
          </w:tcPr>
          <w:p w14:paraId="2328852B" w14:textId="77777777" w:rsidR="00564C66" w:rsidRPr="00FD0D8E" w:rsidRDefault="00564C66" w:rsidP="00C74EB6">
            <w:pPr>
              <w:autoSpaceDE w:val="0"/>
              <w:autoSpaceDN w:val="0"/>
              <w:adjustRightInd w:val="0"/>
              <w:jc w:val="center"/>
              <w:rPr>
                <w:kern w:val="0"/>
                <w:szCs w:val="21"/>
              </w:rPr>
            </w:pPr>
          </w:p>
        </w:tc>
        <w:tc>
          <w:tcPr>
            <w:tcW w:w="971" w:type="pct"/>
            <w:tcBorders>
              <w:top w:val="nil"/>
              <w:left w:val="nil"/>
              <w:bottom w:val="nil"/>
              <w:right w:val="nil"/>
            </w:tcBorders>
          </w:tcPr>
          <w:p w14:paraId="648995CA" w14:textId="77777777" w:rsidR="00564C66" w:rsidRPr="00FD0D8E" w:rsidRDefault="00564C66" w:rsidP="00C74EB6">
            <w:pPr>
              <w:autoSpaceDE w:val="0"/>
              <w:autoSpaceDN w:val="0"/>
              <w:adjustRightInd w:val="0"/>
              <w:jc w:val="center"/>
              <w:rPr>
                <w:kern w:val="0"/>
                <w:szCs w:val="21"/>
              </w:rPr>
            </w:pPr>
          </w:p>
        </w:tc>
      </w:tr>
      <w:tr w:rsidR="00564C66" w:rsidRPr="00FD0D8E" w14:paraId="293B2D0A" w14:textId="77777777" w:rsidTr="00564C66">
        <w:tc>
          <w:tcPr>
            <w:tcW w:w="1116" w:type="pct"/>
            <w:tcBorders>
              <w:top w:val="nil"/>
              <w:left w:val="nil"/>
              <w:bottom w:val="nil"/>
              <w:right w:val="nil"/>
            </w:tcBorders>
          </w:tcPr>
          <w:p w14:paraId="1E75A532" w14:textId="77777777" w:rsidR="00564C66" w:rsidRPr="00FD0D8E" w:rsidRDefault="00564C66" w:rsidP="00C74EB6">
            <w:pPr>
              <w:autoSpaceDE w:val="0"/>
              <w:autoSpaceDN w:val="0"/>
              <w:adjustRightInd w:val="0"/>
              <w:rPr>
                <w:kern w:val="0"/>
                <w:szCs w:val="21"/>
              </w:rPr>
            </w:pPr>
            <w:r w:rsidRPr="00FD0D8E">
              <w:rPr>
                <w:kern w:val="0"/>
                <w:szCs w:val="21"/>
              </w:rPr>
              <w:t>DOSR</w:t>
            </w:r>
          </w:p>
        </w:tc>
        <w:tc>
          <w:tcPr>
            <w:tcW w:w="970" w:type="pct"/>
            <w:tcBorders>
              <w:top w:val="nil"/>
              <w:left w:val="nil"/>
              <w:bottom w:val="nil"/>
              <w:right w:val="nil"/>
            </w:tcBorders>
          </w:tcPr>
          <w:p w14:paraId="224F3393" w14:textId="77777777" w:rsidR="00564C66" w:rsidRPr="00FD0D8E" w:rsidRDefault="00564C66" w:rsidP="00C74EB6">
            <w:pPr>
              <w:autoSpaceDE w:val="0"/>
              <w:autoSpaceDN w:val="0"/>
              <w:adjustRightInd w:val="0"/>
              <w:jc w:val="center"/>
              <w:rPr>
                <w:kern w:val="0"/>
                <w:szCs w:val="21"/>
              </w:rPr>
            </w:pPr>
            <w:r w:rsidRPr="00FD0D8E">
              <w:rPr>
                <w:kern w:val="0"/>
                <w:szCs w:val="21"/>
              </w:rPr>
              <w:t>0.026</w:t>
            </w:r>
          </w:p>
        </w:tc>
        <w:tc>
          <w:tcPr>
            <w:tcW w:w="972" w:type="pct"/>
            <w:tcBorders>
              <w:top w:val="nil"/>
              <w:left w:val="nil"/>
              <w:bottom w:val="nil"/>
              <w:right w:val="nil"/>
            </w:tcBorders>
          </w:tcPr>
          <w:p w14:paraId="537A6205" w14:textId="77777777" w:rsidR="00564C66" w:rsidRPr="00FD0D8E" w:rsidRDefault="00564C66" w:rsidP="00C74EB6">
            <w:pPr>
              <w:autoSpaceDE w:val="0"/>
              <w:autoSpaceDN w:val="0"/>
              <w:adjustRightInd w:val="0"/>
              <w:jc w:val="center"/>
              <w:rPr>
                <w:kern w:val="0"/>
                <w:szCs w:val="21"/>
              </w:rPr>
            </w:pPr>
            <w:r w:rsidRPr="00FD0D8E">
              <w:rPr>
                <w:kern w:val="0"/>
                <w:szCs w:val="21"/>
              </w:rPr>
              <w:t>-0.076</w:t>
            </w:r>
            <w:r w:rsidRPr="00FD0D8E">
              <w:rPr>
                <w:kern w:val="0"/>
                <w:szCs w:val="21"/>
                <w:vertAlign w:val="superscript"/>
              </w:rPr>
              <w:t>***</w:t>
            </w:r>
          </w:p>
        </w:tc>
        <w:tc>
          <w:tcPr>
            <w:tcW w:w="971" w:type="pct"/>
            <w:tcBorders>
              <w:top w:val="nil"/>
              <w:left w:val="nil"/>
              <w:bottom w:val="nil"/>
              <w:right w:val="nil"/>
            </w:tcBorders>
          </w:tcPr>
          <w:p w14:paraId="190F4EEF" w14:textId="77777777" w:rsidR="00564C66" w:rsidRPr="00FD0D8E" w:rsidRDefault="00564C66" w:rsidP="00C74EB6">
            <w:pPr>
              <w:autoSpaceDE w:val="0"/>
              <w:autoSpaceDN w:val="0"/>
              <w:adjustRightInd w:val="0"/>
              <w:jc w:val="center"/>
              <w:rPr>
                <w:kern w:val="0"/>
                <w:szCs w:val="21"/>
              </w:rPr>
            </w:pPr>
            <w:r w:rsidRPr="00FD0D8E">
              <w:rPr>
                <w:kern w:val="0"/>
                <w:szCs w:val="21"/>
              </w:rPr>
              <w:t>-0.122</w:t>
            </w:r>
            <w:r w:rsidRPr="00FD0D8E">
              <w:rPr>
                <w:kern w:val="0"/>
                <w:szCs w:val="21"/>
                <w:vertAlign w:val="superscript"/>
              </w:rPr>
              <w:t>***</w:t>
            </w:r>
          </w:p>
        </w:tc>
        <w:tc>
          <w:tcPr>
            <w:tcW w:w="971" w:type="pct"/>
            <w:tcBorders>
              <w:top w:val="nil"/>
              <w:left w:val="nil"/>
              <w:bottom w:val="nil"/>
              <w:right w:val="nil"/>
            </w:tcBorders>
          </w:tcPr>
          <w:p w14:paraId="7B53D6A0" w14:textId="77777777" w:rsidR="00564C66" w:rsidRPr="00FD0D8E" w:rsidRDefault="00564C66" w:rsidP="00C74EB6">
            <w:pPr>
              <w:autoSpaceDE w:val="0"/>
              <w:autoSpaceDN w:val="0"/>
              <w:adjustRightInd w:val="0"/>
              <w:jc w:val="center"/>
              <w:rPr>
                <w:kern w:val="0"/>
                <w:szCs w:val="21"/>
              </w:rPr>
            </w:pPr>
            <w:r w:rsidRPr="00FD0D8E">
              <w:rPr>
                <w:kern w:val="0"/>
                <w:szCs w:val="21"/>
              </w:rPr>
              <w:t>-0.064</w:t>
            </w:r>
            <w:r w:rsidRPr="00FD0D8E">
              <w:rPr>
                <w:kern w:val="0"/>
                <w:szCs w:val="21"/>
                <w:vertAlign w:val="superscript"/>
              </w:rPr>
              <w:t>***</w:t>
            </w:r>
          </w:p>
        </w:tc>
      </w:tr>
      <w:tr w:rsidR="00564C66" w:rsidRPr="00FD0D8E" w14:paraId="23254369" w14:textId="77777777" w:rsidTr="00564C66">
        <w:tc>
          <w:tcPr>
            <w:tcW w:w="1116" w:type="pct"/>
            <w:tcBorders>
              <w:top w:val="nil"/>
              <w:left w:val="nil"/>
              <w:bottom w:val="nil"/>
              <w:right w:val="nil"/>
            </w:tcBorders>
          </w:tcPr>
          <w:p w14:paraId="5E3BB35F"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335D1C14" w14:textId="77777777" w:rsidR="00564C66" w:rsidRPr="00FD0D8E" w:rsidRDefault="00564C66" w:rsidP="00C74EB6">
            <w:pPr>
              <w:autoSpaceDE w:val="0"/>
              <w:autoSpaceDN w:val="0"/>
              <w:adjustRightInd w:val="0"/>
              <w:jc w:val="center"/>
              <w:rPr>
                <w:kern w:val="0"/>
                <w:szCs w:val="21"/>
              </w:rPr>
            </w:pPr>
            <w:r w:rsidRPr="00FD0D8E">
              <w:rPr>
                <w:kern w:val="0"/>
                <w:szCs w:val="21"/>
              </w:rPr>
              <w:t>(0.124)</w:t>
            </w:r>
          </w:p>
        </w:tc>
        <w:tc>
          <w:tcPr>
            <w:tcW w:w="972" w:type="pct"/>
            <w:tcBorders>
              <w:top w:val="nil"/>
              <w:left w:val="nil"/>
              <w:bottom w:val="nil"/>
              <w:right w:val="nil"/>
            </w:tcBorders>
          </w:tcPr>
          <w:p w14:paraId="160AF992"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971" w:type="pct"/>
            <w:tcBorders>
              <w:top w:val="nil"/>
              <w:left w:val="nil"/>
              <w:bottom w:val="nil"/>
              <w:right w:val="nil"/>
            </w:tcBorders>
          </w:tcPr>
          <w:p w14:paraId="3E150266" w14:textId="77777777" w:rsidR="00564C66" w:rsidRPr="00FD0D8E" w:rsidRDefault="00564C66" w:rsidP="00C74EB6">
            <w:pPr>
              <w:autoSpaceDE w:val="0"/>
              <w:autoSpaceDN w:val="0"/>
              <w:adjustRightInd w:val="0"/>
              <w:jc w:val="center"/>
              <w:rPr>
                <w:kern w:val="0"/>
                <w:szCs w:val="21"/>
              </w:rPr>
            </w:pPr>
            <w:r w:rsidRPr="00FD0D8E">
              <w:rPr>
                <w:kern w:val="0"/>
                <w:szCs w:val="21"/>
              </w:rPr>
              <w:t>(0.028)</w:t>
            </w:r>
          </w:p>
        </w:tc>
        <w:tc>
          <w:tcPr>
            <w:tcW w:w="971" w:type="pct"/>
            <w:tcBorders>
              <w:top w:val="nil"/>
              <w:left w:val="nil"/>
              <w:bottom w:val="nil"/>
              <w:right w:val="nil"/>
            </w:tcBorders>
          </w:tcPr>
          <w:p w14:paraId="4709CAE9"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r>
      <w:tr w:rsidR="00564C66" w:rsidRPr="00FD0D8E" w14:paraId="15469D33" w14:textId="77777777" w:rsidTr="00564C66">
        <w:tc>
          <w:tcPr>
            <w:tcW w:w="1116" w:type="pct"/>
            <w:tcBorders>
              <w:top w:val="nil"/>
              <w:left w:val="nil"/>
              <w:bottom w:val="nil"/>
              <w:right w:val="nil"/>
            </w:tcBorders>
          </w:tcPr>
          <w:p w14:paraId="6797E018" w14:textId="77777777" w:rsidR="00564C66" w:rsidRPr="00FD0D8E" w:rsidRDefault="00564C66" w:rsidP="00C74EB6">
            <w:pPr>
              <w:autoSpaceDE w:val="0"/>
              <w:autoSpaceDN w:val="0"/>
              <w:adjustRightInd w:val="0"/>
              <w:rPr>
                <w:kern w:val="0"/>
                <w:szCs w:val="21"/>
              </w:rPr>
            </w:pPr>
            <w:r w:rsidRPr="00FD0D8E">
              <w:rPr>
                <w:kern w:val="0"/>
                <w:szCs w:val="21"/>
              </w:rPr>
              <w:t>BH</w:t>
            </w:r>
          </w:p>
        </w:tc>
        <w:tc>
          <w:tcPr>
            <w:tcW w:w="970" w:type="pct"/>
            <w:tcBorders>
              <w:top w:val="nil"/>
              <w:left w:val="nil"/>
              <w:bottom w:val="nil"/>
              <w:right w:val="nil"/>
            </w:tcBorders>
          </w:tcPr>
          <w:p w14:paraId="487CE776" w14:textId="77777777" w:rsidR="00564C66" w:rsidRPr="00FD0D8E" w:rsidRDefault="00564C66" w:rsidP="00C74EB6">
            <w:pPr>
              <w:autoSpaceDE w:val="0"/>
              <w:autoSpaceDN w:val="0"/>
              <w:adjustRightInd w:val="0"/>
              <w:jc w:val="center"/>
              <w:rPr>
                <w:kern w:val="0"/>
                <w:szCs w:val="21"/>
              </w:rPr>
            </w:pPr>
            <w:r w:rsidRPr="00FD0D8E">
              <w:rPr>
                <w:kern w:val="0"/>
                <w:szCs w:val="21"/>
              </w:rPr>
              <w:t>0.176</w:t>
            </w:r>
            <w:r w:rsidRPr="00FD0D8E">
              <w:rPr>
                <w:kern w:val="0"/>
                <w:szCs w:val="21"/>
                <w:vertAlign w:val="superscript"/>
              </w:rPr>
              <w:t>***</w:t>
            </w:r>
          </w:p>
        </w:tc>
        <w:tc>
          <w:tcPr>
            <w:tcW w:w="972" w:type="pct"/>
            <w:tcBorders>
              <w:top w:val="nil"/>
              <w:left w:val="nil"/>
              <w:bottom w:val="nil"/>
              <w:right w:val="nil"/>
            </w:tcBorders>
          </w:tcPr>
          <w:p w14:paraId="7AC88589" w14:textId="77777777" w:rsidR="00564C66" w:rsidRPr="00FD0D8E" w:rsidRDefault="00564C66" w:rsidP="00C74EB6">
            <w:pPr>
              <w:autoSpaceDE w:val="0"/>
              <w:autoSpaceDN w:val="0"/>
              <w:adjustRightInd w:val="0"/>
              <w:jc w:val="center"/>
              <w:rPr>
                <w:kern w:val="0"/>
                <w:szCs w:val="21"/>
              </w:rPr>
            </w:pPr>
            <w:r w:rsidRPr="00FD0D8E">
              <w:rPr>
                <w:kern w:val="0"/>
                <w:szCs w:val="21"/>
              </w:rPr>
              <w:t>0.090</w:t>
            </w:r>
            <w:r w:rsidRPr="00FD0D8E">
              <w:rPr>
                <w:kern w:val="0"/>
                <w:szCs w:val="21"/>
                <w:vertAlign w:val="superscript"/>
              </w:rPr>
              <w:t>***</w:t>
            </w:r>
          </w:p>
        </w:tc>
        <w:tc>
          <w:tcPr>
            <w:tcW w:w="971" w:type="pct"/>
            <w:tcBorders>
              <w:top w:val="nil"/>
              <w:left w:val="nil"/>
              <w:bottom w:val="nil"/>
              <w:right w:val="nil"/>
            </w:tcBorders>
          </w:tcPr>
          <w:p w14:paraId="79B7D9A5" w14:textId="77777777" w:rsidR="00564C66" w:rsidRPr="00FD0D8E" w:rsidRDefault="00564C66" w:rsidP="00C74EB6">
            <w:pPr>
              <w:autoSpaceDE w:val="0"/>
              <w:autoSpaceDN w:val="0"/>
              <w:adjustRightInd w:val="0"/>
              <w:jc w:val="center"/>
              <w:rPr>
                <w:kern w:val="0"/>
                <w:szCs w:val="21"/>
              </w:rPr>
            </w:pPr>
            <w:r w:rsidRPr="00FD0D8E">
              <w:rPr>
                <w:kern w:val="0"/>
                <w:szCs w:val="21"/>
              </w:rPr>
              <w:t>0.157</w:t>
            </w:r>
            <w:r w:rsidRPr="00FD0D8E">
              <w:rPr>
                <w:kern w:val="0"/>
                <w:szCs w:val="21"/>
                <w:vertAlign w:val="superscript"/>
              </w:rPr>
              <w:t>***</w:t>
            </w:r>
          </w:p>
        </w:tc>
        <w:tc>
          <w:tcPr>
            <w:tcW w:w="971" w:type="pct"/>
            <w:tcBorders>
              <w:top w:val="nil"/>
              <w:left w:val="nil"/>
              <w:bottom w:val="nil"/>
              <w:right w:val="nil"/>
            </w:tcBorders>
          </w:tcPr>
          <w:p w14:paraId="1D2578F8" w14:textId="77777777" w:rsidR="00564C66" w:rsidRPr="00FD0D8E" w:rsidRDefault="00564C66" w:rsidP="00C74EB6">
            <w:pPr>
              <w:autoSpaceDE w:val="0"/>
              <w:autoSpaceDN w:val="0"/>
              <w:adjustRightInd w:val="0"/>
              <w:jc w:val="center"/>
              <w:rPr>
                <w:kern w:val="0"/>
                <w:szCs w:val="21"/>
              </w:rPr>
            </w:pPr>
            <w:r w:rsidRPr="00FD0D8E">
              <w:rPr>
                <w:kern w:val="0"/>
                <w:szCs w:val="21"/>
              </w:rPr>
              <w:t>0.005</w:t>
            </w:r>
          </w:p>
        </w:tc>
      </w:tr>
      <w:tr w:rsidR="00564C66" w:rsidRPr="00FD0D8E" w14:paraId="0503CA17" w14:textId="77777777" w:rsidTr="00564C66">
        <w:tc>
          <w:tcPr>
            <w:tcW w:w="1116" w:type="pct"/>
            <w:tcBorders>
              <w:top w:val="nil"/>
              <w:left w:val="nil"/>
              <w:bottom w:val="nil"/>
              <w:right w:val="nil"/>
            </w:tcBorders>
          </w:tcPr>
          <w:p w14:paraId="510959F6"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6ECD0130"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972" w:type="pct"/>
            <w:tcBorders>
              <w:top w:val="nil"/>
              <w:left w:val="nil"/>
              <w:bottom w:val="nil"/>
              <w:right w:val="nil"/>
            </w:tcBorders>
          </w:tcPr>
          <w:p w14:paraId="49B391F0"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971" w:type="pct"/>
            <w:tcBorders>
              <w:top w:val="nil"/>
              <w:left w:val="nil"/>
              <w:bottom w:val="nil"/>
              <w:right w:val="nil"/>
            </w:tcBorders>
          </w:tcPr>
          <w:p w14:paraId="08F275A3"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971" w:type="pct"/>
            <w:tcBorders>
              <w:top w:val="nil"/>
              <w:left w:val="nil"/>
              <w:bottom w:val="nil"/>
              <w:right w:val="nil"/>
            </w:tcBorders>
          </w:tcPr>
          <w:p w14:paraId="5897B2B3" w14:textId="77777777" w:rsidR="00564C66" w:rsidRPr="00FD0D8E" w:rsidRDefault="00564C66" w:rsidP="00C74EB6">
            <w:pPr>
              <w:autoSpaceDE w:val="0"/>
              <w:autoSpaceDN w:val="0"/>
              <w:adjustRightInd w:val="0"/>
              <w:jc w:val="center"/>
              <w:rPr>
                <w:kern w:val="0"/>
                <w:szCs w:val="21"/>
              </w:rPr>
            </w:pPr>
            <w:r w:rsidRPr="00FD0D8E">
              <w:rPr>
                <w:kern w:val="0"/>
                <w:szCs w:val="21"/>
              </w:rPr>
              <w:t>(0.022)</w:t>
            </w:r>
          </w:p>
        </w:tc>
      </w:tr>
      <w:tr w:rsidR="00564C66" w:rsidRPr="00FD0D8E" w14:paraId="283A62DC" w14:textId="77777777" w:rsidTr="00564C66">
        <w:tc>
          <w:tcPr>
            <w:tcW w:w="1116" w:type="pct"/>
            <w:tcBorders>
              <w:top w:val="nil"/>
              <w:left w:val="nil"/>
              <w:bottom w:val="nil"/>
              <w:right w:val="nil"/>
            </w:tcBorders>
          </w:tcPr>
          <w:p w14:paraId="7D6C7FF6" w14:textId="77777777" w:rsidR="00564C66" w:rsidRPr="00FD0D8E" w:rsidRDefault="00564C66" w:rsidP="00C74EB6">
            <w:pPr>
              <w:autoSpaceDE w:val="0"/>
              <w:autoSpaceDN w:val="0"/>
              <w:adjustRightInd w:val="0"/>
              <w:rPr>
                <w:kern w:val="0"/>
                <w:szCs w:val="21"/>
              </w:rPr>
            </w:pPr>
            <w:r w:rsidRPr="00FD0D8E">
              <w:rPr>
                <w:kern w:val="0"/>
                <w:szCs w:val="21"/>
              </w:rPr>
              <w:t>Big4</w:t>
            </w:r>
          </w:p>
        </w:tc>
        <w:tc>
          <w:tcPr>
            <w:tcW w:w="970" w:type="pct"/>
            <w:tcBorders>
              <w:top w:val="nil"/>
              <w:left w:val="nil"/>
              <w:bottom w:val="nil"/>
              <w:right w:val="nil"/>
            </w:tcBorders>
          </w:tcPr>
          <w:p w14:paraId="4675F5A1" w14:textId="77777777" w:rsidR="00564C66" w:rsidRPr="00FD0D8E" w:rsidRDefault="00564C66" w:rsidP="00C74EB6">
            <w:pPr>
              <w:autoSpaceDE w:val="0"/>
              <w:autoSpaceDN w:val="0"/>
              <w:adjustRightInd w:val="0"/>
              <w:jc w:val="center"/>
              <w:rPr>
                <w:kern w:val="0"/>
                <w:szCs w:val="21"/>
              </w:rPr>
            </w:pPr>
            <w:r w:rsidRPr="00FD0D8E">
              <w:rPr>
                <w:kern w:val="0"/>
                <w:szCs w:val="21"/>
              </w:rPr>
              <w:t>0.071</w:t>
            </w:r>
            <w:r w:rsidRPr="00FD0D8E">
              <w:rPr>
                <w:kern w:val="0"/>
                <w:szCs w:val="21"/>
                <w:vertAlign w:val="superscript"/>
              </w:rPr>
              <w:t>***</w:t>
            </w:r>
          </w:p>
        </w:tc>
        <w:tc>
          <w:tcPr>
            <w:tcW w:w="972" w:type="pct"/>
            <w:tcBorders>
              <w:top w:val="nil"/>
              <w:left w:val="nil"/>
              <w:bottom w:val="nil"/>
              <w:right w:val="nil"/>
            </w:tcBorders>
          </w:tcPr>
          <w:p w14:paraId="365D05AB" w14:textId="77777777" w:rsidR="00564C66" w:rsidRPr="00FD0D8E" w:rsidRDefault="00564C66" w:rsidP="00C74EB6">
            <w:pPr>
              <w:autoSpaceDE w:val="0"/>
              <w:autoSpaceDN w:val="0"/>
              <w:adjustRightInd w:val="0"/>
              <w:jc w:val="center"/>
              <w:rPr>
                <w:kern w:val="0"/>
                <w:szCs w:val="21"/>
              </w:rPr>
            </w:pPr>
            <w:r w:rsidRPr="00FD0D8E">
              <w:rPr>
                <w:kern w:val="0"/>
                <w:szCs w:val="21"/>
              </w:rPr>
              <w:t>0.044</w:t>
            </w:r>
            <w:r w:rsidRPr="00FD0D8E">
              <w:rPr>
                <w:kern w:val="0"/>
                <w:szCs w:val="21"/>
                <w:vertAlign w:val="superscript"/>
              </w:rPr>
              <w:t>***</w:t>
            </w:r>
          </w:p>
        </w:tc>
        <w:tc>
          <w:tcPr>
            <w:tcW w:w="971" w:type="pct"/>
            <w:tcBorders>
              <w:top w:val="nil"/>
              <w:left w:val="nil"/>
              <w:bottom w:val="nil"/>
              <w:right w:val="nil"/>
            </w:tcBorders>
          </w:tcPr>
          <w:p w14:paraId="29AF4558" w14:textId="77777777" w:rsidR="00564C66" w:rsidRPr="00FD0D8E" w:rsidRDefault="00564C66" w:rsidP="00C74EB6">
            <w:pPr>
              <w:autoSpaceDE w:val="0"/>
              <w:autoSpaceDN w:val="0"/>
              <w:adjustRightInd w:val="0"/>
              <w:jc w:val="center"/>
              <w:rPr>
                <w:kern w:val="0"/>
                <w:szCs w:val="21"/>
              </w:rPr>
            </w:pPr>
            <w:r w:rsidRPr="00FD0D8E">
              <w:rPr>
                <w:kern w:val="0"/>
                <w:szCs w:val="21"/>
              </w:rPr>
              <w:t>0.085</w:t>
            </w:r>
            <w:r w:rsidRPr="00FD0D8E">
              <w:rPr>
                <w:kern w:val="0"/>
                <w:szCs w:val="21"/>
                <w:vertAlign w:val="superscript"/>
              </w:rPr>
              <w:t>***</w:t>
            </w:r>
          </w:p>
        </w:tc>
        <w:tc>
          <w:tcPr>
            <w:tcW w:w="971" w:type="pct"/>
            <w:tcBorders>
              <w:top w:val="nil"/>
              <w:left w:val="nil"/>
              <w:bottom w:val="nil"/>
              <w:right w:val="nil"/>
            </w:tcBorders>
          </w:tcPr>
          <w:p w14:paraId="4403FABD"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r>
      <w:tr w:rsidR="00564C66" w:rsidRPr="00FD0D8E" w14:paraId="3BE22C7A" w14:textId="77777777" w:rsidTr="00564C66">
        <w:tc>
          <w:tcPr>
            <w:tcW w:w="1116" w:type="pct"/>
            <w:tcBorders>
              <w:top w:val="nil"/>
              <w:left w:val="nil"/>
              <w:bottom w:val="nil"/>
              <w:right w:val="nil"/>
            </w:tcBorders>
          </w:tcPr>
          <w:p w14:paraId="62EF68C3"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1592EEB0"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972" w:type="pct"/>
            <w:tcBorders>
              <w:top w:val="nil"/>
              <w:left w:val="nil"/>
              <w:bottom w:val="nil"/>
              <w:right w:val="nil"/>
            </w:tcBorders>
          </w:tcPr>
          <w:p w14:paraId="40DB945A"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971" w:type="pct"/>
            <w:tcBorders>
              <w:top w:val="nil"/>
              <w:left w:val="nil"/>
              <w:bottom w:val="nil"/>
              <w:right w:val="nil"/>
            </w:tcBorders>
          </w:tcPr>
          <w:p w14:paraId="42D7264C"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971" w:type="pct"/>
            <w:tcBorders>
              <w:top w:val="nil"/>
              <w:left w:val="nil"/>
              <w:bottom w:val="nil"/>
              <w:right w:val="nil"/>
            </w:tcBorders>
          </w:tcPr>
          <w:p w14:paraId="52E51723"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r>
      <w:tr w:rsidR="00564C66" w:rsidRPr="00FD0D8E" w14:paraId="59445D8D" w14:textId="77777777" w:rsidTr="00564C66">
        <w:tc>
          <w:tcPr>
            <w:tcW w:w="1116" w:type="pct"/>
            <w:tcBorders>
              <w:top w:val="nil"/>
              <w:left w:val="nil"/>
              <w:bottom w:val="nil"/>
              <w:right w:val="nil"/>
            </w:tcBorders>
          </w:tcPr>
          <w:p w14:paraId="6ED12A26" w14:textId="77777777" w:rsidR="00564C66" w:rsidRPr="00FD0D8E" w:rsidRDefault="00564C66" w:rsidP="00C74EB6">
            <w:pPr>
              <w:autoSpaceDE w:val="0"/>
              <w:autoSpaceDN w:val="0"/>
              <w:adjustRightInd w:val="0"/>
              <w:rPr>
                <w:kern w:val="0"/>
                <w:szCs w:val="21"/>
              </w:rPr>
            </w:pPr>
            <w:r w:rsidRPr="00FD0D8E">
              <w:rPr>
                <w:kern w:val="0"/>
                <w:szCs w:val="21"/>
              </w:rPr>
              <w:t>Lev</w:t>
            </w:r>
          </w:p>
        </w:tc>
        <w:tc>
          <w:tcPr>
            <w:tcW w:w="970" w:type="pct"/>
            <w:tcBorders>
              <w:top w:val="nil"/>
              <w:left w:val="nil"/>
              <w:bottom w:val="nil"/>
              <w:right w:val="nil"/>
            </w:tcBorders>
          </w:tcPr>
          <w:p w14:paraId="694ADEE0" w14:textId="77777777" w:rsidR="00564C66" w:rsidRPr="00FD0D8E" w:rsidRDefault="00564C66" w:rsidP="00C74EB6">
            <w:pPr>
              <w:autoSpaceDE w:val="0"/>
              <w:autoSpaceDN w:val="0"/>
              <w:adjustRightInd w:val="0"/>
              <w:jc w:val="center"/>
              <w:rPr>
                <w:kern w:val="0"/>
                <w:szCs w:val="21"/>
              </w:rPr>
            </w:pPr>
            <w:r w:rsidRPr="00FD0D8E">
              <w:rPr>
                <w:kern w:val="0"/>
                <w:szCs w:val="21"/>
              </w:rPr>
              <w:t>0.091</w:t>
            </w:r>
            <w:r w:rsidRPr="00FD0D8E">
              <w:rPr>
                <w:kern w:val="0"/>
                <w:szCs w:val="21"/>
                <w:vertAlign w:val="superscript"/>
              </w:rPr>
              <w:t>***</w:t>
            </w:r>
          </w:p>
        </w:tc>
        <w:tc>
          <w:tcPr>
            <w:tcW w:w="972" w:type="pct"/>
            <w:tcBorders>
              <w:top w:val="nil"/>
              <w:left w:val="nil"/>
              <w:bottom w:val="nil"/>
              <w:right w:val="nil"/>
            </w:tcBorders>
          </w:tcPr>
          <w:p w14:paraId="785526F1" w14:textId="77777777" w:rsidR="00564C66" w:rsidRPr="00FD0D8E" w:rsidRDefault="00564C66" w:rsidP="00C74EB6">
            <w:pPr>
              <w:autoSpaceDE w:val="0"/>
              <w:autoSpaceDN w:val="0"/>
              <w:adjustRightInd w:val="0"/>
              <w:jc w:val="center"/>
              <w:rPr>
                <w:kern w:val="0"/>
                <w:szCs w:val="21"/>
              </w:rPr>
            </w:pPr>
            <w:r w:rsidRPr="00FD0D8E">
              <w:rPr>
                <w:kern w:val="0"/>
                <w:szCs w:val="21"/>
              </w:rPr>
              <w:t>0.031</w:t>
            </w:r>
            <w:r w:rsidRPr="00FD0D8E">
              <w:rPr>
                <w:kern w:val="0"/>
                <w:szCs w:val="21"/>
                <w:vertAlign w:val="superscript"/>
              </w:rPr>
              <w:t>**</w:t>
            </w:r>
          </w:p>
        </w:tc>
        <w:tc>
          <w:tcPr>
            <w:tcW w:w="971" w:type="pct"/>
            <w:tcBorders>
              <w:top w:val="nil"/>
              <w:left w:val="nil"/>
              <w:bottom w:val="nil"/>
              <w:right w:val="nil"/>
            </w:tcBorders>
          </w:tcPr>
          <w:p w14:paraId="75C3D725" w14:textId="77777777" w:rsidR="00564C66" w:rsidRPr="00FD0D8E" w:rsidRDefault="00564C66" w:rsidP="00C74EB6">
            <w:pPr>
              <w:autoSpaceDE w:val="0"/>
              <w:autoSpaceDN w:val="0"/>
              <w:adjustRightInd w:val="0"/>
              <w:jc w:val="center"/>
              <w:rPr>
                <w:kern w:val="0"/>
                <w:szCs w:val="21"/>
              </w:rPr>
            </w:pPr>
            <w:r w:rsidRPr="00FD0D8E">
              <w:rPr>
                <w:kern w:val="0"/>
                <w:szCs w:val="21"/>
              </w:rPr>
              <w:t>0.099</w:t>
            </w:r>
            <w:r w:rsidRPr="00FD0D8E">
              <w:rPr>
                <w:kern w:val="0"/>
                <w:szCs w:val="21"/>
                <w:vertAlign w:val="superscript"/>
              </w:rPr>
              <w:t>***</w:t>
            </w:r>
          </w:p>
        </w:tc>
        <w:tc>
          <w:tcPr>
            <w:tcW w:w="971" w:type="pct"/>
            <w:tcBorders>
              <w:top w:val="nil"/>
              <w:left w:val="nil"/>
              <w:bottom w:val="nil"/>
              <w:right w:val="nil"/>
            </w:tcBorders>
          </w:tcPr>
          <w:p w14:paraId="7521A059" w14:textId="77777777" w:rsidR="00564C66" w:rsidRPr="00FD0D8E" w:rsidRDefault="00564C66" w:rsidP="00C74EB6">
            <w:pPr>
              <w:autoSpaceDE w:val="0"/>
              <w:autoSpaceDN w:val="0"/>
              <w:adjustRightInd w:val="0"/>
              <w:jc w:val="center"/>
              <w:rPr>
                <w:kern w:val="0"/>
                <w:szCs w:val="21"/>
              </w:rPr>
            </w:pPr>
            <w:r w:rsidRPr="00FD0D8E">
              <w:rPr>
                <w:kern w:val="0"/>
                <w:szCs w:val="21"/>
              </w:rPr>
              <w:t>0.002</w:t>
            </w:r>
          </w:p>
        </w:tc>
      </w:tr>
      <w:tr w:rsidR="00564C66" w:rsidRPr="00FD0D8E" w14:paraId="4B4E769A" w14:textId="77777777" w:rsidTr="00564C66">
        <w:tc>
          <w:tcPr>
            <w:tcW w:w="1116" w:type="pct"/>
            <w:tcBorders>
              <w:top w:val="nil"/>
              <w:left w:val="nil"/>
              <w:bottom w:val="nil"/>
              <w:right w:val="nil"/>
            </w:tcBorders>
          </w:tcPr>
          <w:p w14:paraId="2EC5CD81"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75699B30" w14:textId="77777777" w:rsidR="00564C66" w:rsidRPr="00FD0D8E" w:rsidRDefault="00564C66" w:rsidP="00C74EB6">
            <w:pPr>
              <w:autoSpaceDE w:val="0"/>
              <w:autoSpaceDN w:val="0"/>
              <w:adjustRightInd w:val="0"/>
              <w:jc w:val="center"/>
              <w:rPr>
                <w:kern w:val="0"/>
                <w:szCs w:val="21"/>
              </w:rPr>
            </w:pPr>
            <w:r w:rsidRPr="00FD0D8E">
              <w:rPr>
                <w:kern w:val="0"/>
                <w:szCs w:val="21"/>
              </w:rPr>
              <w:t>(0.029)</w:t>
            </w:r>
          </w:p>
        </w:tc>
        <w:tc>
          <w:tcPr>
            <w:tcW w:w="972" w:type="pct"/>
            <w:tcBorders>
              <w:top w:val="nil"/>
              <w:left w:val="nil"/>
              <w:bottom w:val="nil"/>
              <w:right w:val="nil"/>
            </w:tcBorders>
          </w:tcPr>
          <w:p w14:paraId="6F736BA8" w14:textId="77777777" w:rsidR="00564C66" w:rsidRPr="00FD0D8E" w:rsidRDefault="00564C66" w:rsidP="00C74EB6">
            <w:pPr>
              <w:autoSpaceDE w:val="0"/>
              <w:autoSpaceDN w:val="0"/>
              <w:adjustRightInd w:val="0"/>
              <w:jc w:val="center"/>
              <w:rPr>
                <w:kern w:val="0"/>
                <w:szCs w:val="21"/>
              </w:rPr>
            </w:pPr>
            <w:r w:rsidRPr="00FD0D8E">
              <w:rPr>
                <w:kern w:val="0"/>
                <w:szCs w:val="21"/>
              </w:rPr>
              <w:t>(0.013)</w:t>
            </w:r>
          </w:p>
        </w:tc>
        <w:tc>
          <w:tcPr>
            <w:tcW w:w="971" w:type="pct"/>
            <w:tcBorders>
              <w:top w:val="nil"/>
              <w:left w:val="nil"/>
              <w:bottom w:val="nil"/>
              <w:right w:val="nil"/>
            </w:tcBorders>
          </w:tcPr>
          <w:p w14:paraId="39F60989" w14:textId="77777777" w:rsidR="00564C66" w:rsidRPr="00FD0D8E" w:rsidRDefault="00564C66" w:rsidP="00C74EB6">
            <w:pPr>
              <w:autoSpaceDE w:val="0"/>
              <w:autoSpaceDN w:val="0"/>
              <w:adjustRightInd w:val="0"/>
              <w:jc w:val="center"/>
              <w:rPr>
                <w:kern w:val="0"/>
                <w:szCs w:val="21"/>
              </w:rPr>
            </w:pPr>
            <w:r w:rsidRPr="00FD0D8E">
              <w:rPr>
                <w:kern w:val="0"/>
                <w:szCs w:val="21"/>
              </w:rPr>
              <w:t>(0.022)</w:t>
            </w:r>
          </w:p>
        </w:tc>
        <w:tc>
          <w:tcPr>
            <w:tcW w:w="971" w:type="pct"/>
            <w:tcBorders>
              <w:top w:val="nil"/>
              <w:left w:val="nil"/>
              <w:bottom w:val="nil"/>
              <w:right w:val="nil"/>
            </w:tcBorders>
          </w:tcPr>
          <w:p w14:paraId="2ED8B033" w14:textId="77777777" w:rsidR="00564C66" w:rsidRPr="00FD0D8E" w:rsidRDefault="00564C66" w:rsidP="00C74EB6">
            <w:pPr>
              <w:autoSpaceDE w:val="0"/>
              <w:autoSpaceDN w:val="0"/>
              <w:adjustRightInd w:val="0"/>
              <w:jc w:val="center"/>
              <w:rPr>
                <w:kern w:val="0"/>
                <w:szCs w:val="21"/>
              </w:rPr>
            </w:pPr>
            <w:r w:rsidRPr="00FD0D8E">
              <w:rPr>
                <w:kern w:val="0"/>
                <w:szCs w:val="21"/>
              </w:rPr>
              <w:t>(0.014)</w:t>
            </w:r>
          </w:p>
        </w:tc>
      </w:tr>
      <w:tr w:rsidR="00564C66" w:rsidRPr="00FD0D8E" w14:paraId="3DFF6495" w14:textId="77777777" w:rsidTr="00564C66">
        <w:tc>
          <w:tcPr>
            <w:tcW w:w="1116" w:type="pct"/>
            <w:tcBorders>
              <w:top w:val="nil"/>
              <w:left w:val="nil"/>
              <w:bottom w:val="nil"/>
              <w:right w:val="nil"/>
            </w:tcBorders>
          </w:tcPr>
          <w:p w14:paraId="1C28C74B" w14:textId="77777777" w:rsidR="00564C66" w:rsidRPr="00FD0D8E" w:rsidRDefault="00564C66" w:rsidP="00C74EB6">
            <w:pPr>
              <w:autoSpaceDE w:val="0"/>
              <w:autoSpaceDN w:val="0"/>
              <w:adjustRightInd w:val="0"/>
              <w:rPr>
                <w:kern w:val="0"/>
                <w:szCs w:val="21"/>
              </w:rPr>
            </w:pPr>
            <w:r w:rsidRPr="00FD0D8E">
              <w:rPr>
                <w:kern w:val="0"/>
                <w:szCs w:val="21"/>
              </w:rPr>
              <w:t>FTA</w:t>
            </w:r>
          </w:p>
        </w:tc>
        <w:tc>
          <w:tcPr>
            <w:tcW w:w="970" w:type="pct"/>
            <w:tcBorders>
              <w:top w:val="nil"/>
              <w:left w:val="nil"/>
              <w:bottom w:val="nil"/>
              <w:right w:val="nil"/>
            </w:tcBorders>
          </w:tcPr>
          <w:p w14:paraId="63723773" w14:textId="77777777" w:rsidR="00564C66" w:rsidRPr="00FD0D8E" w:rsidRDefault="00564C66" w:rsidP="00C74EB6">
            <w:pPr>
              <w:autoSpaceDE w:val="0"/>
              <w:autoSpaceDN w:val="0"/>
              <w:adjustRightInd w:val="0"/>
              <w:jc w:val="center"/>
              <w:rPr>
                <w:kern w:val="0"/>
                <w:szCs w:val="21"/>
              </w:rPr>
            </w:pPr>
            <w:r w:rsidRPr="00FD0D8E">
              <w:rPr>
                <w:kern w:val="0"/>
                <w:szCs w:val="21"/>
              </w:rPr>
              <w:t>-0.107</w:t>
            </w:r>
            <w:r w:rsidRPr="00FD0D8E">
              <w:rPr>
                <w:kern w:val="0"/>
                <w:szCs w:val="21"/>
                <w:vertAlign w:val="superscript"/>
              </w:rPr>
              <w:t>***</w:t>
            </w:r>
          </w:p>
        </w:tc>
        <w:tc>
          <w:tcPr>
            <w:tcW w:w="972" w:type="pct"/>
            <w:tcBorders>
              <w:top w:val="nil"/>
              <w:left w:val="nil"/>
              <w:bottom w:val="nil"/>
              <w:right w:val="nil"/>
            </w:tcBorders>
          </w:tcPr>
          <w:p w14:paraId="2FC62140"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971" w:type="pct"/>
            <w:tcBorders>
              <w:top w:val="nil"/>
              <w:left w:val="nil"/>
              <w:bottom w:val="nil"/>
              <w:right w:val="nil"/>
            </w:tcBorders>
          </w:tcPr>
          <w:p w14:paraId="5EF6725C" w14:textId="77777777" w:rsidR="00564C66" w:rsidRPr="00FD0D8E" w:rsidRDefault="00564C66" w:rsidP="00C74EB6">
            <w:pPr>
              <w:autoSpaceDE w:val="0"/>
              <w:autoSpaceDN w:val="0"/>
              <w:adjustRightInd w:val="0"/>
              <w:jc w:val="center"/>
              <w:rPr>
                <w:kern w:val="0"/>
                <w:szCs w:val="21"/>
              </w:rPr>
            </w:pPr>
            <w:r w:rsidRPr="00FD0D8E">
              <w:rPr>
                <w:kern w:val="0"/>
                <w:szCs w:val="21"/>
              </w:rPr>
              <w:t>-0.043</w:t>
            </w:r>
            <w:r w:rsidRPr="00FD0D8E">
              <w:rPr>
                <w:kern w:val="0"/>
                <w:szCs w:val="21"/>
                <w:vertAlign w:val="superscript"/>
              </w:rPr>
              <w:t>*</w:t>
            </w:r>
          </w:p>
        </w:tc>
        <w:tc>
          <w:tcPr>
            <w:tcW w:w="971" w:type="pct"/>
            <w:tcBorders>
              <w:top w:val="nil"/>
              <w:left w:val="nil"/>
              <w:bottom w:val="nil"/>
              <w:right w:val="nil"/>
            </w:tcBorders>
          </w:tcPr>
          <w:p w14:paraId="2F8E12A8" w14:textId="77777777" w:rsidR="00564C66" w:rsidRPr="00FD0D8E" w:rsidRDefault="00564C66" w:rsidP="00C74EB6">
            <w:pPr>
              <w:autoSpaceDE w:val="0"/>
              <w:autoSpaceDN w:val="0"/>
              <w:adjustRightInd w:val="0"/>
              <w:jc w:val="center"/>
              <w:rPr>
                <w:kern w:val="0"/>
                <w:szCs w:val="21"/>
              </w:rPr>
            </w:pPr>
            <w:r w:rsidRPr="00FD0D8E">
              <w:rPr>
                <w:kern w:val="0"/>
                <w:szCs w:val="21"/>
              </w:rPr>
              <w:t>-0.033</w:t>
            </w:r>
            <w:r w:rsidRPr="00FD0D8E">
              <w:rPr>
                <w:kern w:val="0"/>
                <w:szCs w:val="21"/>
                <w:vertAlign w:val="superscript"/>
              </w:rPr>
              <w:t>*</w:t>
            </w:r>
          </w:p>
        </w:tc>
      </w:tr>
      <w:tr w:rsidR="00564C66" w:rsidRPr="00FD0D8E" w14:paraId="2A6E4BAD" w14:textId="77777777" w:rsidTr="00564C66">
        <w:tc>
          <w:tcPr>
            <w:tcW w:w="1116" w:type="pct"/>
            <w:tcBorders>
              <w:top w:val="nil"/>
              <w:left w:val="nil"/>
              <w:bottom w:val="nil"/>
              <w:right w:val="nil"/>
            </w:tcBorders>
          </w:tcPr>
          <w:p w14:paraId="09C289D7"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072EAB31" w14:textId="77777777" w:rsidR="00564C66" w:rsidRPr="00FD0D8E" w:rsidRDefault="00564C66" w:rsidP="00C74EB6">
            <w:pPr>
              <w:autoSpaceDE w:val="0"/>
              <w:autoSpaceDN w:val="0"/>
              <w:adjustRightInd w:val="0"/>
              <w:jc w:val="center"/>
              <w:rPr>
                <w:kern w:val="0"/>
                <w:szCs w:val="21"/>
              </w:rPr>
            </w:pPr>
            <w:r w:rsidRPr="00FD0D8E">
              <w:rPr>
                <w:kern w:val="0"/>
                <w:szCs w:val="21"/>
              </w:rPr>
              <w:t>(0.027)</w:t>
            </w:r>
          </w:p>
        </w:tc>
        <w:tc>
          <w:tcPr>
            <w:tcW w:w="972" w:type="pct"/>
            <w:tcBorders>
              <w:top w:val="nil"/>
              <w:left w:val="nil"/>
              <w:bottom w:val="nil"/>
              <w:right w:val="nil"/>
            </w:tcBorders>
          </w:tcPr>
          <w:p w14:paraId="246A1F1D" w14:textId="77777777" w:rsidR="00564C66" w:rsidRPr="00FD0D8E" w:rsidRDefault="00564C66" w:rsidP="00C74EB6">
            <w:pPr>
              <w:autoSpaceDE w:val="0"/>
              <w:autoSpaceDN w:val="0"/>
              <w:adjustRightInd w:val="0"/>
              <w:jc w:val="center"/>
              <w:rPr>
                <w:kern w:val="0"/>
                <w:szCs w:val="21"/>
              </w:rPr>
            </w:pPr>
            <w:r w:rsidRPr="00FD0D8E">
              <w:rPr>
                <w:kern w:val="0"/>
                <w:szCs w:val="21"/>
              </w:rPr>
              <w:t>(0.017)</w:t>
            </w:r>
          </w:p>
        </w:tc>
        <w:tc>
          <w:tcPr>
            <w:tcW w:w="971" w:type="pct"/>
            <w:tcBorders>
              <w:top w:val="nil"/>
              <w:left w:val="nil"/>
              <w:bottom w:val="nil"/>
              <w:right w:val="nil"/>
            </w:tcBorders>
          </w:tcPr>
          <w:p w14:paraId="16386ABD" w14:textId="77777777" w:rsidR="00564C66" w:rsidRPr="00FD0D8E" w:rsidRDefault="00564C66" w:rsidP="00C74EB6">
            <w:pPr>
              <w:autoSpaceDE w:val="0"/>
              <w:autoSpaceDN w:val="0"/>
              <w:adjustRightInd w:val="0"/>
              <w:jc w:val="center"/>
              <w:rPr>
                <w:kern w:val="0"/>
                <w:szCs w:val="21"/>
              </w:rPr>
            </w:pPr>
            <w:r w:rsidRPr="00FD0D8E">
              <w:rPr>
                <w:kern w:val="0"/>
                <w:szCs w:val="21"/>
              </w:rPr>
              <w:t>(0.022)</w:t>
            </w:r>
          </w:p>
        </w:tc>
        <w:tc>
          <w:tcPr>
            <w:tcW w:w="971" w:type="pct"/>
            <w:tcBorders>
              <w:top w:val="nil"/>
              <w:left w:val="nil"/>
              <w:bottom w:val="nil"/>
              <w:right w:val="nil"/>
            </w:tcBorders>
          </w:tcPr>
          <w:p w14:paraId="0D6387EA" w14:textId="77777777" w:rsidR="00564C66" w:rsidRPr="00FD0D8E" w:rsidRDefault="00564C66" w:rsidP="00C74EB6">
            <w:pPr>
              <w:autoSpaceDE w:val="0"/>
              <w:autoSpaceDN w:val="0"/>
              <w:adjustRightInd w:val="0"/>
              <w:jc w:val="center"/>
              <w:rPr>
                <w:kern w:val="0"/>
                <w:szCs w:val="21"/>
              </w:rPr>
            </w:pPr>
            <w:r w:rsidRPr="00FD0D8E">
              <w:rPr>
                <w:kern w:val="0"/>
                <w:szCs w:val="21"/>
              </w:rPr>
              <w:t>(0.018)</w:t>
            </w:r>
          </w:p>
        </w:tc>
      </w:tr>
      <w:tr w:rsidR="00564C66" w:rsidRPr="00FD0D8E" w14:paraId="0701B7FB" w14:textId="77777777" w:rsidTr="00564C66">
        <w:tc>
          <w:tcPr>
            <w:tcW w:w="1116" w:type="pct"/>
            <w:tcBorders>
              <w:top w:val="nil"/>
              <w:left w:val="nil"/>
              <w:bottom w:val="nil"/>
              <w:right w:val="nil"/>
            </w:tcBorders>
          </w:tcPr>
          <w:p w14:paraId="645A022A" w14:textId="77777777" w:rsidR="00564C66" w:rsidRPr="00FD0D8E" w:rsidRDefault="00564C66" w:rsidP="00C74EB6">
            <w:pPr>
              <w:autoSpaceDE w:val="0"/>
              <w:autoSpaceDN w:val="0"/>
              <w:adjustRightInd w:val="0"/>
              <w:rPr>
                <w:kern w:val="0"/>
                <w:szCs w:val="21"/>
              </w:rPr>
            </w:pPr>
            <w:r w:rsidRPr="00FD0D8E">
              <w:rPr>
                <w:kern w:val="0"/>
                <w:szCs w:val="21"/>
              </w:rPr>
              <w:t>Cash</w:t>
            </w:r>
          </w:p>
        </w:tc>
        <w:tc>
          <w:tcPr>
            <w:tcW w:w="970" w:type="pct"/>
            <w:tcBorders>
              <w:top w:val="nil"/>
              <w:left w:val="nil"/>
              <w:bottom w:val="nil"/>
              <w:right w:val="nil"/>
            </w:tcBorders>
          </w:tcPr>
          <w:p w14:paraId="6C11E8AF" w14:textId="77777777" w:rsidR="00564C66" w:rsidRPr="00FD0D8E" w:rsidRDefault="00564C66" w:rsidP="00C74EB6">
            <w:pPr>
              <w:autoSpaceDE w:val="0"/>
              <w:autoSpaceDN w:val="0"/>
              <w:adjustRightInd w:val="0"/>
              <w:jc w:val="center"/>
              <w:rPr>
                <w:kern w:val="0"/>
                <w:szCs w:val="21"/>
              </w:rPr>
            </w:pPr>
            <w:r w:rsidRPr="00FD0D8E">
              <w:rPr>
                <w:kern w:val="0"/>
                <w:szCs w:val="21"/>
              </w:rPr>
              <w:t>-0.066</w:t>
            </w:r>
          </w:p>
        </w:tc>
        <w:tc>
          <w:tcPr>
            <w:tcW w:w="972" w:type="pct"/>
            <w:tcBorders>
              <w:top w:val="nil"/>
              <w:left w:val="nil"/>
              <w:bottom w:val="nil"/>
              <w:right w:val="nil"/>
            </w:tcBorders>
          </w:tcPr>
          <w:p w14:paraId="06188334" w14:textId="77777777" w:rsidR="00564C66" w:rsidRPr="00FD0D8E" w:rsidRDefault="00564C66"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c>
          <w:tcPr>
            <w:tcW w:w="971" w:type="pct"/>
            <w:tcBorders>
              <w:top w:val="nil"/>
              <w:left w:val="nil"/>
              <w:bottom w:val="nil"/>
              <w:right w:val="nil"/>
            </w:tcBorders>
          </w:tcPr>
          <w:p w14:paraId="756E1EA8" w14:textId="77777777" w:rsidR="00564C66" w:rsidRPr="00FD0D8E" w:rsidRDefault="00564C66" w:rsidP="00C74EB6">
            <w:pPr>
              <w:autoSpaceDE w:val="0"/>
              <w:autoSpaceDN w:val="0"/>
              <w:adjustRightInd w:val="0"/>
              <w:jc w:val="center"/>
              <w:rPr>
                <w:kern w:val="0"/>
                <w:szCs w:val="21"/>
              </w:rPr>
            </w:pPr>
            <w:r w:rsidRPr="00FD0D8E">
              <w:rPr>
                <w:kern w:val="0"/>
                <w:szCs w:val="21"/>
              </w:rPr>
              <w:t>0.027</w:t>
            </w:r>
          </w:p>
        </w:tc>
        <w:tc>
          <w:tcPr>
            <w:tcW w:w="971" w:type="pct"/>
            <w:tcBorders>
              <w:top w:val="nil"/>
              <w:left w:val="nil"/>
              <w:bottom w:val="nil"/>
              <w:right w:val="nil"/>
            </w:tcBorders>
          </w:tcPr>
          <w:p w14:paraId="1C9AF8C9" w14:textId="77777777" w:rsidR="00564C66" w:rsidRPr="00FD0D8E" w:rsidRDefault="00564C66" w:rsidP="00C74EB6">
            <w:pPr>
              <w:autoSpaceDE w:val="0"/>
              <w:autoSpaceDN w:val="0"/>
              <w:adjustRightInd w:val="0"/>
              <w:jc w:val="center"/>
              <w:rPr>
                <w:kern w:val="0"/>
                <w:szCs w:val="21"/>
              </w:rPr>
            </w:pPr>
            <w:r w:rsidRPr="00FD0D8E">
              <w:rPr>
                <w:kern w:val="0"/>
                <w:szCs w:val="21"/>
              </w:rPr>
              <w:t>0.012</w:t>
            </w:r>
          </w:p>
        </w:tc>
      </w:tr>
      <w:tr w:rsidR="00564C66" w:rsidRPr="00FD0D8E" w14:paraId="47795146" w14:textId="77777777" w:rsidTr="00564C66">
        <w:tc>
          <w:tcPr>
            <w:tcW w:w="1116" w:type="pct"/>
            <w:tcBorders>
              <w:top w:val="nil"/>
              <w:left w:val="nil"/>
              <w:bottom w:val="nil"/>
              <w:right w:val="nil"/>
            </w:tcBorders>
          </w:tcPr>
          <w:p w14:paraId="67FBDC37"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443C277C" w14:textId="77777777" w:rsidR="00564C66" w:rsidRPr="00FD0D8E" w:rsidRDefault="00564C66" w:rsidP="00C74EB6">
            <w:pPr>
              <w:autoSpaceDE w:val="0"/>
              <w:autoSpaceDN w:val="0"/>
              <w:adjustRightInd w:val="0"/>
              <w:jc w:val="center"/>
              <w:rPr>
                <w:kern w:val="0"/>
                <w:szCs w:val="21"/>
              </w:rPr>
            </w:pPr>
            <w:r w:rsidRPr="00FD0D8E">
              <w:rPr>
                <w:kern w:val="0"/>
                <w:szCs w:val="21"/>
              </w:rPr>
              <w:t>(0.042)</w:t>
            </w:r>
          </w:p>
        </w:tc>
        <w:tc>
          <w:tcPr>
            <w:tcW w:w="972" w:type="pct"/>
            <w:tcBorders>
              <w:top w:val="nil"/>
              <w:left w:val="nil"/>
              <w:bottom w:val="nil"/>
              <w:right w:val="nil"/>
            </w:tcBorders>
          </w:tcPr>
          <w:p w14:paraId="52C3A367" w14:textId="77777777" w:rsidR="00564C66" w:rsidRPr="00FD0D8E" w:rsidRDefault="00564C66" w:rsidP="00C74EB6">
            <w:pPr>
              <w:autoSpaceDE w:val="0"/>
              <w:autoSpaceDN w:val="0"/>
              <w:adjustRightInd w:val="0"/>
              <w:jc w:val="center"/>
              <w:rPr>
                <w:kern w:val="0"/>
                <w:szCs w:val="21"/>
              </w:rPr>
            </w:pPr>
            <w:r w:rsidRPr="00FD0D8E">
              <w:rPr>
                <w:kern w:val="0"/>
                <w:szCs w:val="21"/>
              </w:rPr>
              <w:t>(0.017)</w:t>
            </w:r>
          </w:p>
        </w:tc>
        <w:tc>
          <w:tcPr>
            <w:tcW w:w="971" w:type="pct"/>
            <w:tcBorders>
              <w:top w:val="nil"/>
              <w:left w:val="nil"/>
              <w:bottom w:val="nil"/>
              <w:right w:val="nil"/>
            </w:tcBorders>
          </w:tcPr>
          <w:p w14:paraId="36607AB7" w14:textId="77777777" w:rsidR="00564C66" w:rsidRPr="00FD0D8E" w:rsidRDefault="00564C66" w:rsidP="00C74EB6">
            <w:pPr>
              <w:autoSpaceDE w:val="0"/>
              <w:autoSpaceDN w:val="0"/>
              <w:adjustRightInd w:val="0"/>
              <w:jc w:val="center"/>
              <w:rPr>
                <w:kern w:val="0"/>
                <w:szCs w:val="21"/>
              </w:rPr>
            </w:pPr>
            <w:r w:rsidRPr="00FD0D8E">
              <w:rPr>
                <w:kern w:val="0"/>
                <w:szCs w:val="21"/>
              </w:rPr>
              <w:t>(0.033)</w:t>
            </w:r>
          </w:p>
        </w:tc>
        <w:tc>
          <w:tcPr>
            <w:tcW w:w="971" w:type="pct"/>
            <w:tcBorders>
              <w:top w:val="nil"/>
              <w:left w:val="nil"/>
              <w:bottom w:val="nil"/>
              <w:right w:val="nil"/>
            </w:tcBorders>
          </w:tcPr>
          <w:p w14:paraId="2E507F38" w14:textId="77777777" w:rsidR="00564C66" w:rsidRPr="00FD0D8E" w:rsidRDefault="00564C66" w:rsidP="00C74EB6">
            <w:pPr>
              <w:autoSpaceDE w:val="0"/>
              <w:autoSpaceDN w:val="0"/>
              <w:adjustRightInd w:val="0"/>
              <w:jc w:val="center"/>
              <w:rPr>
                <w:kern w:val="0"/>
                <w:szCs w:val="21"/>
              </w:rPr>
            </w:pPr>
            <w:r w:rsidRPr="00FD0D8E">
              <w:rPr>
                <w:kern w:val="0"/>
                <w:szCs w:val="21"/>
              </w:rPr>
              <w:t>(0.017)</w:t>
            </w:r>
          </w:p>
        </w:tc>
      </w:tr>
      <w:tr w:rsidR="00564C66" w:rsidRPr="00FD0D8E" w14:paraId="31FCA3EB" w14:textId="77777777" w:rsidTr="00564C66">
        <w:tc>
          <w:tcPr>
            <w:tcW w:w="1116" w:type="pct"/>
            <w:tcBorders>
              <w:top w:val="nil"/>
              <w:left w:val="nil"/>
              <w:bottom w:val="nil"/>
              <w:right w:val="nil"/>
            </w:tcBorders>
          </w:tcPr>
          <w:p w14:paraId="142FD308" w14:textId="77777777" w:rsidR="00564C66" w:rsidRPr="00FD0D8E" w:rsidRDefault="00564C66" w:rsidP="00C74EB6">
            <w:pPr>
              <w:autoSpaceDE w:val="0"/>
              <w:autoSpaceDN w:val="0"/>
              <w:adjustRightInd w:val="0"/>
              <w:rPr>
                <w:kern w:val="0"/>
                <w:szCs w:val="21"/>
              </w:rPr>
            </w:pPr>
            <w:r w:rsidRPr="00FD0D8E">
              <w:rPr>
                <w:kern w:val="0"/>
                <w:szCs w:val="21"/>
              </w:rPr>
              <w:t>Volatility</w:t>
            </w:r>
          </w:p>
        </w:tc>
        <w:tc>
          <w:tcPr>
            <w:tcW w:w="970" w:type="pct"/>
            <w:tcBorders>
              <w:top w:val="nil"/>
              <w:left w:val="nil"/>
              <w:bottom w:val="nil"/>
              <w:right w:val="nil"/>
            </w:tcBorders>
          </w:tcPr>
          <w:p w14:paraId="09BFA344" w14:textId="77777777" w:rsidR="00564C66" w:rsidRPr="00FD0D8E" w:rsidRDefault="00564C66" w:rsidP="00C74EB6">
            <w:pPr>
              <w:autoSpaceDE w:val="0"/>
              <w:autoSpaceDN w:val="0"/>
              <w:adjustRightInd w:val="0"/>
              <w:jc w:val="center"/>
              <w:rPr>
                <w:kern w:val="0"/>
                <w:szCs w:val="21"/>
              </w:rPr>
            </w:pPr>
            <w:r w:rsidRPr="00FD0D8E">
              <w:rPr>
                <w:kern w:val="0"/>
                <w:szCs w:val="21"/>
              </w:rPr>
              <w:t>-0.041</w:t>
            </w:r>
          </w:p>
        </w:tc>
        <w:tc>
          <w:tcPr>
            <w:tcW w:w="972" w:type="pct"/>
            <w:tcBorders>
              <w:top w:val="nil"/>
              <w:left w:val="nil"/>
              <w:bottom w:val="nil"/>
              <w:right w:val="nil"/>
            </w:tcBorders>
          </w:tcPr>
          <w:p w14:paraId="17E71483" w14:textId="77777777" w:rsidR="00564C66" w:rsidRPr="00FD0D8E" w:rsidRDefault="00564C66" w:rsidP="00C74EB6">
            <w:pPr>
              <w:autoSpaceDE w:val="0"/>
              <w:autoSpaceDN w:val="0"/>
              <w:adjustRightInd w:val="0"/>
              <w:jc w:val="center"/>
              <w:rPr>
                <w:kern w:val="0"/>
                <w:szCs w:val="21"/>
              </w:rPr>
            </w:pPr>
            <w:r w:rsidRPr="00FD0D8E">
              <w:rPr>
                <w:kern w:val="0"/>
                <w:szCs w:val="21"/>
              </w:rPr>
              <w:t>0.112</w:t>
            </w:r>
            <w:r w:rsidRPr="00FD0D8E">
              <w:rPr>
                <w:kern w:val="0"/>
                <w:szCs w:val="21"/>
                <w:vertAlign w:val="superscript"/>
              </w:rPr>
              <w:t>***</w:t>
            </w:r>
          </w:p>
        </w:tc>
        <w:tc>
          <w:tcPr>
            <w:tcW w:w="971" w:type="pct"/>
            <w:tcBorders>
              <w:top w:val="nil"/>
              <w:left w:val="nil"/>
              <w:bottom w:val="nil"/>
              <w:right w:val="nil"/>
            </w:tcBorders>
          </w:tcPr>
          <w:p w14:paraId="170AB0E5" w14:textId="77777777" w:rsidR="00564C66" w:rsidRPr="00FD0D8E" w:rsidRDefault="00564C66" w:rsidP="00C74EB6">
            <w:pPr>
              <w:autoSpaceDE w:val="0"/>
              <w:autoSpaceDN w:val="0"/>
              <w:adjustRightInd w:val="0"/>
              <w:jc w:val="center"/>
              <w:rPr>
                <w:kern w:val="0"/>
                <w:szCs w:val="21"/>
              </w:rPr>
            </w:pPr>
            <w:r w:rsidRPr="00FD0D8E">
              <w:rPr>
                <w:kern w:val="0"/>
                <w:szCs w:val="21"/>
              </w:rPr>
              <w:t>0.068</w:t>
            </w:r>
          </w:p>
        </w:tc>
        <w:tc>
          <w:tcPr>
            <w:tcW w:w="971" w:type="pct"/>
            <w:tcBorders>
              <w:top w:val="nil"/>
              <w:left w:val="nil"/>
              <w:bottom w:val="nil"/>
              <w:right w:val="nil"/>
            </w:tcBorders>
          </w:tcPr>
          <w:p w14:paraId="103109BA" w14:textId="77777777" w:rsidR="00564C66" w:rsidRPr="00FD0D8E" w:rsidRDefault="00564C66" w:rsidP="00C74EB6">
            <w:pPr>
              <w:autoSpaceDE w:val="0"/>
              <w:autoSpaceDN w:val="0"/>
              <w:adjustRightInd w:val="0"/>
              <w:jc w:val="center"/>
              <w:rPr>
                <w:kern w:val="0"/>
                <w:szCs w:val="21"/>
              </w:rPr>
            </w:pPr>
            <w:r w:rsidRPr="00FD0D8E">
              <w:rPr>
                <w:kern w:val="0"/>
                <w:szCs w:val="21"/>
              </w:rPr>
              <w:t>0.085</w:t>
            </w:r>
            <w:r w:rsidRPr="00FD0D8E">
              <w:rPr>
                <w:kern w:val="0"/>
                <w:szCs w:val="21"/>
                <w:vertAlign w:val="superscript"/>
              </w:rPr>
              <w:t>***</w:t>
            </w:r>
          </w:p>
        </w:tc>
      </w:tr>
      <w:tr w:rsidR="00564C66" w:rsidRPr="00FD0D8E" w14:paraId="65395E76" w14:textId="77777777" w:rsidTr="00564C66">
        <w:tc>
          <w:tcPr>
            <w:tcW w:w="1116" w:type="pct"/>
            <w:tcBorders>
              <w:top w:val="nil"/>
              <w:left w:val="nil"/>
              <w:bottom w:val="nil"/>
              <w:right w:val="nil"/>
            </w:tcBorders>
          </w:tcPr>
          <w:p w14:paraId="442941FE"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7DD57C05" w14:textId="77777777" w:rsidR="00564C66" w:rsidRPr="00FD0D8E" w:rsidRDefault="00564C66" w:rsidP="00C74EB6">
            <w:pPr>
              <w:autoSpaceDE w:val="0"/>
              <w:autoSpaceDN w:val="0"/>
              <w:adjustRightInd w:val="0"/>
              <w:jc w:val="center"/>
              <w:rPr>
                <w:kern w:val="0"/>
                <w:szCs w:val="21"/>
              </w:rPr>
            </w:pPr>
            <w:r w:rsidRPr="00FD0D8E">
              <w:rPr>
                <w:kern w:val="0"/>
                <w:szCs w:val="21"/>
              </w:rPr>
              <w:t>(0.073)</w:t>
            </w:r>
          </w:p>
        </w:tc>
        <w:tc>
          <w:tcPr>
            <w:tcW w:w="972" w:type="pct"/>
            <w:tcBorders>
              <w:top w:val="nil"/>
              <w:left w:val="nil"/>
              <w:bottom w:val="nil"/>
              <w:right w:val="nil"/>
            </w:tcBorders>
          </w:tcPr>
          <w:p w14:paraId="0203C85A" w14:textId="77777777" w:rsidR="00564C66" w:rsidRPr="00FD0D8E" w:rsidRDefault="00564C66" w:rsidP="00C74EB6">
            <w:pPr>
              <w:autoSpaceDE w:val="0"/>
              <w:autoSpaceDN w:val="0"/>
              <w:adjustRightInd w:val="0"/>
              <w:jc w:val="center"/>
              <w:rPr>
                <w:kern w:val="0"/>
                <w:szCs w:val="21"/>
              </w:rPr>
            </w:pPr>
            <w:r w:rsidRPr="00FD0D8E">
              <w:rPr>
                <w:kern w:val="0"/>
                <w:szCs w:val="21"/>
              </w:rPr>
              <w:t>(0.030)</w:t>
            </w:r>
          </w:p>
        </w:tc>
        <w:tc>
          <w:tcPr>
            <w:tcW w:w="971" w:type="pct"/>
            <w:tcBorders>
              <w:top w:val="nil"/>
              <w:left w:val="nil"/>
              <w:bottom w:val="nil"/>
              <w:right w:val="nil"/>
            </w:tcBorders>
          </w:tcPr>
          <w:p w14:paraId="6629D3F9" w14:textId="77777777" w:rsidR="00564C66" w:rsidRPr="00FD0D8E" w:rsidRDefault="00564C66" w:rsidP="00C74EB6">
            <w:pPr>
              <w:autoSpaceDE w:val="0"/>
              <w:autoSpaceDN w:val="0"/>
              <w:adjustRightInd w:val="0"/>
              <w:jc w:val="center"/>
              <w:rPr>
                <w:kern w:val="0"/>
                <w:szCs w:val="21"/>
              </w:rPr>
            </w:pPr>
            <w:r w:rsidRPr="00FD0D8E">
              <w:rPr>
                <w:kern w:val="0"/>
                <w:szCs w:val="21"/>
              </w:rPr>
              <w:t>(0.055)</w:t>
            </w:r>
          </w:p>
        </w:tc>
        <w:tc>
          <w:tcPr>
            <w:tcW w:w="971" w:type="pct"/>
            <w:tcBorders>
              <w:top w:val="nil"/>
              <w:left w:val="nil"/>
              <w:bottom w:val="nil"/>
              <w:right w:val="nil"/>
            </w:tcBorders>
          </w:tcPr>
          <w:p w14:paraId="6DB5E8E6" w14:textId="77777777" w:rsidR="00564C66" w:rsidRPr="00FD0D8E" w:rsidRDefault="00564C66" w:rsidP="00C74EB6">
            <w:pPr>
              <w:autoSpaceDE w:val="0"/>
              <w:autoSpaceDN w:val="0"/>
              <w:adjustRightInd w:val="0"/>
              <w:jc w:val="center"/>
              <w:rPr>
                <w:kern w:val="0"/>
                <w:szCs w:val="21"/>
              </w:rPr>
            </w:pPr>
            <w:r w:rsidRPr="00FD0D8E">
              <w:rPr>
                <w:kern w:val="0"/>
                <w:szCs w:val="21"/>
              </w:rPr>
              <w:t>(0.031)</w:t>
            </w:r>
          </w:p>
        </w:tc>
      </w:tr>
      <w:tr w:rsidR="00564C66" w:rsidRPr="00FD0D8E" w14:paraId="2AA068F6" w14:textId="77777777" w:rsidTr="00564C66">
        <w:tc>
          <w:tcPr>
            <w:tcW w:w="1116" w:type="pct"/>
            <w:tcBorders>
              <w:top w:val="nil"/>
              <w:left w:val="nil"/>
              <w:bottom w:val="nil"/>
              <w:right w:val="nil"/>
            </w:tcBorders>
          </w:tcPr>
          <w:p w14:paraId="64E9D119" w14:textId="77777777" w:rsidR="00564C66" w:rsidRPr="00FD0D8E" w:rsidRDefault="00564C66" w:rsidP="00C74EB6">
            <w:pPr>
              <w:autoSpaceDE w:val="0"/>
              <w:autoSpaceDN w:val="0"/>
              <w:adjustRightInd w:val="0"/>
              <w:rPr>
                <w:kern w:val="0"/>
                <w:szCs w:val="21"/>
              </w:rPr>
            </w:pPr>
            <w:r w:rsidRPr="00FD0D8E">
              <w:rPr>
                <w:kern w:val="0"/>
                <w:szCs w:val="21"/>
              </w:rPr>
              <w:t>PB</w:t>
            </w:r>
          </w:p>
        </w:tc>
        <w:tc>
          <w:tcPr>
            <w:tcW w:w="970" w:type="pct"/>
            <w:tcBorders>
              <w:top w:val="nil"/>
              <w:left w:val="nil"/>
              <w:bottom w:val="nil"/>
              <w:right w:val="nil"/>
            </w:tcBorders>
          </w:tcPr>
          <w:p w14:paraId="79078C10"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2" w:type="pct"/>
            <w:tcBorders>
              <w:top w:val="nil"/>
              <w:left w:val="nil"/>
              <w:bottom w:val="nil"/>
              <w:right w:val="nil"/>
            </w:tcBorders>
          </w:tcPr>
          <w:p w14:paraId="319535CD"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1" w:type="pct"/>
            <w:tcBorders>
              <w:top w:val="nil"/>
              <w:left w:val="nil"/>
              <w:bottom w:val="nil"/>
              <w:right w:val="nil"/>
            </w:tcBorders>
          </w:tcPr>
          <w:p w14:paraId="443DDA35"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1" w:type="pct"/>
            <w:tcBorders>
              <w:top w:val="nil"/>
              <w:left w:val="nil"/>
              <w:bottom w:val="nil"/>
              <w:right w:val="nil"/>
            </w:tcBorders>
          </w:tcPr>
          <w:p w14:paraId="13E8E9D7"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r>
      <w:tr w:rsidR="00564C66" w:rsidRPr="00FD0D8E" w14:paraId="5CF5673E" w14:textId="77777777" w:rsidTr="00564C66">
        <w:tc>
          <w:tcPr>
            <w:tcW w:w="1116" w:type="pct"/>
            <w:tcBorders>
              <w:top w:val="nil"/>
              <w:left w:val="nil"/>
              <w:bottom w:val="nil"/>
              <w:right w:val="nil"/>
            </w:tcBorders>
          </w:tcPr>
          <w:p w14:paraId="66E76175"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5592B944" w14:textId="77777777" w:rsidR="00564C66" w:rsidRPr="00FD0D8E" w:rsidRDefault="00564C66" w:rsidP="00C74EB6">
            <w:pPr>
              <w:autoSpaceDE w:val="0"/>
              <w:autoSpaceDN w:val="0"/>
              <w:adjustRightInd w:val="0"/>
              <w:jc w:val="center"/>
              <w:rPr>
                <w:kern w:val="0"/>
                <w:szCs w:val="21"/>
              </w:rPr>
            </w:pPr>
            <w:r w:rsidRPr="00FD0D8E">
              <w:rPr>
                <w:kern w:val="0"/>
                <w:szCs w:val="21"/>
              </w:rPr>
              <w:t>(0.003)</w:t>
            </w:r>
          </w:p>
        </w:tc>
        <w:tc>
          <w:tcPr>
            <w:tcW w:w="972" w:type="pct"/>
            <w:tcBorders>
              <w:top w:val="nil"/>
              <w:left w:val="nil"/>
              <w:bottom w:val="nil"/>
              <w:right w:val="nil"/>
            </w:tcBorders>
          </w:tcPr>
          <w:p w14:paraId="78DA57E4"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1" w:type="pct"/>
            <w:tcBorders>
              <w:top w:val="nil"/>
              <w:left w:val="nil"/>
              <w:bottom w:val="nil"/>
              <w:right w:val="nil"/>
            </w:tcBorders>
          </w:tcPr>
          <w:p w14:paraId="6B6ABF22" w14:textId="77777777" w:rsidR="00564C66" w:rsidRPr="00FD0D8E" w:rsidRDefault="00564C66" w:rsidP="00C74EB6">
            <w:pPr>
              <w:autoSpaceDE w:val="0"/>
              <w:autoSpaceDN w:val="0"/>
              <w:adjustRightInd w:val="0"/>
              <w:jc w:val="center"/>
              <w:rPr>
                <w:kern w:val="0"/>
                <w:szCs w:val="21"/>
              </w:rPr>
            </w:pPr>
            <w:r w:rsidRPr="00FD0D8E">
              <w:rPr>
                <w:kern w:val="0"/>
                <w:szCs w:val="21"/>
              </w:rPr>
              <w:t>(0.002)</w:t>
            </w:r>
          </w:p>
        </w:tc>
        <w:tc>
          <w:tcPr>
            <w:tcW w:w="971" w:type="pct"/>
            <w:tcBorders>
              <w:top w:val="nil"/>
              <w:left w:val="nil"/>
              <w:bottom w:val="nil"/>
              <w:right w:val="nil"/>
            </w:tcBorders>
          </w:tcPr>
          <w:p w14:paraId="79337E8C"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r>
      <w:tr w:rsidR="00564C66" w:rsidRPr="00FD0D8E" w14:paraId="68C8330C" w14:textId="77777777" w:rsidTr="00564C66">
        <w:tc>
          <w:tcPr>
            <w:tcW w:w="1116" w:type="pct"/>
            <w:tcBorders>
              <w:top w:val="nil"/>
              <w:left w:val="nil"/>
              <w:bottom w:val="nil"/>
              <w:right w:val="nil"/>
            </w:tcBorders>
          </w:tcPr>
          <w:p w14:paraId="4D86B07B" w14:textId="77777777" w:rsidR="00564C66" w:rsidRPr="00FD0D8E" w:rsidRDefault="00564C66" w:rsidP="00C74EB6">
            <w:pPr>
              <w:autoSpaceDE w:val="0"/>
              <w:autoSpaceDN w:val="0"/>
              <w:adjustRightInd w:val="0"/>
              <w:rPr>
                <w:kern w:val="0"/>
                <w:szCs w:val="21"/>
              </w:rPr>
            </w:pPr>
            <w:proofErr w:type="spellStart"/>
            <w:r w:rsidRPr="00FD0D8E">
              <w:rPr>
                <w:kern w:val="0"/>
                <w:szCs w:val="21"/>
              </w:rPr>
              <w:t>GrowthRev</w:t>
            </w:r>
            <w:proofErr w:type="spellEnd"/>
          </w:p>
        </w:tc>
        <w:tc>
          <w:tcPr>
            <w:tcW w:w="970" w:type="pct"/>
            <w:tcBorders>
              <w:top w:val="nil"/>
              <w:left w:val="nil"/>
              <w:bottom w:val="nil"/>
              <w:right w:val="nil"/>
            </w:tcBorders>
          </w:tcPr>
          <w:p w14:paraId="432D3B4C" w14:textId="77777777" w:rsidR="00564C66" w:rsidRPr="00FD0D8E" w:rsidRDefault="00564C66" w:rsidP="00C74EB6">
            <w:pPr>
              <w:autoSpaceDE w:val="0"/>
              <w:autoSpaceDN w:val="0"/>
              <w:adjustRightInd w:val="0"/>
              <w:jc w:val="center"/>
              <w:rPr>
                <w:kern w:val="0"/>
                <w:szCs w:val="21"/>
              </w:rPr>
            </w:pPr>
            <w:r w:rsidRPr="00FD0D8E">
              <w:rPr>
                <w:kern w:val="0"/>
                <w:szCs w:val="21"/>
              </w:rPr>
              <w:t>0.017</w:t>
            </w:r>
          </w:p>
        </w:tc>
        <w:tc>
          <w:tcPr>
            <w:tcW w:w="972" w:type="pct"/>
            <w:tcBorders>
              <w:top w:val="nil"/>
              <w:left w:val="nil"/>
              <w:bottom w:val="nil"/>
              <w:right w:val="nil"/>
            </w:tcBorders>
          </w:tcPr>
          <w:p w14:paraId="39489991" w14:textId="77777777" w:rsidR="00564C66" w:rsidRPr="00FD0D8E" w:rsidRDefault="00564C66" w:rsidP="00C74EB6">
            <w:pPr>
              <w:autoSpaceDE w:val="0"/>
              <w:autoSpaceDN w:val="0"/>
              <w:adjustRightInd w:val="0"/>
              <w:jc w:val="center"/>
              <w:rPr>
                <w:kern w:val="0"/>
                <w:szCs w:val="21"/>
              </w:rPr>
            </w:pPr>
            <w:r w:rsidRPr="00FD0D8E">
              <w:rPr>
                <w:kern w:val="0"/>
                <w:szCs w:val="21"/>
              </w:rPr>
              <w:t>0.004</w:t>
            </w:r>
          </w:p>
        </w:tc>
        <w:tc>
          <w:tcPr>
            <w:tcW w:w="971" w:type="pct"/>
            <w:tcBorders>
              <w:top w:val="nil"/>
              <w:left w:val="nil"/>
              <w:bottom w:val="nil"/>
              <w:right w:val="nil"/>
            </w:tcBorders>
          </w:tcPr>
          <w:p w14:paraId="31382A0A" w14:textId="77777777" w:rsidR="00564C66" w:rsidRPr="00FD0D8E" w:rsidRDefault="00564C66" w:rsidP="00C74EB6">
            <w:pPr>
              <w:autoSpaceDE w:val="0"/>
              <w:autoSpaceDN w:val="0"/>
              <w:adjustRightInd w:val="0"/>
              <w:jc w:val="center"/>
              <w:rPr>
                <w:kern w:val="0"/>
                <w:szCs w:val="21"/>
              </w:rPr>
            </w:pPr>
            <w:r w:rsidRPr="00FD0D8E">
              <w:rPr>
                <w:kern w:val="0"/>
                <w:szCs w:val="21"/>
              </w:rPr>
              <w:t>-0.003</w:t>
            </w:r>
          </w:p>
        </w:tc>
        <w:tc>
          <w:tcPr>
            <w:tcW w:w="971" w:type="pct"/>
            <w:tcBorders>
              <w:top w:val="nil"/>
              <w:left w:val="nil"/>
              <w:bottom w:val="nil"/>
              <w:right w:val="nil"/>
            </w:tcBorders>
          </w:tcPr>
          <w:p w14:paraId="52B19DB8" w14:textId="77777777" w:rsidR="00564C66" w:rsidRPr="00FD0D8E" w:rsidRDefault="00564C66" w:rsidP="00C74EB6">
            <w:pPr>
              <w:autoSpaceDE w:val="0"/>
              <w:autoSpaceDN w:val="0"/>
              <w:adjustRightInd w:val="0"/>
              <w:jc w:val="center"/>
              <w:rPr>
                <w:kern w:val="0"/>
                <w:szCs w:val="21"/>
              </w:rPr>
            </w:pPr>
            <w:r w:rsidRPr="00FD0D8E">
              <w:rPr>
                <w:kern w:val="0"/>
                <w:szCs w:val="21"/>
              </w:rPr>
              <w:t>0.014</w:t>
            </w:r>
            <w:r w:rsidRPr="00FD0D8E">
              <w:rPr>
                <w:kern w:val="0"/>
                <w:szCs w:val="21"/>
                <w:vertAlign w:val="superscript"/>
              </w:rPr>
              <w:t>***</w:t>
            </w:r>
          </w:p>
        </w:tc>
      </w:tr>
      <w:tr w:rsidR="00564C66" w:rsidRPr="00FD0D8E" w14:paraId="3DDE1DC0" w14:textId="77777777" w:rsidTr="00564C66">
        <w:tc>
          <w:tcPr>
            <w:tcW w:w="1116" w:type="pct"/>
            <w:tcBorders>
              <w:top w:val="nil"/>
              <w:left w:val="nil"/>
              <w:bottom w:val="nil"/>
              <w:right w:val="nil"/>
            </w:tcBorders>
          </w:tcPr>
          <w:p w14:paraId="635B3F8E"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3EA20F84" w14:textId="77777777" w:rsidR="00564C66" w:rsidRPr="00FD0D8E" w:rsidRDefault="00564C66" w:rsidP="00C74EB6">
            <w:pPr>
              <w:autoSpaceDE w:val="0"/>
              <w:autoSpaceDN w:val="0"/>
              <w:adjustRightInd w:val="0"/>
              <w:jc w:val="center"/>
              <w:rPr>
                <w:kern w:val="0"/>
                <w:szCs w:val="21"/>
              </w:rPr>
            </w:pPr>
            <w:r w:rsidRPr="00FD0D8E">
              <w:rPr>
                <w:kern w:val="0"/>
                <w:szCs w:val="21"/>
              </w:rPr>
              <w:t>(0.012)</w:t>
            </w:r>
          </w:p>
        </w:tc>
        <w:tc>
          <w:tcPr>
            <w:tcW w:w="972" w:type="pct"/>
            <w:tcBorders>
              <w:top w:val="nil"/>
              <w:left w:val="nil"/>
              <w:bottom w:val="nil"/>
              <w:right w:val="nil"/>
            </w:tcBorders>
          </w:tcPr>
          <w:p w14:paraId="6A3A0821" w14:textId="77777777" w:rsidR="00564C66" w:rsidRPr="00FD0D8E" w:rsidRDefault="00564C66" w:rsidP="00C74EB6">
            <w:pPr>
              <w:autoSpaceDE w:val="0"/>
              <w:autoSpaceDN w:val="0"/>
              <w:adjustRightInd w:val="0"/>
              <w:jc w:val="center"/>
              <w:rPr>
                <w:kern w:val="0"/>
                <w:szCs w:val="21"/>
              </w:rPr>
            </w:pPr>
            <w:r w:rsidRPr="00FD0D8E">
              <w:rPr>
                <w:kern w:val="0"/>
                <w:szCs w:val="21"/>
              </w:rPr>
              <w:t>(0.005)</w:t>
            </w:r>
          </w:p>
        </w:tc>
        <w:tc>
          <w:tcPr>
            <w:tcW w:w="971" w:type="pct"/>
            <w:tcBorders>
              <w:top w:val="nil"/>
              <w:left w:val="nil"/>
              <w:bottom w:val="nil"/>
              <w:right w:val="nil"/>
            </w:tcBorders>
          </w:tcPr>
          <w:p w14:paraId="4F56B746"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971" w:type="pct"/>
            <w:tcBorders>
              <w:top w:val="nil"/>
              <w:left w:val="nil"/>
              <w:bottom w:val="nil"/>
              <w:right w:val="nil"/>
            </w:tcBorders>
          </w:tcPr>
          <w:p w14:paraId="4CC1D7BD" w14:textId="77777777" w:rsidR="00564C66" w:rsidRPr="00FD0D8E" w:rsidRDefault="00564C66" w:rsidP="00C74EB6">
            <w:pPr>
              <w:autoSpaceDE w:val="0"/>
              <w:autoSpaceDN w:val="0"/>
              <w:adjustRightInd w:val="0"/>
              <w:jc w:val="center"/>
              <w:rPr>
                <w:kern w:val="0"/>
                <w:szCs w:val="21"/>
              </w:rPr>
            </w:pPr>
            <w:r w:rsidRPr="00FD0D8E">
              <w:rPr>
                <w:kern w:val="0"/>
                <w:szCs w:val="21"/>
              </w:rPr>
              <w:t>(0.005)</w:t>
            </w:r>
          </w:p>
        </w:tc>
      </w:tr>
      <w:tr w:rsidR="00564C66" w:rsidRPr="00FD0D8E" w14:paraId="0D69C6B1" w14:textId="77777777" w:rsidTr="00564C66">
        <w:tc>
          <w:tcPr>
            <w:tcW w:w="1116" w:type="pct"/>
            <w:tcBorders>
              <w:top w:val="nil"/>
              <w:left w:val="nil"/>
              <w:bottom w:val="nil"/>
              <w:right w:val="nil"/>
            </w:tcBorders>
          </w:tcPr>
          <w:p w14:paraId="0D2825F8" w14:textId="77777777" w:rsidR="00564C66" w:rsidRPr="00FD0D8E" w:rsidRDefault="00564C66" w:rsidP="00C74EB6">
            <w:pPr>
              <w:autoSpaceDE w:val="0"/>
              <w:autoSpaceDN w:val="0"/>
              <w:adjustRightInd w:val="0"/>
              <w:rPr>
                <w:kern w:val="0"/>
                <w:szCs w:val="21"/>
              </w:rPr>
            </w:pPr>
            <w:r w:rsidRPr="00FD0D8E">
              <w:rPr>
                <w:kern w:val="0"/>
                <w:szCs w:val="21"/>
              </w:rPr>
              <w:t>ROA</w:t>
            </w:r>
          </w:p>
        </w:tc>
        <w:tc>
          <w:tcPr>
            <w:tcW w:w="970" w:type="pct"/>
            <w:tcBorders>
              <w:top w:val="nil"/>
              <w:left w:val="nil"/>
              <w:bottom w:val="nil"/>
              <w:right w:val="nil"/>
            </w:tcBorders>
          </w:tcPr>
          <w:p w14:paraId="58455F0D" w14:textId="77777777" w:rsidR="00564C66" w:rsidRPr="00FD0D8E" w:rsidRDefault="00564C66" w:rsidP="00C74EB6">
            <w:pPr>
              <w:autoSpaceDE w:val="0"/>
              <w:autoSpaceDN w:val="0"/>
              <w:adjustRightInd w:val="0"/>
              <w:jc w:val="center"/>
              <w:rPr>
                <w:kern w:val="0"/>
                <w:szCs w:val="21"/>
              </w:rPr>
            </w:pPr>
            <w:r w:rsidRPr="00FD0D8E">
              <w:rPr>
                <w:kern w:val="0"/>
                <w:szCs w:val="21"/>
              </w:rPr>
              <w:t>-0.163</w:t>
            </w:r>
          </w:p>
        </w:tc>
        <w:tc>
          <w:tcPr>
            <w:tcW w:w="972" w:type="pct"/>
            <w:tcBorders>
              <w:top w:val="nil"/>
              <w:left w:val="nil"/>
              <w:bottom w:val="nil"/>
              <w:right w:val="nil"/>
            </w:tcBorders>
          </w:tcPr>
          <w:p w14:paraId="785C6C42" w14:textId="77777777" w:rsidR="00564C66" w:rsidRPr="00FD0D8E" w:rsidRDefault="00564C66" w:rsidP="00C74EB6">
            <w:pPr>
              <w:autoSpaceDE w:val="0"/>
              <w:autoSpaceDN w:val="0"/>
              <w:adjustRightInd w:val="0"/>
              <w:jc w:val="center"/>
              <w:rPr>
                <w:kern w:val="0"/>
                <w:szCs w:val="21"/>
              </w:rPr>
            </w:pPr>
            <w:r w:rsidRPr="00FD0D8E">
              <w:rPr>
                <w:kern w:val="0"/>
                <w:szCs w:val="21"/>
              </w:rPr>
              <w:t>-0.016</w:t>
            </w:r>
          </w:p>
        </w:tc>
        <w:tc>
          <w:tcPr>
            <w:tcW w:w="971" w:type="pct"/>
            <w:tcBorders>
              <w:top w:val="nil"/>
              <w:left w:val="nil"/>
              <w:bottom w:val="nil"/>
              <w:right w:val="nil"/>
            </w:tcBorders>
          </w:tcPr>
          <w:p w14:paraId="0CB20775" w14:textId="77777777" w:rsidR="00564C66" w:rsidRPr="00FD0D8E" w:rsidRDefault="00564C66" w:rsidP="00C74EB6">
            <w:pPr>
              <w:autoSpaceDE w:val="0"/>
              <w:autoSpaceDN w:val="0"/>
              <w:adjustRightInd w:val="0"/>
              <w:jc w:val="center"/>
              <w:rPr>
                <w:kern w:val="0"/>
                <w:szCs w:val="21"/>
              </w:rPr>
            </w:pPr>
            <w:r w:rsidRPr="00FD0D8E">
              <w:rPr>
                <w:kern w:val="0"/>
                <w:szCs w:val="21"/>
              </w:rPr>
              <w:t>0.077</w:t>
            </w:r>
          </w:p>
        </w:tc>
        <w:tc>
          <w:tcPr>
            <w:tcW w:w="971" w:type="pct"/>
            <w:tcBorders>
              <w:top w:val="nil"/>
              <w:left w:val="nil"/>
              <w:bottom w:val="nil"/>
              <w:right w:val="nil"/>
            </w:tcBorders>
          </w:tcPr>
          <w:p w14:paraId="24D4C123" w14:textId="77777777" w:rsidR="00564C66" w:rsidRPr="00FD0D8E" w:rsidRDefault="00564C66" w:rsidP="00C74EB6">
            <w:pPr>
              <w:autoSpaceDE w:val="0"/>
              <w:autoSpaceDN w:val="0"/>
              <w:adjustRightInd w:val="0"/>
              <w:jc w:val="center"/>
              <w:rPr>
                <w:kern w:val="0"/>
                <w:szCs w:val="21"/>
              </w:rPr>
            </w:pPr>
            <w:r w:rsidRPr="00FD0D8E">
              <w:rPr>
                <w:kern w:val="0"/>
                <w:szCs w:val="21"/>
              </w:rPr>
              <w:t>-0.084</w:t>
            </w:r>
            <w:r w:rsidRPr="00FD0D8E">
              <w:rPr>
                <w:kern w:val="0"/>
                <w:szCs w:val="21"/>
                <w:vertAlign w:val="superscript"/>
              </w:rPr>
              <w:t>**</w:t>
            </w:r>
          </w:p>
        </w:tc>
      </w:tr>
      <w:tr w:rsidR="00564C66" w:rsidRPr="00FD0D8E" w14:paraId="61943FE1" w14:textId="77777777" w:rsidTr="00564C66">
        <w:tc>
          <w:tcPr>
            <w:tcW w:w="1116" w:type="pct"/>
            <w:tcBorders>
              <w:top w:val="nil"/>
              <w:left w:val="nil"/>
              <w:bottom w:val="nil"/>
              <w:right w:val="nil"/>
            </w:tcBorders>
          </w:tcPr>
          <w:p w14:paraId="2DF81FD6"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22EA1CAD" w14:textId="77777777" w:rsidR="00564C66" w:rsidRPr="00FD0D8E" w:rsidRDefault="00564C66" w:rsidP="00C74EB6">
            <w:pPr>
              <w:autoSpaceDE w:val="0"/>
              <w:autoSpaceDN w:val="0"/>
              <w:adjustRightInd w:val="0"/>
              <w:jc w:val="center"/>
              <w:rPr>
                <w:kern w:val="0"/>
                <w:szCs w:val="21"/>
              </w:rPr>
            </w:pPr>
            <w:r w:rsidRPr="00FD0D8E">
              <w:rPr>
                <w:kern w:val="0"/>
                <w:szCs w:val="21"/>
              </w:rPr>
              <w:t>(0.105)</w:t>
            </w:r>
          </w:p>
        </w:tc>
        <w:tc>
          <w:tcPr>
            <w:tcW w:w="972" w:type="pct"/>
            <w:tcBorders>
              <w:top w:val="nil"/>
              <w:left w:val="nil"/>
              <w:bottom w:val="nil"/>
              <w:right w:val="nil"/>
            </w:tcBorders>
          </w:tcPr>
          <w:p w14:paraId="0A5ADAB7" w14:textId="77777777" w:rsidR="00564C66" w:rsidRPr="00FD0D8E" w:rsidRDefault="00564C66" w:rsidP="00C74EB6">
            <w:pPr>
              <w:autoSpaceDE w:val="0"/>
              <w:autoSpaceDN w:val="0"/>
              <w:adjustRightInd w:val="0"/>
              <w:jc w:val="center"/>
              <w:rPr>
                <w:kern w:val="0"/>
                <w:szCs w:val="21"/>
              </w:rPr>
            </w:pPr>
            <w:r w:rsidRPr="00FD0D8E">
              <w:rPr>
                <w:kern w:val="0"/>
                <w:szCs w:val="21"/>
              </w:rPr>
              <w:t>(0.037)</w:t>
            </w:r>
          </w:p>
        </w:tc>
        <w:tc>
          <w:tcPr>
            <w:tcW w:w="971" w:type="pct"/>
            <w:tcBorders>
              <w:top w:val="nil"/>
              <w:left w:val="nil"/>
              <w:bottom w:val="nil"/>
              <w:right w:val="nil"/>
            </w:tcBorders>
          </w:tcPr>
          <w:p w14:paraId="5A8544FE" w14:textId="77777777" w:rsidR="00564C66" w:rsidRPr="00FD0D8E" w:rsidRDefault="00564C66" w:rsidP="00C74EB6">
            <w:pPr>
              <w:autoSpaceDE w:val="0"/>
              <w:autoSpaceDN w:val="0"/>
              <w:adjustRightInd w:val="0"/>
              <w:jc w:val="center"/>
              <w:rPr>
                <w:kern w:val="0"/>
                <w:szCs w:val="21"/>
              </w:rPr>
            </w:pPr>
            <w:r w:rsidRPr="00FD0D8E">
              <w:rPr>
                <w:kern w:val="0"/>
                <w:szCs w:val="21"/>
              </w:rPr>
              <w:t>(0.077)</w:t>
            </w:r>
          </w:p>
        </w:tc>
        <w:tc>
          <w:tcPr>
            <w:tcW w:w="971" w:type="pct"/>
            <w:tcBorders>
              <w:top w:val="nil"/>
              <w:left w:val="nil"/>
              <w:bottom w:val="nil"/>
              <w:right w:val="nil"/>
            </w:tcBorders>
          </w:tcPr>
          <w:p w14:paraId="45B4AC0D" w14:textId="77777777" w:rsidR="00564C66" w:rsidRPr="00FD0D8E" w:rsidRDefault="00564C66" w:rsidP="00C74EB6">
            <w:pPr>
              <w:autoSpaceDE w:val="0"/>
              <w:autoSpaceDN w:val="0"/>
              <w:adjustRightInd w:val="0"/>
              <w:jc w:val="center"/>
              <w:rPr>
                <w:kern w:val="0"/>
                <w:szCs w:val="21"/>
              </w:rPr>
            </w:pPr>
            <w:r w:rsidRPr="00FD0D8E">
              <w:rPr>
                <w:kern w:val="0"/>
                <w:szCs w:val="21"/>
              </w:rPr>
              <w:t>(0.036)</w:t>
            </w:r>
          </w:p>
        </w:tc>
      </w:tr>
      <w:tr w:rsidR="00564C66" w:rsidRPr="00FD0D8E" w14:paraId="2E3670ED" w14:textId="77777777" w:rsidTr="00564C66">
        <w:tc>
          <w:tcPr>
            <w:tcW w:w="1116" w:type="pct"/>
            <w:tcBorders>
              <w:top w:val="nil"/>
              <w:left w:val="nil"/>
              <w:bottom w:val="nil"/>
              <w:right w:val="nil"/>
            </w:tcBorders>
          </w:tcPr>
          <w:p w14:paraId="0F638A03" w14:textId="77777777" w:rsidR="00564C66" w:rsidRPr="00FD0D8E" w:rsidRDefault="00564C66" w:rsidP="00C74EB6">
            <w:pPr>
              <w:autoSpaceDE w:val="0"/>
              <w:autoSpaceDN w:val="0"/>
              <w:adjustRightInd w:val="0"/>
              <w:rPr>
                <w:kern w:val="0"/>
                <w:szCs w:val="21"/>
              </w:rPr>
            </w:pPr>
            <w:r w:rsidRPr="00FD0D8E">
              <w:rPr>
                <w:kern w:val="0"/>
                <w:szCs w:val="21"/>
              </w:rPr>
              <w:t>Penalty</w:t>
            </w:r>
          </w:p>
        </w:tc>
        <w:tc>
          <w:tcPr>
            <w:tcW w:w="970" w:type="pct"/>
            <w:tcBorders>
              <w:top w:val="nil"/>
              <w:left w:val="nil"/>
              <w:bottom w:val="nil"/>
              <w:right w:val="nil"/>
            </w:tcBorders>
          </w:tcPr>
          <w:p w14:paraId="78B23E72" w14:textId="77777777" w:rsidR="00564C66" w:rsidRPr="00FD0D8E" w:rsidRDefault="00564C66" w:rsidP="00C74EB6">
            <w:pPr>
              <w:autoSpaceDE w:val="0"/>
              <w:autoSpaceDN w:val="0"/>
              <w:adjustRightInd w:val="0"/>
              <w:jc w:val="center"/>
              <w:rPr>
                <w:kern w:val="0"/>
                <w:szCs w:val="21"/>
              </w:rPr>
            </w:pPr>
            <w:r w:rsidRPr="00FD0D8E">
              <w:rPr>
                <w:kern w:val="0"/>
                <w:szCs w:val="21"/>
              </w:rPr>
              <w:t>0.013</w:t>
            </w:r>
          </w:p>
        </w:tc>
        <w:tc>
          <w:tcPr>
            <w:tcW w:w="972" w:type="pct"/>
            <w:tcBorders>
              <w:top w:val="nil"/>
              <w:left w:val="nil"/>
              <w:bottom w:val="nil"/>
              <w:right w:val="nil"/>
            </w:tcBorders>
          </w:tcPr>
          <w:p w14:paraId="6912A5CE" w14:textId="77777777" w:rsidR="00564C66" w:rsidRPr="00FD0D8E" w:rsidRDefault="00564C66" w:rsidP="00C74EB6">
            <w:pPr>
              <w:autoSpaceDE w:val="0"/>
              <w:autoSpaceDN w:val="0"/>
              <w:adjustRightInd w:val="0"/>
              <w:jc w:val="center"/>
              <w:rPr>
                <w:kern w:val="0"/>
                <w:szCs w:val="21"/>
              </w:rPr>
            </w:pPr>
            <w:r w:rsidRPr="00FD0D8E">
              <w:rPr>
                <w:kern w:val="0"/>
                <w:szCs w:val="21"/>
              </w:rPr>
              <w:t>0.004</w:t>
            </w:r>
          </w:p>
        </w:tc>
        <w:tc>
          <w:tcPr>
            <w:tcW w:w="971" w:type="pct"/>
            <w:tcBorders>
              <w:top w:val="nil"/>
              <w:left w:val="nil"/>
              <w:bottom w:val="nil"/>
              <w:right w:val="nil"/>
            </w:tcBorders>
          </w:tcPr>
          <w:p w14:paraId="0B6FBC8F" w14:textId="77777777" w:rsidR="00564C66" w:rsidRPr="00FD0D8E" w:rsidRDefault="00564C66" w:rsidP="00C74EB6">
            <w:pPr>
              <w:autoSpaceDE w:val="0"/>
              <w:autoSpaceDN w:val="0"/>
              <w:adjustRightInd w:val="0"/>
              <w:jc w:val="center"/>
              <w:rPr>
                <w:kern w:val="0"/>
                <w:szCs w:val="21"/>
              </w:rPr>
            </w:pPr>
            <w:r w:rsidRPr="00FD0D8E">
              <w:rPr>
                <w:kern w:val="0"/>
                <w:szCs w:val="21"/>
              </w:rPr>
              <w:t>0.012</w:t>
            </w:r>
          </w:p>
        </w:tc>
        <w:tc>
          <w:tcPr>
            <w:tcW w:w="971" w:type="pct"/>
            <w:tcBorders>
              <w:top w:val="nil"/>
              <w:left w:val="nil"/>
              <w:bottom w:val="nil"/>
              <w:right w:val="nil"/>
            </w:tcBorders>
          </w:tcPr>
          <w:p w14:paraId="58A182EE" w14:textId="77777777" w:rsidR="00564C66" w:rsidRPr="00FD0D8E" w:rsidRDefault="00564C66" w:rsidP="00C74EB6">
            <w:pPr>
              <w:autoSpaceDE w:val="0"/>
              <w:autoSpaceDN w:val="0"/>
              <w:adjustRightInd w:val="0"/>
              <w:jc w:val="center"/>
              <w:rPr>
                <w:kern w:val="0"/>
                <w:szCs w:val="21"/>
              </w:rPr>
            </w:pPr>
            <w:r w:rsidRPr="00FD0D8E">
              <w:rPr>
                <w:kern w:val="0"/>
                <w:szCs w:val="21"/>
              </w:rPr>
              <w:t>0.002</w:t>
            </w:r>
          </w:p>
        </w:tc>
      </w:tr>
      <w:tr w:rsidR="00564C66" w:rsidRPr="00FD0D8E" w14:paraId="0CD2713C" w14:textId="77777777" w:rsidTr="00564C66">
        <w:tc>
          <w:tcPr>
            <w:tcW w:w="1116" w:type="pct"/>
            <w:tcBorders>
              <w:top w:val="nil"/>
              <w:left w:val="nil"/>
              <w:bottom w:val="nil"/>
              <w:right w:val="nil"/>
            </w:tcBorders>
          </w:tcPr>
          <w:p w14:paraId="7996F296"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2EE55C91" w14:textId="77777777" w:rsidR="00564C66" w:rsidRPr="00FD0D8E" w:rsidRDefault="00564C66" w:rsidP="00C74EB6">
            <w:pPr>
              <w:autoSpaceDE w:val="0"/>
              <w:autoSpaceDN w:val="0"/>
              <w:adjustRightInd w:val="0"/>
              <w:jc w:val="center"/>
              <w:rPr>
                <w:kern w:val="0"/>
                <w:szCs w:val="21"/>
              </w:rPr>
            </w:pPr>
            <w:r w:rsidRPr="00FD0D8E">
              <w:rPr>
                <w:kern w:val="0"/>
                <w:szCs w:val="21"/>
              </w:rPr>
              <w:t>(0.020)</w:t>
            </w:r>
          </w:p>
        </w:tc>
        <w:tc>
          <w:tcPr>
            <w:tcW w:w="972" w:type="pct"/>
            <w:tcBorders>
              <w:top w:val="nil"/>
              <w:left w:val="nil"/>
              <w:bottom w:val="nil"/>
              <w:right w:val="nil"/>
            </w:tcBorders>
          </w:tcPr>
          <w:p w14:paraId="301CF07B"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971" w:type="pct"/>
            <w:tcBorders>
              <w:top w:val="nil"/>
              <w:left w:val="nil"/>
              <w:bottom w:val="nil"/>
              <w:right w:val="nil"/>
            </w:tcBorders>
          </w:tcPr>
          <w:p w14:paraId="6142754D" w14:textId="77777777" w:rsidR="00564C66" w:rsidRPr="00FD0D8E" w:rsidRDefault="00564C66" w:rsidP="00C74EB6">
            <w:pPr>
              <w:autoSpaceDE w:val="0"/>
              <w:autoSpaceDN w:val="0"/>
              <w:adjustRightInd w:val="0"/>
              <w:jc w:val="center"/>
              <w:rPr>
                <w:kern w:val="0"/>
                <w:szCs w:val="21"/>
              </w:rPr>
            </w:pPr>
            <w:r w:rsidRPr="00FD0D8E">
              <w:rPr>
                <w:kern w:val="0"/>
                <w:szCs w:val="21"/>
              </w:rPr>
              <w:t>(0.013)</w:t>
            </w:r>
          </w:p>
        </w:tc>
        <w:tc>
          <w:tcPr>
            <w:tcW w:w="971" w:type="pct"/>
            <w:tcBorders>
              <w:top w:val="nil"/>
              <w:left w:val="nil"/>
              <w:bottom w:val="nil"/>
              <w:right w:val="nil"/>
            </w:tcBorders>
          </w:tcPr>
          <w:p w14:paraId="4D9AE3E9"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r>
      <w:tr w:rsidR="00564C66" w:rsidRPr="00FD0D8E" w14:paraId="1E6B0C75" w14:textId="77777777" w:rsidTr="00564C66">
        <w:tc>
          <w:tcPr>
            <w:tcW w:w="1116" w:type="pct"/>
            <w:tcBorders>
              <w:top w:val="nil"/>
              <w:left w:val="nil"/>
              <w:bottom w:val="nil"/>
              <w:right w:val="nil"/>
            </w:tcBorders>
          </w:tcPr>
          <w:p w14:paraId="004EB416" w14:textId="77777777" w:rsidR="00564C66" w:rsidRPr="00FD0D8E" w:rsidRDefault="00564C66" w:rsidP="00C74EB6">
            <w:pPr>
              <w:autoSpaceDE w:val="0"/>
              <w:autoSpaceDN w:val="0"/>
              <w:adjustRightInd w:val="0"/>
              <w:rPr>
                <w:kern w:val="0"/>
                <w:szCs w:val="21"/>
              </w:rPr>
            </w:pPr>
            <w:proofErr w:type="spellStart"/>
            <w:r w:rsidRPr="00FD0D8E">
              <w:rPr>
                <w:kern w:val="0"/>
                <w:szCs w:val="21"/>
              </w:rPr>
              <w:t>IndepR</w:t>
            </w:r>
            <w:proofErr w:type="spellEnd"/>
          </w:p>
        </w:tc>
        <w:tc>
          <w:tcPr>
            <w:tcW w:w="970" w:type="pct"/>
            <w:tcBorders>
              <w:top w:val="nil"/>
              <w:left w:val="nil"/>
              <w:bottom w:val="nil"/>
              <w:right w:val="nil"/>
            </w:tcBorders>
          </w:tcPr>
          <w:p w14:paraId="665F66B0" w14:textId="77777777" w:rsidR="00564C66" w:rsidRPr="00FD0D8E" w:rsidRDefault="00564C66" w:rsidP="00C74EB6">
            <w:pPr>
              <w:autoSpaceDE w:val="0"/>
              <w:autoSpaceDN w:val="0"/>
              <w:adjustRightInd w:val="0"/>
              <w:jc w:val="center"/>
              <w:rPr>
                <w:kern w:val="0"/>
                <w:szCs w:val="21"/>
              </w:rPr>
            </w:pPr>
            <w:r w:rsidRPr="00FD0D8E">
              <w:rPr>
                <w:kern w:val="0"/>
                <w:szCs w:val="21"/>
              </w:rPr>
              <w:t>-0.027</w:t>
            </w:r>
          </w:p>
        </w:tc>
        <w:tc>
          <w:tcPr>
            <w:tcW w:w="972" w:type="pct"/>
            <w:tcBorders>
              <w:top w:val="nil"/>
              <w:left w:val="nil"/>
              <w:bottom w:val="nil"/>
              <w:right w:val="nil"/>
            </w:tcBorders>
          </w:tcPr>
          <w:p w14:paraId="74F35EB4" w14:textId="77777777" w:rsidR="00564C66" w:rsidRPr="00FD0D8E" w:rsidRDefault="00564C66" w:rsidP="00C74EB6">
            <w:pPr>
              <w:autoSpaceDE w:val="0"/>
              <w:autoSpaceDN w:val="0"/>
              <w:adjustRightInd w:val="0"/>
              <w:jc w:val="center"/>
              <w:rPr>
                <w:kern w:val="0"/>
                <w:szCs w:val="21"/>
              </w:rPr>
            </w:pPr>
            <w:r w:rsidRPr="00FD0D8E">
              <w:rPr>
                <w:kern w:val="0"/>
                <w:szCs w:val="21"/>
              </w:rPr>
              <w:t>0.017</w:t>
            </w:r>
          </w:p>
        </w:tc>
        <w:tc>
          <w:tcPr>
            <w:tcW w:w="971" w:type="pct"/>
            <w:tcBorders>
              <w:top w:val="nil"/>
              <w:left w:val="nil"/>
              <w:bottom w:val="nil"/>
              <w:right w:val="nil"/>
            </w:tcBorders>
          </w:tcPr>
          <w:p w14:paraId="378515C7" w14:textId="77777777" w:rsidR="00564C66" w:rsidRPr="00FD0D8E" w:rsidRDefault="00564C66" w:rsidP="00C74EB6">
            <w:pPr>
              <w:autoSpaceDE w:val="0"/>
              <w:autoSpaceDN w:val="0"/>
              <w:adjustRightInd w:val="0"/>
              <w:jc w:val="center"/>
              <w:rPr>
                <w:kern w:val="0"/>
                <w:szCs w:val="21"/>
              </w:rPr>
            </w:pPr>
            <w:r w:rsidRPr="00FD0D8E">
              <w:rPr>
                <w:kern w:val="0"/>
                <w:szCs w:val="21"/>
              </w:rPr>
              <w:t>0.088</w:t>
            </w:r>
            <w:r w:rsidRPr="00FD0D8E">
              <w:rPr>
                <w:kern w:val="0"/>
                <w:szCs w:val="21"/>
                <w:vertAlign w:val="superscript"/>
              </w:rPr>
              <w:t>*</w:t>
            </w:r>
          </w:p>
        </w:tc>
        <w:tc>
          <w:tcPr>
            <w:tcW w:w="971" w:type="pct"/>
            <w:tcBorders>
              <w:top w:val="nil"/>
              <w:left w:val="nil"/>
              <w:bottom w:val="nil"/>
              <w:right w:val="nil"/>
            </w:tcBorders>
          </w:tcPr>
          <w:p w14:paraId="07A14CD6" w14:textId="77777777" w:rsidR="00564C66" w:rsidRPr="00FD0D8E" w:rsidRDefault="00564C66"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r>
      <w:tr w:rsidR="00564C66" w:rsidRPr="00FD0D8E" w14:paraId="37E019FF" w14:textId="77777777" w:rsidTr="00564C66">
        <w:tc>
          <w:tcPr>
            <w:tcW w:w="1116" w:type="pct"/>
            <w:tcBorders>
              <w:top w:val="nil"/>
              <w:left w:val="nil"/>
              <w:bottom w:val="nil"/>
              <w:right w:val="nil"/>
            </w:tcBorders>
          </w:tcPr>
          <w:p w14:paraId="0BC997FC"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4FD849DB" w14:textId="77777777" w:rsidR="00564C66" w:rsidRPr="00FD0D8E" w:rsidRDefault="00564C66" w:rsidP="00C74EB6">
            <w:pPr>
              <w:autoSpaceDE w:val="0"/>
              <w:autoSpaceDN w:val="0"/>
              <w:adjustRightInd w:val="0"/>
              <w:jc w:val="center"/>
              <w:rPr>
                <w:kern w:val="0"/>
                <w:szCs w:val="21"/>
              </w:rPr>
            </w:pPr>
            <w:r w:rsidRPr="00FD0D8E">
              <w:rPr>
                <w:kern w:val="0"/>
                <w:szCs w:val="21"/>
              </w:rPr>
              <w:t>(0.060)</w:t>
            </w:r>
          </w:p>
        </w:tc>
        <w:tc>
          <w:tcPr>
            <w:tcW w:w="972" w:type="pct"/>
            <w:tcBorders>
              <w:top w:val="nil"/>
              <w:left w:val="nil"/>
              <w:bottom w:val="nil"/>
              <w:right w:val="nil"/>
            </w:tcBorders>
          </w:tcPr>
          <w:p w14:paraId="37962FF3" w14:textId="77777777" w:rsidR="00564C66" w:rsidRPr="00FD0D8E" w:rsidRDefault="00564C66" w:rsidP="00C74EB6">
            <w:pPr>
              <w:autoSpaceDE w:val="0"/>
              <w:autoSpaceDN w:val="0"/>
              <w:adjustRightInd w:val="0"/>
              <w:jc w:val="center"/>
              <w:rPr>
                <w:kern w:val="0"/>
                <w:szCs w:val="21"/>
              </w:rPr>
            </w:pPr>
            <w:r w:rsidRPr="00FD0D8E">
              <w:rPr>
                <w:kern w:val="0"/>
                <w:szCs w:val="21"/>
              </w:rPr>
              <w:t>(0.029)</w:t>
            </w:r>
          </w:p>
        </w:tc>
        <w:tc>
          <w:tcPr>
            <w:tcW w:w="971" w:type="pct"/>
            <w:tcBorders>
              <w:top w:val="nil"/>
              <w:left w:val="nil"/>
              <w:bottom w:val="nil"/>
              <w:right w:val="nil"/>
            </w:tcBorders>
          </w:tcPr>
          <w:p w14:paraId="17BA4B81" w14:textId="77777777" w:rsidR="00564C66" w:rsidRPr="00FD0D8E" w:rsidRDefault="00564C66" w:rsidP="00C74EB6">
            <w:pPr>
              <w:autoSpaceDE w:val="0"/>
              <w:autoSpaceDN w:val="0"/>
              <w:adjustRightInd w:val="0"/>
              <w:jc w:val="center"/>
              <w:rPr>
                <w:kern w:val="0"/>
                <w:szCs w:val="21"/>
              </w:rPr>
            </w:pPr>
            <w:r w:rsidRPr="00FD0D8E">
              <w:rPr>
                <w:kern w:val="0"/>
                <w:szCs w:val="21"/>
              </w:rPr>
              <w:t>(0.045)</w:t>
            </w:r>
          </w:p>
        </w:tc>
        <w:tc>
          <w:tcPr>
            <w:tcW w:w="971" w:type="pct"/>
            <w:tcBorders>
              <w:top w:val="nil"/>
              <w:left w:val="nil"/>
              <w:bottom w:val="nil"/>
              <w:right w:val="nil"/>
            </w:tcBorders>
          </w:tcPr>
          <w:p w14:paraId="60EF5F9D" w14:textId="77777777" w:rsidR="00564C66" w:rsidRPr="00FD0D8E" w:rsidRDefault="00564C66" w:rsidP="00C74EB6">
            <w:pPr>
              <w:autoSpaceDE w:val="0"/>
              <w:autoSpaceDN w:val="0"/>
              <w:adjustRightInd w:val="0"/>
              <w:jc w:val="center"/>
              <w:rPr>
                <w:kern w:val="0"/>
                <w:szCs w:val="21"/>
              </w:rPr>
            </w:pPr>
            <w:r w:rsidRPr="00FD0D8E">
              <w:rPr>
                <w:kern w:val="0"/>
                <w:szCs w:val="21"/>
              </w:rPr>
              <w:t>(0.032)</w:t>
            </w:r>
          </w:p>
        </w:tc>
      </w:tr>
      <w:tr w:rsidR="00564C66" w:rsidRPr="00FD0D8E" w14:paraId="1CD5D277" w14:textId="77777777" w:rsidTr="00564C66">
        <w:tc>
          <w:tcPr>
            <w:tcW w:w="1116" w:type="pct"/>
            <w:tcBorders>
              <w:top w:val="nil"/>
              <w:left w:val="nil"/>
              <w:bottom w:val="nil"/>
              <w:right w:val="nil"/>
            </w:tcBorders>
          </w:tcPr>
          <w:p w14:paraId="2B522148" w14:textId="77777777" w:rsidR="00564C66" w:rsidRPr="00FD0D8E" w:rsidRDefault="00564C66" w:rsidP="00C74EB6">
            <w:pPr>
              <w:autoSpaceDE w:val="0"/>
              <w:autoSpaceDN w:val="0"/>
              <w:adjustRightInd w:val="0"/>
              <w:rPr>
                <w:kern w:val="0"/>
                <w:szCs w:val="21"/>
              </w:rPr>
            </w:pPr>
            <w:proofErr w:type="spellStart"/>
            <w:r w:rsidRPr="00FD0D8E">
              <w:rPr>
                <w:kern w:val="0"/>
                <w:szCs w:val="21"/>
              </w:rPr>
              <w:t>DSize</w:t>
            </w:r>
            <w:proofErr w:type="spellEnd"/>
          </w:p>
        </w:tc>
        <w:tc>
          <w:tcPr>
            <w:tcW w:w="970" w:type="pct"/>
            <w:tcBorders>
              <w:top w:val="nil"/>
              <w:left w:val="nil"/>
              <w:bottom w:val="nil"/>
              <w:right w:val="nil"/>
            </w:tcBorders>
          </w:tcPr>
          <w:p w14:paraId="08D3923D" w14:textId="77777777" w:rsidR="00564C66" w:rsidRPr="00FD0D8E" w:rsidRDefault="00564C66" w:rsidP="00C74EB6">
            <w:pPr>
              <w:autoSpaceDE w:val="0"/>
              <w:autoSpaceDN w:val="0"/>
              <w:adjustRightInd w:val="0"/>
              <w:jc w:val="center"/>
              <w:rPr>
                <w:kern w:val="0"/>
                <w:szCs w:val="21"/>
              </w:rPr>
            </w:pPr>
            <w:r w:rsidRPr="00FD0D8E">
              <w:rPr>
                <w:kern w:val="0"/>
                <w:szCs w:val="21"/>
              </w:rPr>
              <w:t>-0.000</w:t>
            </w:r>
          </w:p>
        </w:tc>
        <w:tc>
          <w:tcPr>
            <w:tcW w:w="972" w:type="pct"/>
            <w:tcBorders>
              <w:top w:val="nil"/>
              <w:left w:val="nil"/>
              <w:bottom w:val="nil"/>
              <w:right w:val="nil"/>
            </w:tcBorders>
          </w:tcPr>
          <w:p w14:paraId="379DE1C9" w14:textId="77777777" w:rsidR="00564C66" w:rsidRPr="00FD0D8E" w:rsidRDefault="00564C66"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971" w:type="pct"/>
            <w:tcBorders>
              <w:top w:val="nil"/>
              <w:left w:val="nil"/>
              <w:bottom w:val="nil"/>
              <w:right w:val="nil"/>
            </w:tcBorders>
          </w:tcPr>
          <w:p w14:paraId="3EEBBBA1"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1" w:type="pct"/>
            <w:tcBorders>
              <w:top w:val="nil"/>
              <w:left w:val="nil"/>
              <w:bottom w:val="nil"/>
              <w:right w:val="nil"/>
            </w:tcBorders>
          </w:tcPr>
          <w:p w14:paraId="7489E0A2" w14:textId="77777777" w:rsidR="00564C66" w:rsidRPr="00FD0D8E" w:rsidRDefault="00564C66"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r>
      <w:tr w:rsidR="00564C66" w:rsidRPr="00FD0D8E" w14:paraId="5CDF48A3" w14:textId="77777777" w:rsidTr="007F210E">
        <w:tc>
          <w:tcPr>
            <w:tcW w:w="1116" w:type="pct"/>
            <w:tcBorders>
              <w:top w:val="nil"/>
              <w:left w:val="nil"/>
              <w:right w:val="nil"/>
            </w:tcBorders>
          </w:tcPr>
          <w:p w14:paraId="51F7D541" w14:textId="77777777" w:rsidR="00564C66" w:rsidRPr="00FD0D8E" w:rsidRDefault="00564C66" w:rsidP="00C74EB6">
            <w:pPr>
              <w:autoSpaceDE w:val="0"/>
              <w:autoSpaceDN w:val="0"/>
              <w:adjustRightInd w:val="0"/>
              <w:rPr>
                <w:kern w:val="0"/>
                <w:szCs w:val="21"/>
              </w:rPr>
            </w:pPr>
          </w:p>
        </w:tc>
        <w:tc>
          <w:tcPr>
            <w:tcW w:w="970" w:type="pct"/>
            <w:tcBorders>
              <w:top w:val="nil"/>
              <w:left w:val="nil"/>
              <w:right w:val="nil"/>
            </w:tcBorders>
          </w:tcPr>
          <w:p w14:paraId="2BBCF708"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2" w:type="pct"/>
            <w:tcBorders>
              <w:top w:val="nil"/>
              <w:left w:val="nil"/>
              <w:right w:val="nil"/>
            </w:tcBorders>
          </w:tcPr>
          <w:p w14:paraId="0B5DAE46"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1" w:type="pct"/>
            <w:tcBorders>
              <w:top w:val="nil"/>
              <w:left w:val="nil"/>
              <w:right w:val="nil"/>
            </w:tcBorders>
          </w:tcPr>
          <w:p w14:paraId="23F36808"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71" w:type="pct"/>
            <w:tcBorders>
              <w:top w:val="nil"/>
              <w:left w:val="nil"/>
              <w:right w:val="nil"/>
            </w:tcBorders>
          </w:tcPr>
          <w:p w14:paraId="4BEAC203"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r>
      <w:tr w:rsidR="00564C66" w:rsidRPr="00FD0D8E" w14:paraId="19450E37" w14:textId="77777777" w:rsidTr="00564C66">
        <w:tc>
          <w:tcPr>
            <w:tcW w:w="1116" w:type="pct"/>
            <w:tcBorders>
              <w:top w:val="nil"/>
              <w:left w:val="nil"/>
              <w:bottom w:val="nil"/>
              <w:right w:val="nil"/>
            </w:tcBorders>
          </w:tcPr>
          <w:p w14:paraId="7CF28561" w14:textId="77777777" w:rsidR="00564C66" w:rsidRPr="00FD0D8E" w:rsidRDefault="00564C66" w:rsidP="00C74EB6">
            <w:pPr>
              <w:autoSpaceDE w:val="0"/>
              <w:autoSpaceDN w:val="0"/>
              <w:adjustRightInd w:val="0"/>
              <w:rPr>
                <w:kern w:val="0"/>
                <w:szCs w:val="21"/>
              </w:rPr>
            </w:pPr>
            <w:r w:rsidRPr="00FD0D8E">
              <w:rPr>
                <w:kern w:val="0"/>
                <w:szCs w:val="21"/>
              </w:rPr>
              <w:t>Duality</w:t>
            </w:r>
          </w:p>
        </w:tc>
        <w:tc>
          <w:tcPr>
            <w:tcW w:w="970" w:type="pct"/>
            <w:tcBorders>
              <w:top w:val="nil"/>
              <w:left w:val="nil"/>
              <w:bottom w:val="nil"/>
              <w:right w:val="nil"/>
            </w:tcBorders>
          </w:tcPr>
          <w:p w14:paraId="7EF3D737" w14:textId="77777777" w:rsidR="00564C66" w:rsidRPr="00FD0D8E" w:rsidRDefault="00564C66" w:rsidP="00C74EB6">
            <w:pPr>
              <w:autoSpaceDE w:val="0"/>
              <w:autoSpaceDN w:val="0"/>
              <w:adjustRightInd w:val="0"/>
              <w:jc w:val="center"/>
              <w:rPr>
                <w:kern w:val="0"/>
                <w:szCs w:val="21"/>
              </w:rPr>
            </w:pPr>
            <w:r w:rsidRPr="00FD0D8E">
              <w:rPr>
                <w:kern w:val="0"/>
                <w:szCs w:val="21"/>
              </w:rPr>
              <w:t>-0.033</w:t>
            </w:r>
            <w:r w:rsidRPr="00FD0D8E">
              <w:rPr>
                <w:kern w:val="0"/>
                <w:szCs w:val="21"/>
                <w:vertAlign w:val="superscript"/>
              </w:rPr>
              <w:t>***</w:t>
            </w:r>
          </w:p>
        </w:tc>
        <w:tc>
          <w:tcPr>
            <w:tcW w:w="972" w:type="pct"/>
            <w:tcBorders>
              <w:top w:val="nil"/>
              <w:left w:val="nil"/>
              <w:bottom w:val="nil"/>
              <w:right w:val="nil"/>
            </w:tcBorders>
          </w:tcPr>
          <w:p w14:paraId="6B945848" w14:textId="77777777" w:rsidR="00564C66" w:rsidRPr="00FD0D8E" w:rsidRDefault="00564C66" w:rsidP="00C74EB6">
            <w:pPr>
              <w:autoSpaceDE w:val="0"/>
              <w:autoSpaceDN w:val="0"/>
              <w:adjustRightInd w:val="0"/>
              <w:jc w:val="center"/>
              <w:rPr>
                <w:kern w:val="0"/>
                <w:szCs w:val="21"/>
              </w:rPr>
            </w:pPr>
            <w:r w:rsidRPr="00FD0D8E">
              <w:rPr>
                <w:kern w:val="0"/>
                <w:szCs w:val="21"/>
              </w:rPr>
              <w:t>-0.022</w:t>
            </w:r>
            <w:r w:rsidRPr="00FD0D8E">
              <w:rPr>
                <w:kern w:val="0"/>
                <w:szCs w:val="21"/>
                <w:vertAlign w:val="superscript"/>
              </w:rPr>
              <w:t>***</w:t>
            </w:r>
          </w:p>
        </w:tc>
        <w:tc>
          <w:tcPr>
            <w:tcW w:w="971" w:type="pct"/>
            <w:tcBorders>
              <w:top w:val="nil"/>
              <w:left w:val="nil"/>
              <w:bottom w:val="nil"/>
              <w:right w:val="nil"/>
            </w:tcBorders>
          </w:tcPr>
          <w:p w14:paraId="350BB360" w14:textId="77777777" w:rsidR="00564C66" w:rsidRPr="00FD0D8E" w:rsidRDefault="00564C66" w:rsidP="00C74EB6">
            <w:pPr>
              <w:autoSpaceDE w:val="0"/>
              <w:autoSpaceDN w:val="0"/>
              <w:adjustRightInd w:val="0"/>
              <w:jc w:val="center"/>
              <w:rPr>
                <w:kern w:val="0"/>
                <w:szCs w:val="21"/>
              </w:rPr>
            </w:pPr>
            <w:r w:rsidRPr="00FD0D8E">
              <w:rPr>
                <w:kern w:val="0"/>
                <w:szCs w:val="21"/>
              </w:rPr>
              <w:t>-0.029</w:t>
            </w:r>
            <w:r w:rsidRPr="00FD0D8E">
              <w:rPr>
                <w:kern w:val="0"/>
                <w:szCs w:val="21"/>
                <w:vertAlign w:val="superscript"/>
              </w:rPr>
              <w:t>***</w:t>
            </w:r>
          </w:p>
        </w:tc>
        <w:tc>
          <w:tcPr>
            <w:tcW w:w="971" w:type="pct"/>
            <w:tcBorders>
              <w:top w:val="nil"/>
              <w:left w:val="nil"/>
              <w:bottom w:val="nil"/>
              <w:right w:val="nil"/>
            </w:tcBorders>
          </w:tcPr>
          <w:p w14:paraId="1CED2F09" w14:textId="77777777" w:rsidR="00564C66" w:rsidRPr="00FD0D8E" w:rsidRDefault="00564C66" w:rsidP="00C74EB6">
            <w:pPr>
              <w:autoSpaceDE w:val="0"/>
              <w:autoSpaceDN w:val="0"/>
              <w:adjustRightInd w:val="0"/>
              <w:jc w:val="center"/>
              <w:rPr>
                <w:kern w:val="0"/>
                <w:szCs w:val="21"/>
              </w:rPr>
            </w:pPr>
            <w:r w:rsidRPr="00FD0D8E">
              <w:rPr>
                <w:kern w:val="0"/>
                <w:szCs w:val="21"/>
              </w:rPr>
              <w:t>-0.018</w:t>
            </w:r>
            <w:r w:rsidRPr="00FD0D8E">
              <w:rPr>
                <w:kern w:val="0"/>
                <w:szCs w:val="21"/>
                <w:vertAlign w:val="superscript"/>
              </w:rPr>
              <w:t>***</w:t>
            </w:r>
          </w:p>
        </w:tc>
      </w:tr>
      <w:tr w:rsidR="00564C66" w:rsidRPr="00FD0D8E" w14:paraId="55EE164F" w14:textId="77777777" w:rsidTr="00564C66">
        <w:tc>
          <w:tcPr>
            <w:tcW w:w="1116" w:type="pct"/>
            <w:tcBorders>
              <w:top w:val="nil"/>
              <w:left w:val="nil"/>
              <w:bottom w:val="nil"/>
              <w:right w:val="nil"/>
            </w:tcBorders>
          </w:tcPr>
          <w:p w14:paraId="093F0643" w14:textId="77777777" w:rsidR="00564C66" w:rsidRPr="00FD0D8E" w:rsidRDefault="00564C66" w:rsidP="00C74EB6">
            <w:pPr>
              <w:autoSpaceDE w:val="0"/>
              <w:autoSpaceDN w:val="0"/>
              <w:adjustRightInd w:val="0"/>
              <w:rPr>
                <w:kern w:val="0"/>
                <w:szCs w:val="21"/>
              </w:rPr>
            </w:pPr>
          </w:p>
        </w:tc>
        <w:tc>
          <w:tcPr>
            <w:tcW w:w="970" w:type="pct"/>
            <w:tcBorders>
              <w:top w:val="nil"/>
              <w:left w:val="nil"/>
              <w:bottom w:val="nil"/>
              <w:right w:val="nil"/>
            </w:tcBorders>
          </w:tcPr>
          <w:p w14:paraId="51DFE73F" w14:textId="77777777" w:rsidR="00564C66" w:rsidRPr="00FD0D8E" w:rsidRDefault="00564C66" w:rsidP="00C74EB6">
            <w:pPr>
              <w:autoSpaceDE w:val="0"/>
              <w:autoSpaceDN w:val="0"/>
              <w:adjustRightInd w:val="0"/>
              <w:jc w:val="center"/>
              <w:rPr>
                <w:kern w:val="0"/>
                <w:szCs w:val="21"/>
              </w:rPr>
            </w:pPr>
            <w:r w:rsidRPr="00FD0D8E">
              <w:rPr>
                <w:kern w:val="0"/>
                <w:szCs w:val="21"/>
              </w:rPr>
              <w:t>(0.013)</w:t>
            </w:r>
          </w:p>
        </w:tc>
        <w:tc>
          <w:tcPr>
            <w:tcW w:w="972" w:type="pct"/>
            <w:tcBorders>
              <w:top w:val="nil"/>
              <w:left w:val="nil"/>
              <w:bottom w:val="nil"/>
              <w:right w:val="nil"/>
            </w:tcBorders>
          </w:tcPr>
          <w:p w14:paraId="15B72A7D" w14:textId="77777777" w:rsidR="00564C66" w:rsidRPr="00FD0D8E" w:rsidRDefault="00564C66" w:rsidP="00C74EB6">
            <w:pPr>
              <w:autoSpaceDE w:val="0"/>
              <w:autoSpaceDN w:val="0"/>
              <w:adjustRightInd w:val="0"/>
              <w:jc w:val="center"/>
              <w:rPr>
                <w:kern w:val="0"/>
                <w:szCs w:val="21"/>
              </w:rPr>
            </w:pPr>
            <w:r w:rsidRPr="00FD0D8E">
              <w:rPr>
                <w:kern w:val="0"/>
                <w:szCs w:val="21"/>
              </w:rPr>
              <w:t>(0.004)</w:t>
            </w:r>
          </w:p>
        </w:tc>
        <w:tc>
          <w:tcPr>
            <w:tcW w:w="971" w:type="pct"/>
            <w:tcBorders>
              <w:top w:val="nil"/>
              <w:left w:val="nil"/>
              <w:bottom w:val="nil"/>
              <w:right w:val="nil"/>
            </w:tcBorders>
          </w:tcPr>
          <w:p w14:paraId="2EE5C5A4"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c>
          <w:tcPr>
            <w:tcW w:w="971" w:type="pct"/>
            <w:tcBorders>
              <w:top w:val="nil"/>
              <w:left w:val="nil"/>
              <w:bottom w:val="nil"/>
              <w:right w:val="nil"/>
            </w:tcBorders>
          </w:tcPr>
          <w:p w14:paraId="3FDC0250" w14:textId="77777777" w:rsidR="00564C66" w:rsidRPr="00FD0D8E" w:rsidRDefault="00564C66" w:rsidP="00C74EB6">
            <w:pPr>
              <w:autoSpaceDE w:val="0"/>
              <w:autoSpaceDN w:val="0"/>
              <w:adjustRightInd w:val="0"/>
              <w:jc w:val="center"/>
              <w:rPr>
                <w:kern w:val="0"/>
                <w:szCs w:val="21"/>
              </w:rPr>
            </w:pPr>
            <w:r w:rsidRPr="00FD0D8E">
              <w:rPr>
                <w:kern w:val="0"/>
                <w:szCs w:val="21"/>
              </w:rPr>
              <w:t>(0.005)</w:t>
            </w:r>
          </w:p>
        </w:tc>
      </w:tr>
      <w:tr w:rsidR="00564C66" w:rsidRPr="00FD0D8E" w14:paraId="3D59C033" w14:textId="77777777" w:rsidTr="00564C66">
        <w:tc>
          <w:tcPr>
            <w:tcW w:w="1116" w:type="pct"/>
            <w:tcBorders>
              <w:top w:val="nil"/>
              <w:left w:val="nil"/>
              <w:bottom w:val="nil"/>
              <w:right w:val="nil"/>
            </w:tcBorders>
            <w:vAlign w:val="center"/>
          </w:tcPr>
          <w:p w14:paraId="276FD2F8" w14:textId="77777777" w:rsidR="00564C66" w:rsidRPr="00FD0D8E" w:rsidRDefault="00564C66" w:rsidP="00C74EB6">
            <w:pPr>
              <w:autoSpaceDE w:val="0"/>
              <w:autoSpaceDN w:val="0"/>
              <w:adjustRightInd w:val="0"/>
              <w:rPr>
                <w:kern w:val="0"/>
                <w:szCs w:val="21"/>
              </w:rPr>
            </w:pPr>
            <w:r w:rsidRPr="00FD0D8E">
              <w:rPr>
                <w:kern w:val="0"/>
                <w:szCs w:val="21"/>
              </w:rPr>
              <w:t>行业</w:t>
            </w:r>
            <w:r w:rsidRPr="00FD0D8E">
              <w:rPr>
                <w:kern w:val="0"/>
                <w:szCs w:val="21"/>
              </w:rPr>
              <w:t>FE</w:t>
            </w:r>
          </w:p>
        </w:tc>
        <w:tc>
          <w:tcPr>
            <w:tcW w:w="970" w:type="pct"/>
            <w:tcBorders>
              <w:top w:val="nil"/>
              <w:left w:val="nil"/>
              <w:bottom w:val="nil"/>
              <w:right w:val="nil"/>
            </w:tcBorders>
          </w:tcPr>
          <w:p w14:paraId="07FD440C"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72" w:type="pct"/>
            <w:tcBorders>
              <w:top w:val="nil"/>
              <w:left w:val="nil"/>
              <w:bottom w:val="nil"/>
              <w:right w:val="nil"/>
            </w:tcBorders>
          </w:tcPr>
          <w:p w14:paraId="1A282C92"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71" w:type="pct"/>
            <w:tcBorders>
              <w:top w:val="nil"/>
              <w:left w:val="nil"/>
              <w:bottom w:val="nil"/>
              <w:right w:val="nil"/>
            </w:tcBorders>
          </w:tcPr>
          <w:p w14:paraId="124296F6"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71" w:type="pct"/>
            <w:tcBorders>
              <w:top w:val="nil"/>
              <w:left w:val="nil"/>
              <w:bottom w:val="nil"/>
              <w:right w:val="nil"/>
            </w:tcBorders>
          </w:tcPr>
          <w:p w14:paraId="1FA61E81"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r>
      <w:tr w:rsidR="00564C66" w:rsidRPr="00FD0D8E" w14:paraId="0E16D70B" w14:textId="77777777" w:rsidTr="00564C66">
        <w:tc>
          <w:tcPr>
            <w:tcW w:w="1116" w:type="pct"/>
            <w:tcBorders>
              <w:top w:val="nil"/>
              <w:left w:val="nil"/>
              <w:bottom w:val="nil"/>
              <w:right w:val="nil"/>
            </w:tcBorders>
            <w:vAlign w:val="center"/>
          </w:tcPr>
          <w:p w14:paraId="372F292A" w14:textId="77777777" w:rsidR="00564C66" w:rsidRPr="00FD0D8E" w:rsidRDefault="00564C66" w:rsidP="00C74EB6">
            <w:pPr>
              <w:autoSpaceDE w:val="0"/>
              <w:autoSpaceDN w:val="0"/>
              <w:adjustRightInd w:val="0"/>
              <w:rPr>
                <w:kern w:val="0"/>
                <w:szCs w:val="21"/>
              </w:rPr>
            </w:pPr>
            <w:r w:rsidRPr="00FD0D8E">
              <w:rPr>
                <w:kern w:val="0"/>
                <w:szCs w:val="21"/>
              </w:rPr>
              <w:t>年份</w:t>
            </w:r>
            <w:r w:rsidRPr="00FD0D8E">
              <w:rPr>
                <w:kern w:val="0"/>
                <w:szCs w:val="21"/>
              </w:rPr>
              <w:t>FE</w:t>
            </w:r>
          </w:p>
        </w:tc>
        <w:tc>
          <w:tcPr>
            <w:tcW w:w="970" w:type="pct"/>
            <w:tcBorders>
              <w:top w:val="nil"/>
              <w:left w:val="nil"/>
              <w:bottom w:val="nil"/>
              <w:right w:val="nil"/>
            </w:tcBorders>
          </w:tcPr>
          <w:p w14:paraId="274AF26C"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72" w:type="pct"/>
            <w:tcBorders>
              <w:top w:val="nil"/>
              <w:left w:val="nil"/>
              <w:bottom w:val="nil"/>
              <w:right w:val="nil"/>
            </w:tcBorders>
          </w:tcPr>
          <w:p w14:paraId="0142DBA0"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71" w:type="pct"/>
            <w:tcBorders>
              <w:top w:val="nil"/>
              <w:left w:val="nil"/>
              <w:bottom w:val="nil"/>
              <w:right w:val="nil"/>
            </w:tcBorders>
          </w:tcPr>
          <w:p w14:paraId="7CF03A0D"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71" w:type="pct"/>
            <w:tcBorders>
              <w:top w:val="nil"/>
              <w:left w:val="nil"/>
              <w:bottom w:val="nil"/>
              <w:right w:val="nil"/>
            </w:tcBorders>
          </w:tcPr>
          <w:p w14:paraId="26EFF604"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r>
      <w:tr w:rsidR="009D0FC5" w:rsidRPr="00FD0D8E" w14:paraId="000456BD" w14:textId="77777777" w:rsidTr="006429B4">
        <w:tc>
          <w:tcPr>
            <w:tcW w:w="1116" w:type="pct"/>
            <w:tcBorders>
              <w:top w:val="nil"/>
              <w:left w:val="nil"/>
              <w:bottom w:val="nil"/>
              <w:right w:val="nil"/>
            </w:tcBorders>
          </w:tcPr>
          <w:p w14:paraId="5CAA6851" w14:textId="1902E36F" w:rsidR="009D0FC5" w:rsidRPr="00FD0D8E" w:rsidRDefault="009D0FC5" w:rsidP="00C74EB6">
            <w:pPr>
              <w:autoSpaceDE w:val="0"/>
              <w:autoSpaceDN w:val="0"/>
              <w:adjustRightInd w:val="0"/>
              <w:rPr>
                <w:kern w:val="0"/>
                <w:szCs w:val="21"/>
              </w:rPr>
            </w:pPr>
            <w:r w:rsidRPr="00FD0D8E">
              <w:rPr>
                <w:kern w:val="0"/>
                <w:szCs w:val="21"/>
              </w:rPr>
              <w:t>N</w:t>
            </w:r>
          </w:p>
        </w:tc>
        <w:tc>
          <w:tcPr>
            <w:tcW w:w="970" w:type="pct"/>
            <w:tcBorders>
              <w:top w:val="nil"/>
              <w:left w:val="nil"/>
              <w:bottom w:val="nil"/>
              <w:right w:val="nil"/>
            </w:tcBorders>
          </w:tcPr>
          <w:p w14:paraId="1070D946" w14:textId="1EDBCFB9" w:rsidR="009D0FC5" w:rsidRPr="00FD0D8E" w:rsidRDefault="009D0FC5" w:rsidP="00C74EB6">
            <w:pPr>
              <w:autoSpaceDE w:val="0"/>
              <w:autoSpaceDN w:val="0"/>
              <w:adjustRightInd w:val="0"/>
              <w:jc w:val="center"/>
              <w:rPr>
                <w:kern w:val="0"/>
                <w:szCs w:val="21"/>
              </w:rPr>
            </w:pPr>
            <w:r w:rsidRPr="00FD0D8E">
              <w:rPr>
                <w:kern w:val="0"/>
                <w:szCs w:val="21"/>
              </w:rPr>
              <w:t>7119</w:t>
            </w:r>
          </w:p>
        </w:tc>
        <w:tc>
          <w:tcPr>
            <w:tcW w:w="972" w:type="pct"/>
            <w:tcBorders>
              <w:top w:val="nil"/>
              <w:left w:val="nil"/>
              <w:bottom w:val="nil"/>
              <w:right w:val="nil"/>
            </w:tcBorders>
          </w:tcPr>
          <w:p w14:paraId="544C10D8" w14:textId="71BCC119" w:rsidR="009D0FC5" w:rsidRPr="00FD0D8E" w:rsidRDefault="009D0FC5" w:rsidP="00C74EB6">
            <w:pPr>
              <w:autoSpaceDE w:val="0"/>
              <w:autoSpaceDN w:val="0"/>
              <w:adjustRightInd w:val="0"/>
              <w:jc w:val="center"/>
              <w:rPr>
                <w:kern w:val="0"/>
                <w:szCs w:val="21"/>
              </w:rPr>
            </w:pPr>
            <w:r w:rsidRPr="00FD0D8E">
              <w:rPr>
                <w:kern w:val="0"/>
                <w:szCs w:val="21"/>
              </w:rPr>
              <w:t>13678</w:t>
            </w:r>
          </w:p>
        </w:tc>
        <w:tc>
          <w:tcPr>
            <w:tcW w:w="971" w:type="pct"/>
            <w:tcBorders>
              <w:top w:val="nil"/>
              <w:left w:val="nil"/>
              <w:bottom w:val="nil"/>
              <w:right w:val="nil"/>
            </w:tcBorders>
          </w:tcPr>
          <w:p w14:paraId="052F1413" w14:textId="7148D490" w:rsidR="009D0FC5" w:rsidRPr="00FD0D8E" w:rsidRDefault="009D0FC5" w:rsidP="00C74EB6">
            <w:pPr>
              <w:autoSpaceDE w:val="0"/>
              <w:autoSpaceDN w:val="0"/>
              <w:adjustRightInd w:val="0"/>
              <w:jc w:val="center"/>
              <w:rPr>
                <w:kern w:val="0"/>
                <w:szCs w:val="21"/>
              </w:rPr>
            </w:pPr>
            <w:r w:rsidRPr="00FD0D8E">
              <w:rPr>
                <w:kern w:val="0"/>
                <w:szCs w:val="21"/>
              </w:rPr>
              <w:t>10328</w:t>
            </w:r>
          </w:p>
        </w:tc>
        <w:tc>
          <w:tcPr>
            <w:tcW w:w="971" w:type="pct"/>
            <w:tcBorders>
              <w:top w:val="nil"/>
              <w:left w:val="nil"/>
              <w:bottom w:val="nil"/>
              <w:right w:val="nil"/>
            </w:tcBorders>
          </w:tcPr>
          <w:p w14:paraId="7A21DC10" w14:textId="120F9B84" w:rsidR="009D0FC5" w:rsidRPr="00FD0D8E" w:rsidRDefault="009D0FC5" w:rsidP="00C74EB6">
            <w:pPr>
              <w:autoSpaceDE w:val="0"/>
              <w:autoSpaceDN w:val="0"/>
              <w:adjustRightInd w:val="0"/>
              <w:jc w:val="center"/>
              <w:rPr>
                <w:kern w:val="0"/>
                <w:szCs w:val="21"/>
              </w:rPr>
            </w:pPr>
            <w:r w:rsidRPr="00FD0D8E">
              <w:rPr>
                <w:kern w:val="0"/>
                <w:szCs w:val="21"/>
              </w:rPr>
              <w:t>10487</w:t>
            </w:r>
          </w:p>
        </w:tc>
      </w:tr>
      <w:tr w:rsidR="009D0FC5" w:rsidRPr="00FD0D8E" w14:paraId="790B88C3" w14:textId="77777777" w:rsidTr="009D0FC5">
        <w:tc>
          <w:tcPr>
            <w:tcW w:w="1116" w:type="pct"/>
            <w:tcBorders>
              <w:top w:val="nil"/>
              <w:left w:val="nil"/>
              <w:bottom w:val="nil"/>
              <w:right w:val="nil"/>
            </w:tcBorders>
            <w:vAlign w:val="center"/>
          </w:tcPr>
          <w:p w14:paraId="52D3F79D" w14:textId="73384D16" w:rsidR="009D0FC5" w:rsidRPr="00FD0D8E" w:rsidRDefault="009D0FC5" w:rsidP="00C74EB6">
            <w:pPr>
              <w:autoSpaceDE w:val="0"/>
              <w:autoSpaceDN w:val="0"/>
              <w:adjustRightInd w:val="0"/>
              <w:rPr>
                <w:kern w:val="0"/>
                <w:szCs w:val="21"/>
              </w:rPr>
            </w:pPr>
            <w:r w:rsidRPr="00FD0D8E">
              <w:rPr>
                <w:kern w:val="0"/>
                <w:szCs w:val="21"/>
              </w:rPr>
              <w:t>Pseudo R²</w:t>
            </w:r>
          </w:p>
        </w:tc>
        <w:tc>
          <w:tcPr>
            <w:tcW w:w="970" w:type="pct"/>
            <w:tcBorders>
              <w:top w:val="nil"/>
              <w:left w:val="nil"/>
              <w:bottom w:val="nil"/>
              <w:right w:val="nil"/>
            </w:tcBorders>
          </w:tcPr>
          <w:p w14:paraId="28CF1F8C" w14:textId="28A08626" w:rsidR="009D0FC5" w:rsidRPr="00FD0D8E" w:rsidRDefault="009D0FC5" w:rsidP="00C74EB6">
            <w:pPr>
              <w:autoSpaceDE w:val="0"/>
              <w:autoSpaceDN w:val="0"/>
              <w:adjustRightInd w:val="0"/>
              <w:jc w:val="center"/>
              <w:rPr>
                <w:kern w:val="0"/>
                <w:szCs w:val="21"/>
              </w:rPr>
            </w:pPr>
            <w:r w:rsidRPr="00FD0D8E">
              <w:rPr>
                <w:rFonts w:hint="eastAsia"/>
                <w:kern w:val="0"/>
                <w:szCs w:val="21"/>
              </w:rPr>
              <w:t>0.24</w:t>
            </w:r>
          </w:p>
        </w:tc>
        <w:tc>
          <w:tcPr>
            <w:tcW w:w="972" w:type="pct"/>
            <w:tcBorders>
              <w:top w:val="nil"/>
              <w:left w:val="nil"/>
              <w:bottom w:val="nil"/>
              <w:right w:val="nil"/>
            </w:tcBorders>
          </w:tcPr>
          <w:p w14:paraId="2CFA0BB6" w14:textId="3147171A" w:rsidR="009D0FC5" w:rsidRPr="00FD0D8E" w:rsidRDefault="009D0FC5" w:rsidP="00C74EB6">
            <w:pPr>
              <w:autoSpaceDE w:val="0"/>
              <w:autoSpaceDN w:val="0"/>
              <w:adjustRightInd w:val="0"/>
              <w:jc w:val="center"/>
              <w:rPr>
                <w:kern w:val="0"/>
                <w:szCs w:val="21"/>
              </w:rPr>
            </w:pPr>
            <w:r w:rsidRPr="00FD0D8E">
              <w:rPr>
                <w:rFonts w:hint="eastAsia"/>
                <w:kern w:val="0"/>
                <w:szCs w:val="21"/>
              </w:rPr>
              <w:t>0.19</w:t>
            </w:r>
          </w:p>
        </w:tc>
        <w:tc>
          <w:tcPr>
            <w:tcW w:w="971" w:type="pct"/>
            <w:tcBorders>
              <w:top w:val="nil"/>
              <w:left w:val="nil"/>
              <w:bottom w:val="nil"/>
              <w:right w:val="nil"/>
            </w:tcBorders>
          </w:tcPr>
          <w:p w14:paraId="0FA01465" w14:textId="0F4E1C3C" w:rsidR="009D0FC5" w:rsidRPr="00FD0D8E" w:rsidRDefault="009D0FC5" w:rsidP="00C74EB6">
            <w:pPr>
              <w:autoSpaceDE w:val="0"/>
              <w:autoSpaceDN w:val="0"/>
              <w:adjustRightInd w:val="0"/>
              <w:jc w:val="center"/>
              <w:rPr>
                <w:kern w:val="0"/>
                <w:szCs w:val="21"/>
              </w:rPr>
            </w:pPr>
            <w:r w:rsidRPr="00FD0D8E">
              <w:rPr>
                <w:rFonts w:hint="eastAsia"/>
                <w:kern w:val="0"/>
                <w:szCs w:val="21"/>
              </w:rPr>
              <w:t>0.24</w:t>
            </w:r>
          </w:p>
        </w:tc>
        <w:tc>
          <w:tcPr>
            <w:tcW w:w="971" w:type="pct"/>
            <w:tcBorders>
              <w:top w:val="nil"/>
              <w:left w:val="nil"/>
              <w:bottom w:val="nil"/>
              <w:right w:val="nil"/>
            </w:tcBorders>
          </w:tcPr>
          <w:p w14:paraId="0B3B20EA" w14:textId="429DF0D4" w:rsidR="009D0FC5" w:rsidRPr="00FD0D8E" w:rsidRDefault="009D0FC5" w:rsidP="00C74EB6">
            <w:pPr>
              <w:autoSpaceDE w:val="0"/>
              <w:autoSpaceDN w:val="0"/>
              <w:adjustRightInd w:val="0"/>
              <w:jc w:val="center"/>
              <w:rPr>
                <w:kern w:val="0"/>
                <w:szCs w:val="21"/>
              </w:rPr>
            </w:pPr>
            <w:r w:rsidRPr="00FD0D8E">
              <w:rPr>
                <w:rFonts w:hint="eastAsia"/>
                <w:kern w:val="0"/>
                <w:szCs w:val="21"/>
              </w:rPr>
              <w:t>0.16</w:t>
            </w:r>
          </w:p>
        </w:tc>
      </w:tr>
      <w:tr w:rsidR="009D0FC5" w:rsidRPr="00FD0D8E" w14:paraId="4989A15B" w14:textId="77777777" w:rsidTr="009D0FC5">
        <w:tc>
          <w:tcPr>
            <w:tcW w:w="1116" w:type="pct"/>
            <w:tcBorders>
              <w:top w:val="nil"/>
              <w:left w:val="nil"/>
              <w:bottom w:val="single" w:sz="4" w:space="0" w:color="auto"/>
              <w:right w:val="nil"/>
            </w:tcBorders>
            <w:vAlign w:val="center"/>
          </w:tcPr>
          <w:p w14:paraId="7BF35B3C" w14:textId="7C2FCED4" w:rsidR="009D0FC5" w:rsidRPr="00FD0D8E" w:rsidRDefault="00D23E39" w:rsidP="00C74EB6">
            <w:pPr>
              <w:autoSpaceDE w:val="0"/>
              <w:autoSpaceDN w:val="0"/>
              <w:adjustRightInd w:val="0"/>
              <w:rPr>
                <w:kern w:val="0"/>
                <w:szCs w:val="21"/>
              </w:rPr>
            </w:pPr>
            <w:r w:rsidRPr="00FD0D8E">
              <w:rPr>
                <w:rFonts w:hint="eastAsia"/>
                <w:kern w:val="0"/>
                <w:szCs w:val="21"/>
              </w:rPr>
              <w:t>组间</w:t>
            </w:r>
            <w:r w:rsidR="009D0FC5" w:rsidRPr="00FD0D8E">
              <w:rPr>
                <w:rFonts w:hint="eastAsia"/>
                <w:kern w:val="0"/>
                <w:szCs w:val="21"/>
              </w:rPr>
              <w:t>系数差异</w:t>
            </w:r>
            <w:r w:rsidR="009D0FC5" w:rsidRPr="00FD0D8E">
              <w:rPr>
                <w:rFonts w:hint="eastAsia"/>
                <w:kern w:val="0"/>
                <w:szCs w:val="21"/>
              </w:rPr>
              <w:t>P</w:t>
            </w:r>
            <w:r w:rsidR="009D0FC5" w:rsidRPr="00FD0D8E">
              <w:rPr>
                <w:rFonts w:hint="eastAsia"/>
                <w:kern w:val="0"/>
                <w:szCs w:val="21"/>
              </w:rPr>
              <w:t>值</w:t>
            </w:r>
          </w:p>
        </w:tc>
        <w:tc>
          <w:tcPr>
            <w:tcW w:w="1942" w:type="pct"/>
            <w:gridSpan w:val="2"/>
            <w:tcBorders>
              <w:top w:val="nil"/>
              <w:left w:val="nil"/>
              <w:bottom w:val="single" w:sz="4" w:space="0" w:color="auto"/>
              <w:right w:val="nil"/>
            </w:tcBorders>
            <w:vAlign w:val="center"/>
          </w:tcPr>
          <w:p w14:paraId="169DCF26" w14:textId="366C73DA" w:rsidR="009D0FC5" w:rsidRPr="00FD0D8E" w:rsidRDefault="009D0FC5" w:rsidP="00C74EB6">
            <w:pPr>
              <w:autoSpaceDE w:val="0"/>
              <w:autoSpaceDN w:val="0"/>
              <w:adjustRightInd w:val="0"/>
              <w:jc w:val="center"/>
              <w:rPr>
                <w:kern w:val="0"/>
                <w:szCs w:val="21"/>
              </w:rPr>
            </w:pPr>
            <w:r w:rsidRPr="00FD0D8E">
              <w:rPr>
                <w:rFonts w:hint="eastAsia"/>
                <w:kern w:val="0"/>
                <w:szCs w:val="21"/>
              </w:rPr>
              <w:t>0.0094</w:t>
            </w:r>
            <w:r w:rsidRPr="00FD0D8E">
              <w:rPr>
                <w:rFonts w:hint="eastAsia"/>
                <w:kern w:val="0"/>
                <w:szCs w:val="21"/>
                <w:vertAlign w:val="superscript"/>
              </w:rPr>
              <w:t>***</w:t>
            </w:r>
          </w:p>
        </w:tc>
        <w:tc>
          <w:tcPr>
            <w:tcW w:w="1942" w:type="pct"/>
            <w:gridSpan w:val="2"/>
            <w:tcBorders>
              <w:top w:val="nil"/>
              <w:left w:val="nil"/>
              <w:bottom w:val="single" w:sz="4" w:space="0" w:color="auto"/>
              <w:right w:val="nil"/>
            </w:tcBorders>
          </w:tcPr>
          <w:p w14:paraId="5F793F98" w14:textId="4D754668" w:rsidR="009D0FC5" w:rsidRPr="00FD0D8E" w:rsidRDefault="009D0FC5" w:rsidP="00C74EB6">
            <w:pPr>
              <w:autoSpaceDE w:val="0"/>
              <w:autoSpaceDN w:val="0"/>
              <w:adjustRightInd w:val="0"/>
              <w:jc w:val="center"/>
              <w:rPr>
                <w:kern w:val="0"/>
                <w:szCs w:val="21"/>
              </w:rPr>
            </w:pPr>
            <w:r w:rsidRPr="00FD0D8E">
              <w:rPr>
                <w:rFonts w:hint="eastAsia"/>
                <w:kern w:val="0"/>
                <w:szCs w:val="21"/>
              </w:rPr>
              <w:t>0.0000</w:t>
            </w:r>
            <w:r w:rsidRPr="00FD0D8E">
              <w:rPr>
                <w:rFonts w:hint="eastAsia"/>
                <w:kern w:val="0"/>
                <w:szCs w:val="21"/>
                <w:vertAlign w:val="superscript"/>
              </w:rPr>
              <w:t>***</w:t>
            </w:r>
          </w:p>
        </w:tc>
      </w:tr>
    </w:tbl>
    <w:p w14:paraId="086E321A" w14:textId="77777777" w:rsidR="00B652C2" w:rsidRPr="00086241" w:rsidRDefault="00B652C2" w:rsidP="00B652C2">
      <w:pPr>
        <w:autoSpaceDE w:val="0"/>
        <w:autoSpaceDN w:val="0"/>
        <w:adjustRightInd w:val="0"/>
        <w:ind w:firstLine="360"/>
        <w:rPr>
          <w:kern w:val="0"/>
          <w:sz w:val="18"/>
          <w:szCs w:val="18"/>
        </w:rPr>
      </w:pPr>
      <w:r w:rsidRPr="00086241">
        <w:rPr>
          <w:rFonts w:hint="eastAsia"/>
          <w:kern w:val="0"/>
          <w:sz w:val="18"/>
          <w:szCs w:val="18"/>
        </w:rPr>
        <w:t>注：表内报告的是估计结果的边际效应；括号内代表聚类稳健标准误；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p>
    <w:p w14:paraId="64F88903" w14:textId="77777777" w:rsidR="0088438A" w:rsidRPr="00B652C2" w:rsidRDefault="0088438A" w:rsidP="00A56183">
      <w:pPr>
        <w:spacing w:line="360" w:lineRule="auto"/>
        <w:ind w:firstLineChars="200" w:firstLine="480"/>
        <w:rPr>
          <w:sz w:val="24"/>
        </w:rPr>
      </w:pPr>
    </w:p>
    <w:p w14:paraId="64A3DCF9" w14:textId="77777777" w:rsidR="0088438A" w:rsidRDefault="0088438A" w:rsidP="00A56183">
      <w:pPr>
        <w:spacing w:line="360" w:lineRule="auto"/>
        <w:ind w:firstLineChars="200" w:firstLine="480"/>
        <w:rPr>
          <w:sz w:val="24"/>
        </w:rPr>
      </w:pPr>
    </w:p>
    <w:p w14:paraId="15BFF850" w14:textId="77777777" w:rsidR="0088438A" w:rsidRDefault="0088438A" w:rsidP="00A56183">
      <w:pPr>
        <w:spacing w:line="360" w:lineRule="auto"/>
        <w:ind w:firstLineChars="200" w:firstLine="480"/>
        <w:rPr>
          <w:sz w:val="24"/>
        </w:rPr>
      </w:pPr>
    </w:p>
    <w:p w14:paraId="19973408" w14:textId="77777777" w:rsidR="00B652C2" w:rsidRDefault="00B652C2" w:rsidP="00A56183">
      <w:pPr>
        <w:spacing w:line="360" w:lineRule="auto"/>
        <w:ind w:firstLineChars="200" w:firstLine="480"/>
        <w:rPr>
          <w:sz w:val="24"/>
        </w:rPr>
      </w:pPr>
    </w:p>
    <w:p w14:paraId="2D0542B9" w14:textId="6BA24447" w:rsidR="0088438A" w:rsidRPr="00C74EB6" w:rsidRDefault="00B652C2" w:rsidP="00C74EB6">
      <w:pPr>
        <w:pStyle w:val="3"/>
      </w:pPr>
      <w:bookmarkStart w:id="137" w:name="_Toc191420761"/>
      <w:bookmarkStart w:id="138" w:name="_Toc191574131"/>
      <w:bookmarkStart w:id="139" w:name="_Toc198287002"/>
      <w:r w:rsidRPr="00C74EB6">
        <w:rPr>
          <w:rFonts w:hint="eastAsia"/>
        </w:rPr>
        <w:lastRenderedPageBreak/>
        <w:t>按行业特征分析</w:t>
      </w:r>
      <w:bookmarkEnd w:id="137"/>
      <w:bookmarkEnd w:id="138"/>
      <w:bookmarkEnd w:id="139"/>
    </w:p>
    <w:p w14:paraId="7162300C" w14:textId="2AD6C572" w:rsidR="00B652C2" w:rsidRPr="00C74EB6" w:rsidRDefault="00B652C2" w:rsidP="00B652C2">
      <w:pPr>
        <w:spacing w:line="360" w:lineRule="auto"/>
        <w:ind w:firstLineChars="200" w:firstLine="480"/>
        <w:rPr>
          <w:sz w:val="24"/>
        </w:rPr>
      </w:pPr>
      <w:r w:rsidRPr="00C74EB6">
        <w:rPr>
          <w:rFonts w:hint="eastAsia"/>
          <w:sz w:val="24"/>
        </w:rPr>
        <w:t>考虑到不同行业的组织资本特征不同，本文通过行业特定才能</w:t>
      </w:r>
      <w:r w:rsidR="006B1BD3" w:rsidRPr="00C74EB6">
        <w:rPr>
          <w:rFonts w:hint="eastAsia"/>
          <w:sz w:val="24"/>
        </w:rPr>
        <w:t>和</w:t>
      </w:r>
      <w:r w:rsidRPr="00C74EB6">
        <w:rPr>
          <w:rFonts w:hint="eastAsia"/>
          <w:sz w:val="24"/>
        </w:rPr>
        <w:t>行业增长不确定性探讨行业层面的异质性分析。</w:t>
      </w:r>
    </w:p>
    <w:p w14:paraId="0FBCB407" w14:textId="0DF12169" w:rsidR="00B652C2" w:rsidRPr="00C74EB6" w:rsidRDefault="00B652C2" w:rsidP="00B652C2">
      <w:pPr>
        <w:spacing w:line="360" w:lineRule="auto"/>
        <w:ind w:firstLineChars="200" w:firstLine="480"/>
        <w:rPr>
          <w:sz w:val="24"/>
        </w:rPr>
      </w:pPr>
      <w:r w:rsidRPr="00C74EB6">
        <w:rPr>
          <w:rFonts w:hint="eastAsia"/>
          <w:sz w:val="24"/>
        </w:rPr>
        <w:t>借鉴</w:t>
      </w:r>
      <w:r w:rsidRPr="00C74EB6">
        <w:rPr>
          <w:sz w:val="24"/>
        </w:rPr>
        <w:t>Cremers</w:t>
      </w:r>
      <w:r w:rsidRPr="00C74EB6">
        <w:rPr>
          <w:rFonts w:hint="eastAsia"/>
          <w:sz w:val="24"/>
        </w:rPr>
        <w:t>和</w:t>
      </w:r>
      <w:r w:rsidRPr="00C74EB6">
        <w:rPr>
          <w:sz w:val="24"/>
        </w:rPr>
        <w:t>Grinstein</w:t>
      </w:r>
      <w:r w:rsidR="00370FED" w:rsidRPr="00C74EB6">
        <w:rPr>
          <w:rFonts w:hint="eastAsia"/>
          <w:sz w:val="24"/>
        </w:rPr>
        <w:t xml:space="preserve"> s</w:t>
      </w:r>
      <w:r w:rsidRPr="00C74EB6">
        <w:rPr>
          <w:sz w:val="24"/>
        </w:rPr>
        <w:t xml:space="preserve"> (2011)</w:t>
      </w:r>
      <w:r w:rsidRPr="00C74EB6">
        <w:rPr>
          <w:rFonts w:hint="eastAsia"/>
          <w:sz w:val="24"/>
        </w:rPr>
        <w:t>，本文使用行业内部</w:t>
      </w:r>
      <w:r w:rsidRPr="00C74EB6">
        <w:rPr>
          <w:rFonts w:hint="eastAsia"/>
          <w:sz w:val="24"/>
        </w:rPr>
        <w:t>CEO</w:t>
      </w:r>
      <w:r w:rsidRPr="00C74EB6">
        <w:rPr>
          <w:rFonts w:hint="eastAsia"/>
          <w:sz w:val="24"/>
        </w:rPr>
        <w:t>比例衡量行业特定才能水平。当行业特定才能要求越高，公司更倾向于从公司内部任职</w:t>
      </w:r>
      <w:r w:rsidRPr="00C74EB6">
        <w:rPr>
          <w:rFonts w:hint="eastAsia"/>
          <w:sz w:val="24"/>
        </w:rPr>
        <w:t>CEO</w:t>
      </w:r>
      <w:r w:rsidRPr="00C74EB6">
        <w:rPr>
          <w:rFonts w:hint="eastAsia"/>
          <w:sz w:val="24"/>
        </w:rPr>
        <w:t>，因此内部</w:t>
      </w:r>
      <w:r w:rsidRPr="00C74EB6">
        <w:rPr>
          <w:rFonts w:hint="eastAsia"/>
          <w:sz w:val="24"/>
        </w:rPr>
        <w:t>CEO</w:t>
      </w:r>
      <w:r w:rsidRPr="00C74EB6">
        <w:rPr>
          <w:rFonts w:hint="eastAsia"/>
          <w:sz w:val="24"/>
        </w:rPr>
        <w:t>比例一般越高。</w:t>
      </w:r>
    </w:p>
    <w:p w14:paraId="72D0B25A" w14:textId="77777777" w:rsidR="00B652C2" w:rsidRPr="00C74EB6" w:rsidRDefault="00B652C2" w:rsidP="00B652C2">
      <w:pPr>
        <w:spacing w:line="360" w:lineRule="auto"/>
        <w:ind w:firstLineChars="200" w:firstLine="480"/>
        <w:rPr>
          <w:sz w:val="24"/>
        </w:rPr>
      </w:pPr>
      <w:r w:rsidRPr="00C74EB6">
        <w:rPr>
          <w:rFonts w:hint="eastAsia"/>
          <w:sz w:val="24"/>
        </w:rPr>
        <w:t>借鉴</w:t>
      </w:r>
      <w:r w:rsidRPr="00C74EB6">
        <w:rPr>
          <w:rFonts w:hint="eastAsia"/>
          <w:sz w:val="24"/>
        </w:rPr>
        <w:t>Carlin</w:t>
      </w:r>
      <w:r w:rsidRPr="00C74EB6">
        <w:rPr>
          <w:rFonts w:hint="eastAsia"/>
          <w:sz w:val="24"/>
        </w:rPr>
        <w:t>等（</w:t>
      </w:r>
      <w:r w:rsidRPr="00C74EB6">
        <w:rPr>
          <w:rFonts w:hint="eastAsia"/>
          <w:sz w:val="24"/>
        </w:rPr>
        <w:t>2</w:t>
      </w:r>
      <w:r w:rsidRPr="00C74EB6">
        <w:rPr>
          <w:sz w:val="24"/>
        </w:rPr>
        <w:t>012</w:t>
      </w:r>
      <w:r w:rsidRPr="00C74EB6">
        <w:rPr>
          <w:rFonts w:hint="eastAsia"/>
          <w:sz w:val="24"/>
        </w:rPr>
        <w:t>）、</w:t>
      </w:r>
      <w:r w:rsidRPr="00C74EB6">
        <w:rPr>
          <w:rFonts w:hint="eastAsia"/>
          <w:sz w:val="24"/>
        </w:rPr>
        <w:t>Francis</w:t>
      </w:r>
      <w:r w:rsidRPr="00C74EB6">
        <w:rPr>
          <w:rFonts w:hint="eastAsia"/>
          <w:sz w:val="24"/>
        </w:rPr>
        <w:t>等（</w:t>
      </w:r>
      <w:r w:rsidRPr="00C74EB6">
        <w:rPr>
          <w:rFonts w:hint="eastAsia"/>
          <w:sz w:val="24"/>
        </w:rPr>
        <w:t>2</w:t>
      </w:r>
      <w:r w:rsidRPr="00C74EB6">
        <w:rPr>
          <w:sz w:val="24"/>
        </w:rPr>
        <w:t>015</w:t>
      </w:r>
      <w:r w:rsidRPr="00C74EB6">
        <w:rPr>
          <w:rFonts w:hint="eastAsia"/>
          <w:sz w:val="24"/>
        </w:rPr>
        <w:t>）等，通过下述公式回归计算残差，残差即行业增长不确定性。</w:t>
      </w: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879"/>
        <w:gridCol w:w="996"/>
      </w:tblGrid>
      <w:tr w:rsidR="004F025A" w:rsidRPr="00C74EB6" w14:paraId="06733C15" w14:textId="77777777" w:rsidTr="00076B0D">
        <w:tc>
          <w:tcPr>
            <w:tcW w:w="421" w:type="dxa"/>
          </w:tcPr>
          <w:p w14:paraId="0B9A731A" w14:textId="77777777" w:rsidR="004F025A" w:rsidRPr="00C74EB6" w:rsidRDefault="004F025A" w:rsidP="00FD26B3">
            <w:pPr>
              <w:spacing w:line="360" w:lineRule="auto"/>
              <w:ind w:firstLine="480"/>
              <w:rPr>
                <w:sz w:val="24"/>
              </w:rPr>
            </w:pPr>
          </w:p>
        </w:tc>
        <w:tc>
          <w:tcPr>
            <w:tcW w:w="6879" w:type="dxa"/>
          </w:tcPr>
          <w:p w14:paraId="3F3E60AC" w14:textId="7A5CC595" w:rsidR="004F025A" w:rsidRPr="00C74EB6" w:rsidRDefault="004F025A" w:rsidP="00FD26B3">
            <w:pPr>
              <w:spacing w:line="360" w:lineRule="auto"/>
              <w:rPr>
                <w:sz w:val="24"/>
              </w:rPr>
            </w:pPr>
            <m:oMathPara>
              <m:oMath>
                <m:r>
                  <m:rPr>
                    <m:sty m:val="p"/>
                  </m:rPr>
                  <w:rPr>
                    <w:rFonts w:ascii="Cambria Math" w:hAnsi="Cambria Math"/>
                    <w:sz w:val="24"/>
                  </w:rPr>
                  <m:t>SIC</m:t>
                </m:r>
                <m:sSub>
                  <m:sSubPr>
                    <m:ctrlPr>
                      <w:rPr>
                        <w:rFonts w:ascii="Cambria Math" w:hAnsi="Cambria Math"/>
                        <w:bCs/>
                        <w:iCs/>
                        <w:sz w:val="24"/>
                      </w:rPr>
                    </m:ctrlPr>
                  </m:sSubPr>
                  <m:e>
                    <m:d>
                      <m:dPr>
                        <m:ctrlPr>
                          <w:rPr>
                            <w:rFonts w:ascii="Cambria Math" w:hAnsi="Cambria Math"/>
                            <w:bCs/>
                            <w:iCs/>
                            <w:sz w:val="24"/>
                          </w:rPr>
                        </m:ctrlPr>
                      </m:dPr>
                      <m:e>
                        <m:r>
                          <m:rPr>
                            <m:sty m:val="p"/>
                          </m:rPr>
                          <w:rPr>
                            <w:rFonts w:ascii="Cambria Math" w:hAnsi="Cambria Math"/>
                            <w:sz w:val="24"/>
                          </w:rPr>
                          <m:t>AGU</m:t>
                        </m:r>
                      </m:e>
                    </m:d>
                    <m:ctrlPr>
                      <w:rPr>
                        <w:rFonts w:ascii="Cambria Math" w:hAnsi="Cambria Math"/>
                        <w:bCs/>
                        <w:i/>
                        <w:iCs/>
                        <w:sz w:val="24"/>
                      </w:rPr>
                    </m:ctrlPr>
                  </m:e>
                  <m:sub>
                    <m:r>
                      <w:rPr>
                        <w:rFonts w:ascii="Cambria Math" w:hAnsi="Cambria Math"/>
                        <w:sz w:val="24"/>
                      </w:rPr>
                      <m:t>j,t</m:t>
                    </m:r>
                  </m:sub>
                </m:sSub>
                <m:r>
                  <w:rPr>
                    <w:rFonts w:ascii="Cambria Math" w:hAnsi="Cambria Math"/>
                    <w:sz w:val="24"/>
                  </w:rPr>
                  <m:t>=α+Ln</m:t>
                </m:r>
                <m:d>
                  <m:dPr>
                    <m:ctrlPr>
                      <w:rPr>
                        <w:rFonts w:ascii="Cambria Math" w:hAnsi="Cambria Math"/>
                        <w:bCs/>
                        <w:i/>
                        <w:iCs/>
                        <w:sz w:val="24"/>
                      </w:rPr>
                    </m:ctrlPr>
                  </m:dPr>
                  <m:e>
                    <m:r>
                      <w:rPr>
                        <w:rFonts w:ascii="Cambria Math" w:hAnsi="Cambria Math"/>
                        <w:sz w:val="24"/>
                      </w:rPr>
                      <m:t>Ci</m:t>
                    </m:r>
                    <m:sSub>
                      <m:sSubPr>
                        <m:ctrlPr>
                          <w:rPr>
                            <w:rFonts w:ascii="Cambria Math" w:hAnsi="Cambria Math"/>
                            <w:bCs/>
                            <w:i/>
                            <w:iCs/>
                            <w:sz w:val="24"/>
                          </w:rPr>
                        </m:ctrlPr>
                      </m:sSubPr>
                      <m:e>
                        <m:r>
                          <w:rPr>
                            <w:rFonts w:ascii="Cambria Math" w:hAnsi="Cambria Math"/>
                            <w:sz w:val="24"/>
                          </w:rPr>
                          <m:t>t</m:t>
                        </m:r>
                      </m:e>
                      <m:sub>
                        <m:r>
                          <w:rPr>
                            <w:rFonts w:ascii="Cambria Math" w:hAnsi="Cambria Math"/>
                            <w:sz w:val="24"/>
                          </w:rPr>
                          <m:t>j,t</m:t>
                        </m:r>
                      </m:sub>
                    </m:sSub>
                  </m:e>
                </m:d>
                <m:r>
                  <w:rPr>
                    <w:rFonts w:ascii="Cambria Math" w:hAnsi="Cambria Math"/>
                    <w:sz w:val="24"/>
                  </w:rPr>
                  <m:t>+</m:t>
                </m:r>
                <m:sSub>
                  <m:sSubPr>
                    <m:ctrlPr>
                      <w:rPr>
                        <w:rFonts w:ascii="Cambria Math" w:hAnsi="Cambria Math"/>
                        <w:bCs/>
                        <w:i/>
                        <w:iCs/>
                        <w:sz w:val="24"/>
                      </w:rPr>
                    </m:ctrlPr>
                  </m:sSubPr>
                  <m:e>
                    <m:r>
                      <w:rPr>
                        <w:rFonts w:ascii="Cambria Math" w:hAnsi="Cambria Math"/>
                        <w:sz w:val="24"/>
                      </w:rPr>
                      <m:t>ϵ</m:t>
                    </m:r>
                  </m:e>
                  <m:sub>
                    <m:r>
                      <w:rPr>
                        <w:rFonts w:ascii="Cambria Math" w:hAnsi="Cambria Math"/>
                        <w:sz w:val="24"/>
                      </w:rPr>
                      <m:t>j,t</m:t>
                    </m:r>
                  </m:sub>
                </m:sSub>
              </m:oMath>
            </m:oMathPara>
          </w:p>
        </w:tc>
        <w:tc>
          <w:tcPr>
            <w:tcW w:w="996" w:type="dxa"/>
            <w:vAlign w:val="center"/>
          </w:tcPr>
          <w:p w14:paraId="570F711D" w14:textId="3520FBA7" w:rsidR="004F025A" w:rsidRPr="00C74EB6" w:rsidRDefault="004F025A" w:rsidP="00076B0D">
            <w:pPr>
              <w:spacing w:line="360" w:lineRule="auto"/>
              <w:jc w:val="right"/>
              <w:rPr>
                <w:sz w:val="24"/>
              </w:rPr>
            </w:pPr>
            <w:r w:rsidRPr="00C74EB6">
              <w:rPr>
                <w:rFonts w:hint="eastAsia"/>
                <w:bCs/>
                <w:sz w:val="24"/>
              </w:rPr>
              <w:t>（</w:t>
            </w:r>
            <w:r w:rsidRPr="00C74EB6">
              <w:rPr>
                <w:rFonts w:hint="eastAsia"/>
                <w:bCs/>
                <w:sz w:val="24"/>
              </w:rPr>
              <w:t>5.1</w:t>
            </w:r>
            <w:r w:rsidRPr="00C74EB6">
              <w:rPr>
                <w:rFonts w:hint="eastAsia"/>
                <w:bCs/>
                <w:sz w:val="24"/>
              </w:rPr>
              <w:t>）</w:t>
            </w:r>
          </w:p>
        </w:tc>
      </w:tr>
    </w:tbl>
    <w:p w14:paraId="700DA4D5" w14:textId="137413FD" w:rsidR="00687289" w:rsidRPr="00C74EB6" w:rsidRDefault="00687289" w:rsidP="00687289">
      <w:pPr>
        <w:spacing w:line="360" w:lineRule="auto"/>
        <w:ind w:firstLineChars="200" w:firstLine="480"/>
        <w:rPr>
          <w:sz w:val="24"/>
        </w:rPr>
      </w:pPr>
      <m:oMath>
        <m:r>
          <m:rPr>
            <m:sty m:val="p"/>
          </m:rPr>
          <w:rPr>
            <w:rFonts w:ascii="Cambria Math" w:hAnsi="Cambria Math"/>
            <w:sz w:val="24"/>
          </w:rPr>
          <m:t>SIC</m:t>
        </m:r>
        <m:sSub>
          <m:sSubPr>
            <m:ctrlPr>
              <w:rPr>
                <w:rFonts w:ascii="Cambria Math" w:hAnsi="Cambria Math"/>
                <w:bCs/>
                <w:iCs/>
                <w:sz w:val="24"/>
              </w:rPr>
            </m:ctrlPr>
          </m:sSubPr>
          <m:e>
            <m:d>
              <m:dPr>
                <m:ctrlPr>
                  <w:rPr>
                    <w:rFonts w:ascii="Cambria Math" w:hAnsi="Cambria Math"/>
                    <w:bCs/>
                    <w:iCs/>
                    <w:sz w:val="24"/>
                  </w:rPr>
                </m:ctrlPr>
              </m:dPr>
              <m:e>
                <m:r>
                  <m:rPr>
                    <m:sty m:val="p"/>
                  </m:rPr>
                  <w:rPr>
                    <w:rFonts w:ascii="Cambria Math" w:hAnsi="Cambria Math"/>
                    <w:sz w:val="24"/>
                  </w:rPr>
                  <m:t>AGU</m:t>
                </m:r>
              </m:e>
            </m:d>
            <m:ctrlPr>
              <w:rPr>
                <w:rFonts w:ascii="Cambria Math" w:hAnsi="Cambria Math"/>
                <w:bCs/>
                <w:i/>
                <w:iCs/>
                <w:sz w:val="24"/>
              </w:rPr>
            </m:ctrlPr>
          </m:e>
          <m:sub>
            <m:r>
              <w:rPr>
                <w:rFonts w:ascii="Cambria Math" w:hAnsi="Cambria Math"/>
                <w:sz w:val="24"/>
              </w:rPr>
              <m:t>j,t</m:t>
            </m:r>
          </m:sub>
        </m:sSub>
      </m:oMath>
      <w:r w:rsidRPr="00C74EB6">
        <w:rPr>
          <w:rFonts w:hint="eastAsia"/>
          <w:bCs/>
          <w:iCs/>
          <w:sz w:val="24"/>
        </w:rPr>
        <w:t>为</w:t>
      </w:r>
      <w:r w:rsidRPr="00C74EB6">
        <w:rPr>
          <w:rFonts w:hint="eastAsia"/>
          <w:sz w:val="24"/>
        </w:rPr>
        <w:t>企业层面的资产增长率标准差的行业中位数，需要先计算每家公司的季度资产增长率和每年四个季度的资产增长率标准差</w:t>
      </w:r>
      <w:r w:rsidR="004F391E">
        <w:rPr>
          <w:rFonts w:hint="eastAsia"/>
          <w:sz w:val="24"/>
        </w:rPr>
        <w:t>。</w:t>
      </w:r>
    </w:p>
    <w:p w14:paraId="1234E97B" w14:textId="77777777" w:rsidR="00B652C2" w:rsidRPr="00C74EB6" w:rsidRDefault="00B652C2" w:rsidP="00B652C2">
      <w:pPr>
        <w:spacing w:line="360" w:lineRule="auto"/>
        <w:ind w:firstLineChars="200" w:firstLine="480"/>
        <w:rPr>
          <w:sz w:val="24"/>
        </w:rPr>
      </w:pPr>
      <w:r w:rsidRPr="00C74EB6">
        <w:rPr>
          <w:rFonts w:hint="eastAsia"/>
          <w:sz w:val="24"/>
        </w:rPr>
        <w:t>为减轻行业特定的创新噪声，参考</w:t>
      </w:r>
      <w:r w:rsidRPr="00C74EB6">
        <w:rPr>
          <w:rFonts w:hint="eastAsia"/>
          <w:sz w:val="24"/>
        </w:rPr>
        <w:t>Francis</w:t>
      </w:r>
      <w:r w:rsidRPr="00C74EB6">
        <w:rPr>
          <w:rFonts w:hint="eastAsia"/>
          <w:sz w:val="24"/>
        </w:rPr>
        <w:t>等（</w:t>
      </w:r>
      <w:r w:rsidRPr="00C74EB6">
        <w:rPr>
          <w:rFonts w:hint="eastAsia"/>
          <w:sz w:val="24"/>
        </w:rPr>
        <w:t>2</w:t>
      </w:r>
      <w:r w:rsidRPr="00C74EB6">
        <w:rPr>
          <w:sz w:val="24"/>
        </w:rPr>
        <w:t>015</w:t>
      </w:r>
      <w:r w:rsidRPr="00C74EB6">
        <w:rPr>
          <w:rFonts w:hint="eastAsia"/>
          <w:sz w:val="24"/>
        </w:rPr>
        <w:t>）的方法，对同一年份、同一行业的所有企业的调整后专利引用次数进行汇总，记为</w:t>
      </w:r>
      <m:oMath>
        <m:r>
          <w:rPr>
            <w:rFonts w:ascii="Cambria Math" w:hAnsi="Cambria Math"/>
            <w:sz w:val="24"/>
          </w:rPr>
          <m:t>Ci</m:t>
        </m:r>
        <m:sSub>
          <m:sSubPr>
            <m:ctrlPr>
              <w:rPr>
                <w:rFonts w:ascii="Cambria Math" w:hAnsi="Cambria Math"/>
                <w:bCs/>
                <w:i/>
                <w:iCs/>
                <w:sz w:val="24"/>
              </w:rPr>
            </m:ctrlPr>
          </m:sSubPr>
          <m:e>
            <m:r>
              <w:rPr>
                <w:rFonts w:ascii="Cambria Math" w:hAnsi="Cambria Math"/>
                <w:sz w:val="24"/>
              </w:rPr>
              <m:t>t</m:t>
            </m:r>
          </m:e>
          <m:sub>
            <m:r>
              <w:rPr>
                <w:rFonts w:ascii="Cambria Math" w:hAnsi="Cambria Math"/>
                <w:sz w:val="24"/>
              </w:rPr>
              <m:t>j,t</m:t>
            </m:r>
          </m:sub>
        </m:sSub>
      </m:oMath>
      <w:r w:rsidRPr="00C74EB6">
        <w:rPr>
          <w:rFonts w:hint="eastAsia"/>
          <w:sz w:val="24"/>
        </w:rPr>
        <w:t>。</w:t>
      </w:r>
      <w:r w:rsidRPr="00C74EB6">
        <w:rPr>
          <w:rFonts w:hint="eastAsia"/>
          <w:bCs/>
          <w:iCs/>
          <w:sz w:val="24"/>
        </w:rPr>
        <w:t>引用数据从</w:t>
      </w:r>
      <w:r w:rsidRPr="00C74EB6">
        <w:rPr>
          <w:rFonts w:hint="eastAsia"/>
          <w:bCs/>
          <w:iCs/>
          <w:sz w:val="24"/>
        </w:rPr>
        <w:t>C</w:t>
      </w:r>
      <w:r w:rsidRPr="00C74EB6">
        <w:rPr>
          <w:bCs/>
          <w:iCs/>
          <w:sz w:val="24"/>
        </w:rPr>
        <w:t>NRDS</w:t>
      </w:r>
      <w:r w:rsidRPr="00C74EB6">
        <w:rPr>
          <w:rFonts w:hint="eastAsia"/>
          <w:bCs/>
          <w:iCs/>
          <w:sz w:val="24"/>
        </w:rPr>
        <w:t>数据库的</w:t>
      </w:r>
      <w:r w:rsidRPr="00C74EB6">
        <w:rPr>
          <w:rFonts w:hint="eastAsia"/>
          <w:bCs/>
          <w:iCs/>
          <w:sz w:val="24"/>
        </w:rPr>
        <w:t>C</w:t>
      </w:r>
      <w:r w:rsidRPr="00C74EB6">
        <w:rPr>
          <w:bCs/>
          <w:iCs/>
          <w:sz w:val="24"/>
        </w:rPr>
        <w:t>ITE</w:t>
      </w:r>
      <w:r w:rsidRPr="00C74EB6">
        <w:rPr>
          <w:rFonts w:hint="eastAsia"/>
          <w:bCs/>
          <w:iCs/>
          <w:sz w:val="24"/>
        </w:rPr>
        <w:t>数据集获取。考虑到专利发表的延迟性质，本文使用专利自获批以来</w:t>
      </w:r>
      <w:r w:rsidRPr="00C74EB6">
        <w:rPr>
          <w:rFonts w:hint="eastAsia"/>
          <w:bCs/>
          <w:iCs/>
          <w:sz w:val="24"/>
        </w:rPr>
        <w:t>3</w:t>
      </w:r>
      <w:r w:rsidRPr="00C74EB6">
        <w:rPr>
          <w:rFonts w:hint="eastAsia"/>
          <w:bCs/>
          <w:iCs/>
          <w:sz w:val="24"/>
        </w:rPr>
        <w:t>年内被引用数量。</w:t>
      </w:r>
    </w:p>
    <w:p w14:paraId="6DECFFDA" w14:textId="3CE85F51" w:rsidR="00824D75" w:rsidRPr="00C74EB6" w:rsidRDefault="004B772F" w:rsidP="00284A83">
      <w:pPr>
        <w:spacing w:line="360" w:lineRule="auto"/>
        <w:ind w:firstLineChars="200" w:firstLine="480"/>
        <w:rPr>
          <w:sz w:val="24"/>
        </w:rPr>
      </w:pPr>
      <w:r w:rsidRPr="00C74EB6">
        <w:rPr>
          <w:sz w:val="24"/>
        </w:rPr>
        <w:fldChar w:fldCharType="begin"/>
      </w:r>
      <w:r w:rsidRPr="00C74EB6">
        <w:rPr>
          <w:sz w:val="24"/>
        </w:rPr>
        <w:instrText xml:space="preserve"> </w:instrText>
      </w:r>
      <w:r w:rsidRPr="00C74EB6">
        <w:rPr>
          <w:rFonts w:hint="eastAsia"/>
          <w:sz w:val="24"/>
        </w:rPr>
        <w:instrText>REF _Ref190769324 \h</w:instrText>
      </w:r>
      <w:r w:rsidRPr="00C74EB6">
        <w:rPr>
          <w:sz w:val="24"/>
        </w:rPr>
        <w:instrText xml:space="preserve">  \* MERGEFORMAT </w:instrText>
      </w:r>
      <w:r w:rsidRPr="00C74EB6">
        <w:rPr>
          <w:sz w:val="24"/>
        </w:rPr>
      </w:r>
      <w:r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11</w:t>
      </w:r>
      <w:r w:rsidRPr="00C74EB6">
        <w:rPr>
          <w:sz w:val="24"/>
        </w:rPr>
        <w:fldChar w:fldCharType="end"/>
      </w:r>
      <w:r w:rsidR="00284A83" w:rsidRPr="00C74EB6">
        <w:rPr>
          <w:rFonts w:hint="eastAsia"/>
          <w:sz w:val="24"/>
        </w:rPr>
        <w:t>列（</w:t>
      </w:r>
      <w:r w:rsidR="00B652C2" w:rsidRPr="00C74EB6">
        <w:rPr>
          <w:rFonts w:hint="eastAsia"/>
          <w:sz w:val="24"/>
        </w:rPr>
        <w:t>1</w:t>
      </w:r>
      <w:r w:rsidR="00284A83" w:rsidRPr="00C74EB6">
        <w:rPr>
          <w:rFonts w:hint="eastAsia"/>
          <w:sz w:val="24"/>
        </w:rPr>
        <w:t>）</w:t>
      </w:r>
      <w:r w:rsidR="00B652C2" w:rsidRPr="00C74EB6">
        <w:rPr>
          <w:rFonts w:hint="eastAsia"/>
          <w:sz w:val="24"/>
        </w:rPr>
        <w:t>-</w:t>
      </w:r>
      <w:r w:rsidR="00B652C2" w:rsidRPr="00C74EB6">
        <w:rPr>
          <w:rFonts w:hint="eastAsia"/>
          <w:sz w:val="24"/>
        </w:rPr>
        <w:t>（</w:t>
      </w:r>
      <w:r w:rsidR="00D03FCD" w:rsidRPr="00C74EB6">
        <w:rPr>
          <w:rFonts w:hint="eastAsia"/>
          <w:sz w:val="24"/>
        </w:rPr>
        <w:t>4</w:t>
      </w:r>
      <w:r w:rsidR="00B652C2" w:rsidRPr="00C74EB6">
        <w:rPr>
          <w:rFonts w:hint="eastAsia"/>
          <w:sz w:val="24"/>
        </w:rPr>
        <w:t>）</w:t>
      </w:r>
      <w:r w:rsidR="00824D75" w:rsidRPr="00C74EB6">
        <w:rPr>
          <w:rFonts w:hint="eastAsia"/>
          <w:sz w:val="24"/>
        </w:rPr>
        <w:t>显示，行业特定才能要求高</w:t>
      </w:r>
      <w:r w:rsidR="009B48AF" w:rsidRPr="00C74EB6">
        <w:rPr>
          <w:rFonts w:hint="eastAsia"/>
          <w:sz w:val="24"/>
        </w:rPr>
        <w:t>、行业增长不确定性</w:t>
      </w:r>
      <w:r w:rsidR="00824D75" w:rsidRPr="00C74EB6">
        <w:rPr>
          <w:rFonts w:hint="eastAsia"/>
          <w:sz w:val="24"/>
        </w:rPr>
        <w:t>的组别中，组织资本的边际效应更大且更显著，组间系数差异显著</w:t>
      </w:r>
      <w:r w:rsidR="009B48AF" w:rsidRPr="00C74EB6">
        <w:rPr>
          <w:rFonts w:hint="eastAsia"/>
          <w:sz w:val="24"/>
        </w:rPr>
        <w:t>。</w:t>
      </w:r>
      <w:r w:rsidR="001D6ED7" w:rsidRPr="00C74EB6">
        <w:rPr>
          <w:rFonts w:hint="eastAsia"/>
          <w:sz w:val="24"/>
        </w:rPr>
        <w:t>这是因为，特定才能要求高</w:t>
      </w:r>
      <w:r w:rsidR="00D03FCD" w:rsidRPr="00C74EB6">
        <w:rPr>
          <w:rFonts w:hint="eastAsia"/>
          <w:sz w:val="24"/>
        </w:rPr>
        <w:t>、增长不确定性的行业中</w:t>
      </w:r>
      <w:r w:rsidR="001D6ED7" w:rsidRPr="00C74EB6">
        <w:rPr>
          <w:rFonts w:hint="eastAsia"/>
          <w:sz w:val="24"/>
        </w:rPr>
        <w:t>，</w:t>
      </w:r>
      <w:r w:rsidR="00D03FCD" w:rsidRPr="00C74EB6">
        <w:rPr>
          <w:rFonts w:hint="eastAsia"/>
          <w:sz w:val="24"/>
        </w:rPr>
        <w:t>企业的竞争力往往与关键人才的经验和专业知识高度相关，这些企业难以快速找到替代者，因此，组织资本较高的公司更愿意保护</w:t>
      </w:r>
      <w:r w:rsidR="00370FED" w:rsidRPr="00C74EB6">
        <w:rPr>
          <w:rFonts w:hint="eastAsia"/>
          <w:sz w:val="24"/>
        </w:rPr>
        <w:t>管理层</w:t>
      </w:r>
      <w:r w:rsidR="00D03FCD" w:rsidRPr="00C74EB6">
        <w:rPr>
          <w:rFonts w:hint="eastAsia"/>
          <w:sz w:val="24"/>
        </w:rPr>
        <w:t>；且此类行业的</w:t>
      </w:r>
      <w:r w:rsidR="001D6ED7" w:rsidRPr="00C74EB6">
        <w:rPr>
          <w:rFonts w:hint="eastAsia"/>
          <w:sz w:val="24"/>
        </w:rPr>
        <w:t>组织资本的积累过程中包含更多风险成分，例如生物医药、人工智能领域的高</w:t>
      </w:r>
      <w:proofErr w:type="gramStart"/>
      <w:r w:rsidR="001D6ED7" w:rsidRPr="00C74EB6">
        <w:rPr>
          <w:rFonts w:hint="eastAsia"/>
          <w:sz w:val="24"/>
        </w:rPr>
        <w:t>频</w:t>
      </w:r>
      <w:proofErr w:type="gramEnd"/>
      <w:r w:rsidR="001D6ED7" w:rsidRPr="00C74EB6">
        <w:rPr>
          <w:rFonts w:hint="eastAsia"/>
          <w:sz w:val="24"/>
        </w:rPr>
        <w:t>创新等，组织资本的提升会加剧风险敞口，倒</w:t>
      </w:r>
      <w:proofErr w:type="gramStart"/>
      <w:r w:rsidR="001D6ED7" w:rsidRPr="00C74EB6">
        <w:rPr>
          <w:rFonts w:hint="eastAsia"/>
          <w:sz w:val="24"/>
        </w:rPr>
        <w:t>逼企业</w:t>
      </w:r>
      <w:proofErr w:type="gramEnd"/>
      <w:r w:rsidR="001D6ED7" w:rsidRPr="00C74EB6">
        <w:rPr>
          <w:rFonts w:hint="eastAsia"/>
          <w:sz w:val="24"/>
        </w:rPr>
        <w:t>配置</w:t>
      </w:r>
      <w:r w:rsidR="004F391E">
        <w:rPr>
          <w:rFonts w:hint="eastAsia"/>
          <w:sz w:val="24"/>
        </w:rPr>
        <w:t>董</w:t>
      </w:r>
      <w:proofErr w:type="gramStart"/>
      <w:r w:rsidR="004F391E">
        <w:rPr>
          <w:rFonts w:hint="eastAsia"/>
          <w:sz w:val="24"/>
        </w:rPr>
        <w:t>监高责任</w:t>
      </w:r>
      <w:proofErr w:type="gramEnd"/>
      <w:r w:rsidR="004F391E">
        <w:rPr>
          <w:rFonts w:hint="eastAsia"/>
          <w:sz w:val="24"/>
        </w:rPr>
        <w:t>险</w:t>
      </w:r>
      <w:r w:rsidR="001D6ED7" w:rsidRPr="00C74EB6">
        <w:rPr>
          <w:rFonts w:hint="eastAsia"/>
          <w:sz w:val="24"/>
        </w:rPr>
        <w:t>。</w:t>
      </w:r>
    </w:p>
    <w:p w14:paraId="48390A26" w14:textId="77777777" w:rsidR="00824D75" w:rsidRPr="00C74EB6" w:rsidRDefault="00824D75" w:rsidP="00284A83">
      <w:pPr>
        <w:spacing w:line="360" w:lineRule="auto"/>
        <w:ind w:firstLineChars="200" w:firstLine="480"/>
        <w:rPr>
          <w:sz w:val="24"/>
        </w:rPr>
      </w:pPr>
    </w:p>
    <w:p w14:paraId="529C514B" w14:textId="77777777" w:rsidR="006B1BD3" w:rsidRDefault="006B1BD3" w:rsidP="00284A83">
      <w:pPr>
        <w:spacing w:line="360" w:lineRule="auto"/>
        <w:ind w:firstLineChars="200" w:firstLine="480"/>
        <w:rPr>
          <w:sz w:val="24"/>
        </w:rPr>
      </w:pPr>
    </w:p>
    <w:p w14:paraId="3B6F5E65" w14:textId="77777777" w:rsidR="006B1BD3" w:rsidRDefault="006B1BD3" w:rsidP="00284A83">
      <w:pPr>
        <w:spacing w:line="360" w:lineRule="auto"/>
        <w:ind w:firstLineChars="200" w:firstLine="480"/>
        <w:rPr>
          <w:sz w:val="24"/>
        </w:rPr>
      </w:pPr>
    </w:p>
    <w:p w14:paraId="2070AE3F" w14:textId="77777777" w:rsidR="006B1BD3" w:rsidRDefault="006B1BD3" w:rsidP="00284A83">
      <w:pPr>
        <w:spacing w:line="360" w:lineRule="auto"/>
        <w:ind w:firstLineChars="200" w:firstLine="480"/>
        <w:rPr>
          <w:sz w:val="24"/>
        </w:rPr>
      </w:pPr>
    </w:p>
    <w:p w14:paraId="362A566F" w14:textId="77777777" w:rsidR="006B1BD3" w:rsidRDefault="006B1BD3" w:rsidP="00284A83">
      <w:pPr>
        <w:spacing w:line="360" w:lineRule="auto"/>
        <w:ind w:firstLineChars="200" w:firstLine="480"/>
        <w:rPr>
          <w:sz w:val="24"/>
        </w:rPr>
      </w:pPr>
    </w:p>
    <w:p w14:paraId="44D072C1" w14:textId="77777777" w:rsidR="006B1BD3" w:rsidRDefault="006B1BD3" w:rsidP="00284A83">
      <w:pPr>
        <w:spacing w:line="360" w:lineRule="auto"/>
        <w:ind w:firstLineChars="200" w:firstLine="480"/>
        <w:rPr>
          <w:sz w:val="24"/>
        </w:rPr>
      </w:pPr>
    </w:p>
    <w:p w14:paraId="7EF0EAB2" w14:textId="77777777" w:rsidR="00DD61FC" w:rsidRDefault="00DD61FC" w:rsidP="008E596C">
      <w:pPr>
        <w:spacing w:line="360" w:lineRule="auto"/>
        <w:ind w:firstLine="480"/>
        <w:rPr>
          <w:sz w:val="24"/>
        </w:rPr>
      </w:pPr>
    </w:p>
    <w:p w14:paraId="4CE92646" w14:textId="77777777" w:rsidR="00630D2B" w:rsidRPr="00086241" w:rsidRDefault="00630D2B" w:rsidP="00CE240B">
      <w:pPr>
        <w:pStyle w:val="af5"/>
        <w:spacing w:line="360" w:lineRule="auto"/>
        <w:ind w:firstLine="482"/>
        <w:rPr>
          <w:rFonts w:ascii="Times New Roman" w:hAnsi="Times New Roman"/>
        </w:rPr>
      </w:pPr>
      <w:bookmarkStart w:id="140" w:name="_Ref184717486"/>
    </w:p>
    <w:p w14:paraId="20ED0FFF" w14:textId="4F8A177B" w:rsidR="008844AB" w:rsidRPr="00734874" w:rsidRDefault="00734874" w:rsidP="00734874">
      <w:pPr>
        <w:pStyle w:val="af5"/>
        <w:ind w:firstLine="482"/>
        <w:rPr>
          <w:rFonts w:ascii="Times New Roman" w:hAnsi="Times New Roman"/>
        </w:rPr>
      </w:pPr>
      <w:bookmarkStart w:id="141" w:name="_Ref190769324"/>
      <w:bookmarkEnd w:id="140"/>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11</w:t>
      </w:r>
      <w:r w:rsidRPr="00734874">
        <w:rPr>
          <w:rFonts w:ascii="Times New Roman" w:hAnsi="Times New Roman" w:hint="eastAsia"/>
        </w:rPr>
        <w:fldChar w:fldCharType="end"/>
      </w:r>
      <w:bookmarkEnd w:id="141"/>
      <w:r w:rsidR="006A2E4F" w:rsidRPr="00734874">
        <w:rPr>
          <w:rFonts w:ascii="Times New Roman" w:hAnsi="Times New Roman"/>
        </w:rPr>
        <w:t>：</w:t>
      </w:r>
      <w:r w:rsidR="00900CC9" w:rsidRPr="00734874">
        <w:rPr>
          <w:rFonts w:ascii="Times New Roman" w:hAnsi="Times New Roman" w:hint="eastAsia"/>
        </w:rPr>
        <w:t>异质性分析</w:t>
      </w:r>
      <w:r w:rsidR="00DE5436" w:rsidRPr="00734874">
        <w:rPr>
          <w:rFonts w:ascii="Times New Roman" w:hAnsi="Times New Roman" w:hint="eastAsia"/>
        </w:rPr>
        <w:t>基于行业特征分组</w:t>
      </w:r>
    </w:p>
    <w:tbl>
      <w:tblPr>
        <w:tblW w:w="5000" w:type="pct"/>
        <w:tblLook w:val="0000" w:firstRow="0" w:lastRow="0" w:firstColumn="0" w:lastColumn="0" w:noHBand="0" w:noVBand="0"/>
      </w:tblPr>
      <w:tblGrid>
        <w:gridCol w:w="1988"/>
        <w:gridCol w:w="1478"/>
        <w:gridCol w:w="1508"/>
        <w:gridCol w:w="1666"/>
        <w:gridCol w:w="1666"/>
      </w:tblGrid>
      <w:tr w:rsidR="00564C66" w:rsidRPr="00FD0D8E" w14:paraId="2D4A0523" w14:textId="77777777" w:rsidTr="00D85207">
        <w:tc>
          <w:tcPr>
            <w:tcW w:w="1196" w:type="pct"/>
            <w:tcBorders>
              <w:top w:val="single" w:sz="4" w:space="0" w:color="auto"/>
              <w:left w:val="nil"/>
              <w:bottom w:val="nil"/>
              <w:right w:val="nil"/>
            </w:tcBorders>
          </w:tcPr>
          <w:p w14:paraId="2F5356B3" w14:textId="77777777" w:rsidR="00564C66" w:rsidRPr="00FD0D8E" w:rsidRDefault="00564C66" w:rsidP="00C74EB6">
            <w:pPr>
              <w:autoSpaceDE w:val="0"/>
              <w:autoSpaceDN w:val="0"/>
              <w:adjustRightInd w:val="0"/>
              <w:rPr>
                <w:kern w:val="0"/>
                <w:szCs w:val="21"/>
              </w:rPr>
            </w:pPr>
          </w:p>
        </w:tc>
        <w:tc>
          <w:tcPr>
            <w:tcW w:w="890" w:type="pct"/>
            <w:tcBorders>
              <w:top w:val="single" w:sz="4" w:space="0" w:color="auto"/>
              <w:left w:val="nil"/>
              <w:bottom w:val="nil"/>
              <w:right w:val="nil"/>
            </w:tcBorders>
          </w:tcPr>
          <w:p w14:paraId="2B31D24B" w14:textId="77777777" w:rsidR="00564C66" w:rsidRPr="00FD0D8E" w:rsidRDefault="00564C66" w:rsidP="00C74EB6">
            <w:pPr>
              <w:autoSpaceDE w:val="0"/>
              <w:autoSpaceDN w:val="0"/>
              <w:adjustRightInd w:val="0"/>
              <w:jc w:val="center"/>
              <w:rPr>
                <w:kern w:val="0"/>
                <w:szCs w:val="21"/>
              </w:rPr>
            </w:pPr>
            <w:r w:rsidRPr="00FD0D8E">
              <w:rPr>
                <w:kern w:val="0"/>
                <w:szCs w:val="21"/>
              </w:rPr>
              <w:t>(1)</w:t>
            </w:r>
          </w:p>
        </w:tc>
        <w:tc>
          <w:tcPr>
            <w:tcW w:w="908" w:type="pct"/>
            <w:tcBorders>
              <w:top w:val="single" w:sz="4" w:space="0" w:color="auto"/>
              <w:left w:val="nil"/>
              <w:bottom w:val="nil"/>
              <w:right w:val="nil"/>
            </w:tcBorders>
          </w:tcPr>
          <w:p w14:paraId="315D42BE" w14:textId="77777777" w:rsidR="00564C66" w:rsidRPr="00FD0D8E" w:rsidRDefault="00564C66" w:rsidP="00C74EB6">
            <w:pPr>
              <w:autoSpaceDE w:val="0"/>
              <w:autoSpaceDN w:val="0"/>
              <w:adjustRightInd w:val="0"/>
              <w:jc w:val="center"/>
              <w:rPr>
                <w:kern w:val="0"/>
                <w:szCs w:val="21"/>
              </w:rPr>
            </w:pPr>
            <w:r w:rsidRPr="00FD0D8E">
              <w:rPr>
                <w:kern w:val="0"/>
                <w:szCs w:val="21"/>
              </w:rPr>
              <w:t>(2)</w:t>
            </w:r>
          </w:p>
        </w:tc>
        <w:tc>
          <w:tcPr>
            <w:tcW w:w="1003" w:type="pct"/>
            <w:tcBorders>
              <w:top w:val="single" w:sz="4" w:space="0" w:color="auto"/>
              <w:left w:val="nil"/>
              <w:bottom w:val="nil"/>
              <w:right w:val="nil"/>
            </w:tcBorders>
          </w:tcPr>
          <w:p w14:paraId="61D62F0A" w14:textId="77777777" w:rsidR="00564C66" w:rsidRPr="00FD0D8E" w:rsidRDefault="00564C66" w:rsidP="00C74EB6">
            <w:pPr>
              <w:autoSpaceDE w:val="0"/>
              <w:autoSpaceDN w:val="0"/>
              <w:adjustRightInd w:val="0"/>
              <w:jc w:val="center"/>
              <w:rPr>
                <w:kern w:val="0"/>
                <w:szCs w:val="21"/>
              </w:rPr>
            </w:pPr>
            <w:r w:rsidRPr="00FD0D8E">
              <w:rPr>
                <w:kern w:val="0"/>
                <w:szCs w:val="21"/>
              </w:rPr>
              <w:t>(3)</w:t>
            </w:r>
          </w:p>
        </w:tc>
        <w:tc>
          <w:tcPr>
            <w:tcW w:w="1004" w:type="pct"/>
            <w:tcBorders>
              <w:top w:val="single" w:sz="4" w:space="0" w:color="auto"/>
              <w:left w:val="nil"/>
              <w:bottom w:val="nil"/>
              <w:right w:val="nil"/>
            </w:tcBorders>
          </w:tcPr>
          <w:p w14:paraId="70D77F6D" w14:textId="77777777" w:rsidR="00564C66" w:rsidRPr="00FD0D8E" w:rsidRDefault="00564C66" w:rsidP="00C74EB6">
            <w:pPr>
              <w:autoSpaceDE w:val="0"/>
              <w:autoSpaceDN w:val="0"/>
              <w:adjustRightInd w:val="0"/>
              <w:jc w:val="center"/>
              <w:rPr>
                <w:kern w:val="0"/>
                <w:szCs w:val="21"/>
              </w:rPr>
            </w:pPr>
            <w:r w:rsidRPr="00FD0D8E">
              <w:rPr>
                <w:kern w:val="0"/>
                <w:szCs w:val="21"/>
              </w:rPr>
              <w:t>(4)</w:t>
            </w:r>
          </w:p>
        </w:tc>
      </w:tr>
      <w:tr w:rsidR="00564C66" w:rsidRPr="00FD0D8E" w14:paraId="1500EF88" w14:textId="77777777" w:rsidTr="00D85207">
        <w:tc>
          <w:tcPr>
            <w:tcW w:w="1196" w:type="pct"/>
            <w:tcBorders>
              <w:top w:val="nil"/>
              <w:left w:val="nil"/>
              <w:bottom w:val="nil"/>
              <w:right w:val="nil"/>
            </w:tcBorders>
          </w:tcPr>
          <w:p w14:paraId="0BB3CEBC" w14:textId="77777777" w:rsidR="00564C66" w:rsidRPr="00FD0D8E" w:rsidRDefault="00564C66" w:rsidP="00C74EB6">
            <w:pPr>
              <w:autoSpaceDE w:val="0"/>
              <w:autoSpaceDN w:val="0"/>
              <w:adjustRightInd w:val="0"/>
              <w:rPr>
                <w:kern w:val="0"/>
                <w:szCs w:val="21"/>
              </w:rPr>
            </w:pPr>
          </w:p>
        </w:tc>
        <w:tc>
          <w:tcPr>
            <w:tcW w:w="1797" w:type="pct"/>
            <w:gridSpan w:val="2"/>
            <w:tcBorders>
              <w:top w:val="nil"/>
              <w:left w:val="nil"/>
              <w:bottom w:val="nil"/>
              <w:right w:val="nil"/>
            </w:tcBorders>
          </w:tcPr>
          <w:p w14:paraId="0C0EAC8F"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行业特定才能</w:t>
            </w:r>
          </w:p>
        </w:tc>
        <w:tc>
          <w:tcPr>
            <w:tcW w:w="2007" w:type="pct"/>
            <w:gridSpan w:val="2"/>
            <w:tcBorders>
              <w:top w:val="nil"/>
              <w:left w:val="nil"/>
              <w:bottom w:val="nil"/>
              <w:right w:val="nil"/>
            </w:tcBorders>
          </w:tcPr>
          <w:p w14:paraId="29FEAE83"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行业增长不确定性</w:t>
            </w:r>
          </w:p>
        </w:tc>
      </w:tr>
      <w:tr w:rsidR="00564C66" w:rsidRPr="00FD0D8E" w14:paraId="12F398F2" w14:textId="77777777" w:rsidTr="00D85207">
        <w:tc>
          <w:tcPr>
            <w:tcW w:w="1196" w:type="pct"/>
            <w:tcBorders>
              <w:top w:val="nil"/>
              <w:left w:val="nil"/>
              <w:bottom w:val="nil"/>
              <w:right w:val="nil"/>
            </w:tcBorders>
          </w:tcPr>
          <w:p w14:paraId="5FF1E4F5" w14:textId="77777777" w:rsidR="00564C66" w:rsidRPr="00FD0D8E" w:rsidRDefault="00564C66" w:rsidP="00C74EB6">
            <w:pPr>
              <w:autoSpaceDE w:val="0"/>
              <w:autoSpaceDN w:val="0"/>
              <w:adjustRightInd w:val="0"/>
              <w:rPr>
                <w:kern w:val="0"/>
                <w:szCs w:val="21"/>
              </w:rPr>
            </w:pPr>
            <w:r w:rsidRPr="00FD0D8E">
              <w:rPr>
                <w:kern w:val="0"/>
                <w:szCs w:val="21"/>
              </w:rPr>
              <w:t>DO</w:t>
            </w:r>
            <w:r w:rsidRPr="00FD0D8E">
              <w:rPr>
                <w:kern w:val="0"/>
                <w:szCs w:val="21"/>
                <w:vertAlign w:val="subscript"/>
              </w:rPr>
              <w:t>t+1</w:t>
            </w:r>
          </w:p>
        </w:tc>
        <w:tc>
          <w:tcPr>
            <w:tcW w:w="890" w:type="pct"/>
            <w:tcBorders>
              <w:top w:val="nil"/>
              <w:left w:val="nil"/>
              <w:bottom w:val="nil"/>
              <w:right w:val="nil"/>
            </w:tcBorders>
          </w:tcPr>
          <w:p w14:paraId="5DE97FD1"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高</w:t>
            </w:r>
          </w:p>
        </w:tc>
        <w:tc>
          <w:tcPr>
            <w:tcW w:w="908" w:type="pct"/>
            <w:tcBorders>
              <w:top w:val="nil"/>
              <w:left w:val="nil"/>
              <w:bottom w:val="nil"/>
              <w:right w:val="nil"/>
            </w:tcBorders>
          </w:tcPr>
          <w:p w14:paraId="61D95595"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低</w:t>
            </w:r>
          </w:p>
        </w:tc>
        <w:tc>
          <w:tcPr>
            <w:tcW w:w="1003" w:type="pct"/>
            <w:tcBorders>
              <w:top w:val="nil"/>
              <w:left w:val="nil"/>
              <w:bottom w:val="nil"/>
              <w:right w:val="nil"/>
            </w:tcBorders>
          </w:tcPr>
          <w:p w14:paraId="69B51B1B"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高</w:t>
            </w:r>
          </w:p>
        </w:tc>
        <w:tc>
          <w:tcPr>
            <w:tcW w:w="1004" w:type="pct"/>
            <w:tcBorders>
              <w:top w:val="nil"/>
              <w:left w:val="nil"/>
              <w:bottom w:val="nil"/>
              <w:right w:val="nil"/>
            </w:tcBorders>
          </w:tcPr>
          <w:p w14:paraId="63DDBCD0" w14:textId="77777777" w:rsidR="00564C66" w:rsidRPr="00FD0D8E" w:rsidRDefault="00564C66" w:rsidP="00C74EB6">
            <w:pPr>
              <w:autoSpaceDE w:val="0"/>
              <w:autoSpaceDN w:val="0"/>
              <w:adjustRightInd w:val="0"/>
              <w:jc w:val="center"/>
              <w:rPr>
                <w:kern w:val="0"/>
                <w:szCs w:val="21"/>
              </w:rPr>
            </w:pPr>
            <w:r w:rsidRPr="00FD0D8E">
              <w:rPr>
                <w:rFonts w:hint="eastAsia"/>
                <w:kern w:val="0"/>
                <w:szCs w:val="21"/>
              </w:rPr>
              <w:t>低</w:t>
            </w:r>
          </w:p>
        </w:tc>
      </w:tr>
      <w:tr w:rsidR="00564C66" w:rsidRPr="00FD0D8E" w14:paraId="5166C0ED" w14:textId="77777777" w:rsidTr="00D85207">
        <w:tc>
          <w:tcPr>
            <w:tcW w:w="1196" w:type="pct"/>
            <w:tcBorders>
              <w:top w:val="single" w:sz="4" w:space="0" w:color="auto"/>
              <w:left w:val="nil"/>
              <w:bottom w:val="nil"/>
              <w:right w:val="nil"/>
            </w:tcBorders>
          </w:tcPr>
          <w:p w14:paraId="263F4772" w14:textId="3572A58C" w:rsidR="00564C66" w:rsidRPr="00FD0D8E" w:rsidRDefault="00564C66" w:rsidP="00C74EB6">
            <w:pPr>
              <w:autoSpaceDE w:val="0"/>
              <w:autoSpaceDN w:val="0"/>
              <w:adjustRightInd w:val="0"/>
              <w:rPr>
                <w:kern w:val="0"/>
                <w:szCs w:val="21"/>
              </w:rPr>
            </w:pPr>
            <w:r w:rsidRPr="00FD0D8E">
              <w:rPr>
                <w:kern w:val="0"/>
                <w:szCs w:val="21"/>
              </w:rPr>
              <w:t>OC</w:t>
            </w:r>
          </w:p>
        </w:tc>
        <w:tc>
          <w:tcPr>
            <w:tcW w:w="890" w:type="pct"/>
            <w:tcBorders>
              <w:top w:val="single" w:sz="4" w:space="0" w:color="auto"/>
              <w:left w:val="nil"/>
              <w:bottom w:val="nil"/>
              <w:right w:val="nil"/>
            </w:tcBorders>
          </w:tcPr>
          <w:p w14:paraId="64A4977C" w14:textId="77777777" w:rsidR="00564C66" w:rsidRPr="00FD0D8E" w:rsidRDefault="00564C66" w:rsidP="00C74EB6">
            <w:pPr>
              <w:autoSpaceDE w:val="0"/>
              <w:autoSpaceDN w:val="0"/>
              <w:adjustRightInd w:val="0"/>
              <w:jc w:val="center"/>
              <w:rPr>
                <w:kern w:val="0"/>
                <w:szCs w:val="21"/>
              </w:rPr>
            </w:pPr>
            <w:r w:rsidRPr="00FD0D8E">
              <w:rPr>
                <w:kern w:val="0"/>
                <w:szCs w:val="21"/>
              </w:rPr>
              <w:t>0.146</w:t>
            </w:r>
            <w:r w:rsidRPr="00FD0D8E">
              <w:rPr>
                <w:kern w:val="0"/>
                <w:szCs w:val="21"/>
                <w:vertAlign w:val="superscript"/>
              </w:rPr>
              <w:t>***</w:t>
            </w:r>
          </w:p>
        </w:tc>
        <w:tc>
          <w:tcPr>
            <w:tcW w:w="908" w:type="pct"/>
            <w:tcBorders>
              <w:top w:val="single" w:sz="4" w:space="0" w:color="auto"/>
              <w:left w:val="nil"/>
              <w:bottom w:val="nil"/>
              <w:right w:val="nil"/>
            </w:tcBorders>
          </w:tcPr>
          <w:p w14:paraId="19545D4C" w14:textId="77777777" w:rsidR="00564C66" w:rsidRPr="00FD0D8E" w:rsidRDefault="00564C66" w:rsidP="00C74EB6">
            <w:pPr>
              <w:autoSpaceDE w:val="0"/>
              <w:autoSpaceDN w:val="0"/>
              <w:adjustRightInd w:val="0"/>
              <w:jc w:val="center"/>
              <w:rPr>
                <w:kern w:val="0"/>
                <w:szCs w:val="21"/>
              </w:rPr>
            </w:pPr>
            <w:r w:rsidRPr="00FD0D8E">
              <w:rPr>
                <w:kern w:val="0"/>
                <w:szCs w:val="21"/>
              </w:rPr>
              <w:t>0.051</w:t>
            </w:r>
          </w:p>
        </w:tc>
        <w:tc>
          <w:tcPr>
            <w:tcW w:w="1003" w:type="pct"/>
            <w:tcBorders>
              <w:top w:val="single" w:sz="4" w:space="0" w:color="auto"/>
              <w:left w:val="nil"/>
              <w:bottom w:val="nil"/>
              <w:right w:val="nil"/>
            </w:tcBorders>
          </w:tcPr>
          <w:p w14:paraId="548BD9A4" w14:textId="77777777" w:rsidR="00564C66" w:rsidRPr="00FD0D8E" w:rsidRDefault="00564C66" w:rsidP="00C74EB6">
            <w:pPr>
              <w:autoSpaceDE w:val="0"/>
              <w:autoSpaceDN w:val="0"/>
              <w:adjustRightInd w:val="0"/>
              <w:jc w:val="center"/>
              <w:rPr>
                <w:kern w:val="0"/>
                <w:szCs w:val="21"/>
              </w:rPr>
            </w:pPr>
            <w:r w:rsidRPr="00FD0D8E">
              <w:rPr>
                <w:kern w:val="0"/>
                <w:szCs w:val="21"/>
              </w:rPr>
              <w:t>0.186</w:t>
            </w:r>
            <w:r w:rsidRPr="00FD0D8E">
              <w:rPr>
                <w:kern w:val="0"/>
                <w:szCs w:val="21"/>
                <w:vertAlign w:val="superscript"/>
              </w:rPr>
              <w:t>***</w:t>
            </w:r>
          </w:p>
        </w:tc>
        <w:tc>
          <w:tcPr>
            <w:tcW w:w="1004" w:type="pct"/>
            <w:tcBorders>
              <w:top w:val="single" w:sz="4" w:space="0" w:color="auto"/>
              <w:left w:val="nil"/>
              <w:bottom w:val="nil"/>
              <w:right w:val="nil"/>
            </w:tcBorders>
          </w:tcPr>
          <w:p w14:paraId="142948CA" w14:textId="77777777" w:rsidR="00564C66" w:rsidRPr="00FD0D8E" w:rsidRDefault="00564C66" w:rsidP="00C74EB6">
            <w:pPr>
              <w:autoSpaceDE w:val="0"/>
              <w:autoSpaceDN w:val="0"/>
              <w:adjustRightInd w:val="0"/>
              <w:jc w:val="center"/>
              <w:rPr>
                <w:kern w:val="0"/>
                <w:szCs w:val="21"/>
              </w:rPr>
            </w:pPr>
            <w:r w:rsidRPr="00FD0D8E">
              <w:rPr>
                <w:kern w:val="0"/>
                <w:szCs w:val="21"/>
              </w:rPr>
              <w:t>0.034</w:t>
            </w:r>
          </w:p>
        </w:tc>
      </w:tr>
      <w:tr w:rsidR="00564C66" w:rsidRPr="00FD0D8E" w14:paraId="5550DCD9" w14:textId="77777777" w:rsidTr="00D85207">
        <w:tc>
          <w:tcPr>
            <w:tcW w:w="1196" w:type="pct"/>
            <w:tcBorders>
              <w:top w:val="nil"/>
              <w:left w:val="nil"/>
              <w:bottom w:val="nil"/>
              <w:right w:val="nil"/>
            </w:tcBorders>
          </w:tcPr>
          <w:p w14:paraId="6E04176A"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2E033D1D" w14:textId="77777777" w:rsidR="00564C66" w:rsidRPr="00FD0D8E" w:rsidRDefault="00564C66" w:rsidP="00C74EB6">
            <w:pPr>
              <w:autoSpaceDE w:val="0"/>
              <w:autoSpaceDN w:val="0"/>
              <w:adjustRightInd w:val="0"/>
              <w:jc w:val="center"/>
              <w:rPr>
                <w:kern w:val="0"/>
                <w:szCs w:val="21"/>
              </w:rPr>
            </w:pPr>
            <w:r w:rsidRPr="00FD0D8E">
              <w:rPr>
                <w:kern w:val="0"/>
                <w:szCs w:val="21"/>
              </w:rPr>
              <w:t>(0.030)</w:t>
            </w:r>
          </w:p>
        </w:tc>
        <w:tc>
          <w:tcPr>
            <w:tcW w:w="908" w:type="pct"/>
            <w:tcBorders>
              <w:top w:val="nil"/>
              <w:left w:val="nil"/>
              <w:bottom w:val="nil"/>
              <w:right w:val="nil"/>
            </w:tcBorders>
          </w:tcPr>
          <w:p w14:paraId="4D4C41E6" w14:textId="77777777" w:rsidR="00564C66" w:rsidRPr="00FD0D8E" w:rsidRDefault="00564C66" w:rsidP="00C74EB6">
            <w:pPr>
              <w:autoSpaceDE w:val="0"/>
              <w:autoSpaceDN w:val="0"/>
              <w:adjustRightInd w:val="0"/>
              <w:jc w:val="center"/>
              <w:rPr>
                <w:kern w:val="0"/>
                <w:szCs w:val="21"/>
              </w:rPr>
            </w:pPr>
            <w:r w:rsidRPr="00FD0D8E">
              <w:rPr>
                <w:kern w:val="0"/>
                <w:szCs w:val="21"/>
              </w:rPr>
              <w:t>(0.031)</w:t>
            </w:r>
          </w:p>
        </w:tc>
        <w:tc>
          <w:tcPr>
            <w:tcW w:w="1003" w:type="pct"/>
            <w:tcBorders>
              <w:top w:val="nil"/>
              <w:left w:val="nil"/>
              <w:bottom w:val="nil"/>
              <w:right w:val="nil"/>
            </w:tcBorders>
          </w:tcPr>
          <w:p w14:paraId="0188EF86" w14:textId="77777777" w:rsidR="00564C66" w:rsidRPr="00FD0D8E" w:rsidRDefault="00564C66" w:rsidP="00C74EB6">
            <w:pPr>
              <w:autoSpaceDE w:val="0"/>
              <w:autoSpaceDN w:val="0"/>
              <w:adjustRightInd w:val="0"/>
              <w:jc w:val="center"/>
              <w:rPr>
                <w:kern w:val="0"/>
                <w:szCs w:val="21"/>
              </w:rPr>
            </w:pPr>
            <w:r w:rsidRPr="00FD0D8E">
              <w:rPr>
                <w:kern w:val="0"/>
                <w:szCs w:val="21"/>
              </w:rPr>
              <w:t>(0.032)</w:t>
            </w:r>
          </w:p>
        </w:tc>
        <w:tc>
          <w:tcPr>
            <w:tcW w:w="1004" w:type="pct"/>
            <w:tcBorders>
              <w:top w:val="nil"/>
              <w:left w:val="nil"/>
              <w:bottom w:val="nil"/>
              <w:right w:val="nil"/>
            </w:tcBorders>
          </w:tcPr>
          <w:p w14:paraId="7D59886C" w14:textId="77777777" w:rsidR="00564C66" w:rsidRPr="00FD0D8E" w:rsidRDefault="00564C66" w:rsidP="00C74EB6">
            <w:pPr>
              <w:autoSpaceDE w:val="0"/>
              <w:autoSpaceDN w:val="0"/>
              <w:adjustRightInd w:val="0"/>
              <w:jc w:val="center"/>
              <w:rPr>
                <w:kern w:val="0"/>
                <w:szCs w:val="21"/>
              </w:rPr>
            </w:pPr>
            <w:r w:rsidRPr="00FD0D8E">
              <w:rPr>
                <w:kern w:val="0"/>
                <w:szCs w:val="21"/>
              </w:rPr>
              <w:t>(0.029)</w:t>
            </w:r>
          </w:p>
        </w:tc>
      </w:tr>
      <w:tr w:rsidR="00564C66" w:rsidRPr="00FD0D8E" w14:paraId="157E340C" w14:textId="77777777" w:rsidTr="00D85207">
        <w:tc>
          <w:tcPr>
            <w:tcW w:w="1196" w:type="pct"/>
            <w:tcBorders>
              <w:top w:val="nil"/>
              <w:left w:val="nil"/>
              <w:bottom w:val="nil"/>
              <w:right w:val="nil"/>
            </w:tcBorders>
          </w:tcPr>
          <w:p w14:paraId="1A355324" w14:textId="77777777" w:rsidR="00564C66" w:rsidRPr="00FD0D8E" w:rsidRDefault="00564C66" w:rsidP="00C74EB6">
            <w:pPr>
              <w:autoSpaceDE w:val="0"/>
              <w:autoSpaceDN w:val="0"/>
              <w:adjustRightInd w:val="0"/>
              <w:rPr>
                <w:kern w:val="0"/>
                <w:szCs w:val="21"/>
              </w:rPr>
            </w:pPr>
            <w:r w:rsidRPr="00FD0D8E">
              <w:rPr>
                <w:kern w:val="0"/>
                <w:szCs w:val="21"/>
              </w:rPr>
              <w:t>BH</w:t>
            </w:r>
          </w:p>
        </w:tc>
        <w:tc>
          <w:tcPr>
            <w:tcW w:w="890" w:type="pct"/>
            <w:tcBorders>
              <w:top w:val="nil"/>
              <w:left w:val="nil"/>
              <w:bottom w:val="nil"/>
              <w:right w:val="nil"/>
            </w:tcBorders>
          </w:tcPr>
          <w:p w14:paraId="0AC34B8C" w14:textId="77777777" w:rsidR="00564C66" w:rsidRPr="00FD0D8E" w:rsidRDefault="00564C66" w:rsidP="00C74EB6">
            <w:pPr>
              <w:autoSpaceDE w:val="0"/>
              <w:autoSpaceDN w:val="0"/>
              <w:adjustRightInd w:val="0"/>
              <w:jc w:val="center"/>
              <w:rPr>
                <w:kern w:val="0"/>
                <w:szCs w:val="21"/>
              </w:rPr>
            </w:pPr>
            <w:r w:rsidRPr="00FD0D8E">
              <w:rPr>
                <w:kern w:val="0"/>
                <w:szCs w:val="21"/>
              </w:rPr>
              <w:t>0.120</w:t>
            </w:r>
            <w:r w:rsidRPr="00FD0D8E">
              <w:rPr>
                <w:kern w:val="0"/>
                <w:szCs w:val="21"/>
                <w:vertAlign w:val="superscript"/>
              </w:rPr>
              <w:t>***</w:t>
            </w:r>
          </w:p>
        </w:tc>
        <w:tc>
          <w:tcPr>
            <w:tcW w:w="908" w:type="pct"/>
            <w:tcBorders>
              <w:top w:val="nil"/>
              <w:left w:val="nil"/>
              <w:bottom w:val="nil"/>
              <w:right w:val="nil"/>
            </w:tcBorders>
          </w:tcPr>
          <w:p w14:paraId="0135E792" w14:textId="77777777" w:rsidR="00564C66" w:rsidRPr="00FD0D8E" w:rsidRDefault="00564C66" w:rsidP="00C74EB6">
            <w:pPr>
              <w:autoSpaceDE w:val="0"/>
              <w:autoSpaceDN w:val="0"/>
              <w:adjustRightInd w:val="0"/>
              <w:jc w:val="center"/>
              <w:rPr>
                <w:kern w:val="0"/>
                <w:szCs w:val="21"/>
              </w:rPr>
            </w:pPr>
            <w:r w:rsidRPr="00FD0D8E">
              <w:rPr>
                <w:kern w:val="0"/>
                <w:szCs w:val="21"/>
              </w:rPr>
              <w:t>0.117</w:t>
            </w:r>
            <w:r w:rsidRPr="00FD0D8E">
              <w:rPr>
                <w:kern w:val="0"/>
                <w:szCs w:val="21"/>
                <w:vertAlign w:val="superscript"/>
              </w:rPr>
              <w:t>***</w:t>
            </w:r>
          </w:p>
        </w:tc>
        <w:tc>
          <w:tcPr>
            <w:tcW w:w="1003" w:type="pct"/>
            <w:tcBorders>
              <w:top w:val="nil"/>
              <w:left w:val="nil"/>
              <w:bottom w:val="nil"/>
              <w:right w:val="nil"/>
            </w:tcBorders>
          </w:tcPr>
          <w:p w14:paraId="0C0177E0" w14:textId="77777777" w:rsidR="00564C66" w:rsidRPr="00FD0D8E" w:rsidRDefault="00564C66" w:rsidP="00C74EB6">
            <w:pPr>
              <w:autoSpaceDE w:val="0"/>
              <w:autoSpaceDN w:val="0"/>
              <w:adjustRightInd w:val="0"/>
              <w:jc w:val="center"/>
              <w:rPr>
                <w:kern w:val="0"/>
                <w:szCs w:val="21"/>
              </w:rPr>
            </w:pPr>
            <w:r w:rsidRPr="00FD0D8E">
              <w:rPr>
                <w:kern w:val="0"/>
                <w:szCs w:val="21"/>
              </w:rPr>
              <w:t>0.100</w:t>
            </w:r>
            <w:r w:rsidRPr="00FD0D8E">
              <w:rPr>
                <w:kern w:val="0"/>
                <w:szCs w:val="21"/>
                <w:vertAlign w:val="superscript"/>
              </w:rPr>
              <w:t>***</w:t>
            </w:r>
          </w:p>
        </w:tc>
        <w:tc>
          <w:tcPr>
            <w:tcW w:w="1004" w:type="pct"/>
            <w:tcBorders>
              <w:top w:val="nil"/>
              <w:left w:val="nil"/>
              <w:bottom w:val="nil"/>
              <w:right w:val="nil"/>
            </w:tcBorders>
          </w:tcPr>
          <w:p w14:paraId="2F6089D2" w14:textId="77777777" w:rsidR="00564C66" w:rsidRPr="00FD0D8E" w:rsidRDefault="00564C66" w:rsidP="00C74EB6">
            <w:pPr>
              <w:autoSpaceDE w:val="0"/>
              <w:autoSpaceDN w:val="0"/>
              <w:adjustRightInd w:val="0"/>
              <w:jc w:val="center"/>
              <w:rPr>
                <w:kern w:val="0"/>
                <w:szCs w:val="21"/>
              </w:rPr>
            </w:pPr>
            <w:r w:rsidRPr="00FD0D8E">
              <w:rPr>
                <w:kern w:val="0"/>
                <w:szCs w:val="21"/>
              </w:rPr>
              <w:t>0.134</w:t>
            </w:r>
            <w:r w:rsidRPr="00FD0D8E">
              <w:rPr>
                <w:kern w:val="0"/>
                <w:szCs w:val="21"/>
                <w:vertAlign w:val="superscript"/>
              </w:rPr>
              <w:t>***</w:t>
            </w:r>
          </w:p>
        </w:tc>
      </w:tr>
      <w:tr w:rsidR="00564C66" w:rsidRPr="00FD0D8E" w14:paraId="6EB39E91" w14:textId="77777777" w:rsidTr="00D85207">
        <w:tc>
          <w:tcPr>
            <w:tcW w:w="1196" w:type="pct"/>
            <w:tcBorders>
              <w:top w:val="nil"/>
              <w:left w:val="nil"/>
              <w:bottom w:val="nil"/>
              <w:right w:val="nil"/>
            </w:tcBorders>
          </w:tcPr>
          <w:p w14:paraId="259F60EA"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6E55BF75"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908" w:type="pct"/>
            <w:tcBorders>
              <w:top w:val="nil"/>
              <w:left w:val="nil"/>
              <w:bottom w:val="nil"/>
              <w:right w:val="nil"/>
            </w:tcBorders>
          </w:tcPr>
          <w:p w14:paraId="6A9ECC29" w14:textId="77777777" w:rsidR="00564C66" w:rsidRPr="00FD0D8E" w:rsidRDefault="00564C66" w:rsidP="00C74EB6">
            <w:pPr>
              <w:autoSpaceDE w:val="0"/>
              <w:autoSpaceDN w:val="0"/>
              <w:adjustRightInd w:val="0"/>
              <w:jc w:val="center"/>
              <w:rPr>
                <w:kern w:val="0"/>
                <w:szCs w:val="21"/>
              </w:rPr>
            </w:pPr>
            <w:r w:rsidRPr="00FD0D8E">
              <w:rPr>
                <w:kern w:val="0"/>
                <w:szCs w:val="21"/>
              </w:rPr>
              <w:t>(0.010)</w:t>
            </w:r>
          </w:p>
        </w:tc>
        <w:tc>
          <w:tcPr>
            <w:tcW w:w="1003" w:type="pct"/>
            <w:tcBorders>
              <w:top w:val="nil"/>
              <w:left w:val="nil"/>
              <w:bottom w:val="nil"/>
              <w:right w:val="nil"/>
            </w:tcBorders>
          </w:tcPr>
          <w:p w14:paraId="690B2705"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1004" w:type="pct"/>
            <w:tcBorders>
              <w:top w:val="nil"/>
              <w:left w:val="nil"/>
              <w:bottom w:val="nil"/>
              <w:right w:val="nil"/>
            </w:tcBorders>
          </w:tcPr>
          <w:p w14:paraId="6BE4DAC2"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r>
      <w:tr w:rsidR="00564C66" w:rsidRPr="00FD0D8E" w14:paraId="63EB1C2B" w14:textId="77777777" w:rsidTr="00D85207">
        <w:tc>
          <w:tcPr>
            <w:tcW w:w="1196" w:type="pct"/>
            <w:tcBorders>
              <w:top w:val="nil"/>
              <w:left w:val="nil"/>
              <w:bottom w:val="nil"/>
              <w:right w:val="nil"/>
            </w:tcBorders>
          </w:tcPr>
          <w:p w14:paraId="7BD70B98" w14:textId="77777777" w:rsidR="00564C66" w:rsidRPr="00FD0D8E" w:rsidRDefault="00564C66" w:rsidP="00C74EB6">
            <w:pPr>
              <w:autoSpaceDE w:val="0"/>
              <w:autoSpaceDN w:val="0"/>
              <w:adjustRightInd w:val="0"/>
              <w:rPr>
                <w:kern w:val="0"/>
                <w:szCs w:val="21"/>
              </w:rPr>
            </w:pPr>
            <w:r w:rsidRPr="00FD0D8E">
              <w:rPr>
                <w:kern w:val="0"/>
                <w:szCs w:val="21"/>
              </w:rPr>
              <w:t>Big4</w:t>
            </w:r>
          </w:p>
        </w:tc>
        <w:tc>
          <w:tcPr>
            <w:tcW w:w="890" w:type="pct"/>
            <w:tcBorders>
              <w:top w:val="nil"/>
              <w:left w:val="nil"/>
              <w:bottom w:val="nil"/>
              <w:right w:val="nil"/>
            </w:tcBorders>
          </w:tcPr>
          <w:p w14:paraId="03E4CE38" w14:textId="77777777" w:rsidR="00564C66" w:rsidRPr="00FD0D8E" w:rsidRDefault="00564C66" w:rsidP="00C74EB6">
            <w:pPr>
              <w:autoSpaceDE w:val="0"/>
              <w:autoSpaceDN w:val="0"/>
              <w:adjustRightInd w:val="0"/>
              <w:jc w:val="center"/>
              <w:rPr>
                <w:kern w:val="0"/>
                <w:szCs w:val="21"/>
              </w:rPr>
            </w:pPr>
            <w:r w:rsidRPr="00FD0D8E">
              <w:rPr>
                <w:kern w:val="0"/>
                <w:szCs w:val="21"/>
              </w:rPr>
              <w:t>0.058</w:t>
            </w:r>
            <w:r w:rsidRPr="00FD0D8E">
              <w:rPr>
                <w:kern w:val="0"/>
                <w:szCs w:val="21"/>
                <w:vertAlign w:val="superscript"/>
              </w:rPr>
              <w:t>***</w:t>
            </w:r>
          </w:p>
        </w:tc>
        <w:tc>
          <w:tcPr>
            <w:tcW w:w="908" w:type="pct"/>
            <w:tcBorders>
              <w:top w:val="nil"/>
              <w:left w:val="nil"/>
              <w:bottom w:val="nil"/>
              <w:right w:val="nil"/>
            </w:tcBorders>
          </w:tcPr>
          <w:p w14:paraId="7BC7E187" w14:textId="77777777" w:rsidR="00564C66" w:rsidRPr="00FD0D8E" w:rsidRDefault="00564C66" w:rsidP="00C74EB6">
            <w:pPr>
              <w:autoSpaceDE w:val="0"/>
              <w:autoSpaceDN w:val="0"/>
              <w:adjustRightInd w:val="0"/>
              <w:jc w:val="center"/>
              <w:rPr>
                <w:kern w:val="0"/>
                <w:szCs w:val="21"/>
              </w:rPr>
            </w:pPr>
            <w:r w:rsidRPr="00FD0D8E">
              <w:rPr>
                <w:kern w:val="0"/>
                <w:szCs w:val="21"/>
              </w:rPr>
              <w:t>0.052</w:t>
            </w:r>
            <w:r w:rsidRPr="00FD0D8E">
              <w:rPr>
                <w:kern w:val="0"/>
                <w:szCs w:val="21"/>
                <w:vertAlign w:val="superscript"/>
              </w:rPr>
              <w:t>***</w:t>
            </w:r>
          </w:p>
        </w:tc>
        <w:tc>
          <w:tcPr>
            <w:tcW w:w="1003" w:type="pct"/>
            <w:tcBorders>
              <w:top w:val="nil"/>
              <w:left w:val="nil"/>
              <w:bottom w:val="nil"/>
              <w:right w:val="nil"/>
            </w:tcBorders>
          </w:tcPr>
          <w:p w14:paraId="3E23F82C" w14:textId="77777777" w:rsidR="00564C66" w:rsidRPr="00FD0D8E" w:rsidRDefault="00564C66" w:rsidP="00C74EB6">
            <w:pPr>
              <w:autoSpaceDE w:val="0"/>
              <w:autoSpaceDN w:val="0"/>
              <w:adjustRightInd w:val="0"/>
              <w:jc w:val="center"/>
              <w:rPr>
                <w:kern w:val="0"/>
                <w:szCs w:val="21"/>
              </w:rPr>
            </w:pPr>
            <w:r w:rsidRPr="00FD0D8E">
              <w:rPr>
                <w:kern w:val="0"/>
                <w:szCs w:val="21"/>
              </w:rPr>
              <w:t>0.052</w:t>
            </w:r>
            <w:r w:rsidRPr="00FD0D8E">
              <w:rPr>
                <w:kern w:val="0"/>
                <w:szCs w:val="21"/>
                <w:vertAlign w:val="superscript"/>
              </w:rPr>
              <w:t>***</w:t>
            </w:r>
          </w:p>
        </w:tc>
        <w:tc>
          <w:tcPr>
            <w:tcW w:w="1004" w:type="pct"/>
            <w:tcBorders>
              <w:top w:val="nil"/>
              <w:left w:val="nil"/>
              <w:bottom w:val="nil"/>
              <w:right w:val="nil"/>
            </w:tcBorders>
          </w:tcPr>
          <w:p w14:paraId="04F47AD7" w14:textId="77777777" w:rsidR="00564C66" w:rsidRPr="00FD0D8E" w:rsidRDefault="00564C66" w:rsidP="00C74EB6">
            <w:pPr>
              <w:autoSpaceDE w:val="0"/>
              <w:autoSpaceDN w:val="0"/>
              <w:adjustRightInd w:val="0"/>
              <w:jc w:val="center"/>
              <w:rPr>
                <w:kern w:val="0"/>
                <w:szCs w:val="21"/>
              </w:rPr>
            </w:pPr>
            <w:r w:rsidRPr="00FD0D8E">
              <w:rPr>
                <w:kern w:val="0"/>
                <w:szCs w:val="21"/>
              </w:rPr>
              <w:t>0.058</w:t>
            </w:r>
            <w:r w:rsidRPr="00FD0D8E">
              <w:rPr>
                <w:kern w:val="0"/>
                <w:szCs w:val="21"/>
                <w:vertAlign w:val="superscript"/>
              </w:rPr>
              <w:t>***</w:t>
            </w:r>
          </w:p>
        </w:tc>
      </w:tr>
      <w:tr w:rsidR="00564C66" w:rsidRPr="00FD0D8E" w14:paraId="6E0CB064" w14:textId="77777777" w:rsidTr="00D85207">
        <w:tc>
          <w:tcPr>
            <w:tcW w:w="1196" w:type="pct"/>
            <w:tcBorders>
              <w:top w:val="nil"/>
              <w:left w:val="nil"/>
              <w:bottom w:val="nil"/>
              <w:right w:val="nil"/>
            </w:tcBorders>
          </w:tcPr>
          <w:p w14:paraId="4DA47729"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397C3C0F"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c>
          <w:tcPr>
            <w:tcW w:w="908" w:type="pct"/>
            <w:tcBorders>
              <w:top w:val="nil"/>
              <w:left w:val="nil"/>
              <w:bottom w:val="nil"/>
              <w:right w:val="nil"/>
            </w:tcBorders>
          </w:tcPr>
          <w:p w14:paraId="6E18CEF5"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1003" w:type="pct"/>
            <w:tcBorders>
              <w:top w:val="nil"/>
              <w:left w:val="nil"/>
              <w:bottom w:val="nil"/>
              <w:right w:val="nil"/>
            </w:tcBorders>
          </w:tcPr>
          <w:p w14:paraId="48C88018"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1004" w:type="pct"/>
            <w:tcBorders>
              <w:top w:val="nil"/>
              <w:left w:val="nil"/>
              <w:bottom w:val="nil"/>
              <w:right w:val="nil"/>
            </w:tcBorders>
          </w:tcPr>
          <w:p w14:paraId="4EE6F28F"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r>
      <w:tr w:rsidR="00564C66" w:rsidRPr="00FD0D8E" w14:paraId="073540DE" w14:textId="77777777" w:rsidTr="00D85207">
        <w:tc>
          <w:tcPr>
            <w:tcW w:w="1196" w:type="pct"/>
            <w:tcBorders>
              <w:top w:val="nil"/>
              <w:left w:val="nil"/>
              <w:bottom w:val="nil"/>
              <w:right w:val="nil"/>
            </w:tcBorders>
          </w:tcPr>
          <w:p w14:paraId="77D7DE71" w14:textId="77777777" w:rsidR="00564C66" w:rsidRPr="00FD0D8E" w:rsidRDefault="00564C66" w:rsidP="00C74EB6">
            <w:pPr>
              <w:autoSpaceDE w:val="0"/>
              <w:autoSpaceDN w:val="0"/>
              <w:adjustRightInd w:val="0"/>
              <w:rPr>
                <w:kern w:val="0"/>
                <w:szCs w:val="21"/>
              </w:rPr>
            </w:pPr>
            <w:r w:rsidRPr="00FD0D8E">
              <w:rPr>
                <w:kern w:val="0"/>
                <w:szCs w:val="21"/>
              </w:rPr>
              <w:t>Lev</w:t>
            </w:r>
          </w:p>
        </w:tc>
        <w:tc>
          <w:tcPr>
            <w:tcW w:w="890" w:type="pct"/>
            <w:tcBorders>
              <w:top w:val="nil"/>
              <w:left w:val="nil"/>
              <w:bottom w:val="nil"/>
              <w:right w:val="nil"/>
            </w:tcBorders>
          </w:tcPr>
          <w:p w14:paraId="2F7D8778" w14:textId="77777777" w:rsidR="00564C66" w:rsidRPr="00FD0D8E" w:rsidRDefault="00564C66" w:rsidP="00C74EB6">
            <w:pPr>
              <w:autoSpaceDE w:val="0"/>
              <w:autoSpaceDN w:val="0"/>
              <w:adjustRightInd w:val="0"/>
              <w:jc w:val="center"/>
              <w:rPr>
                <w:kern w:val="0"/>
                <w:szCs w:val="21"/>
              </w:rPr>
            </w:pPr>
            <w:r w:rsidRPr="00FD0D8E">
              <w:rPr>
                <w:kern w:val="0"/>
                <w:szCs w:val="21"/>
              </w:rPr>
              <w:t>0.039</w:t>
            </w:r>
            <w:r w:rsidRPr="00FD0D8E">
              <w:rPr>
                <w:kern w:val="0"/>
                <w:szCs w:val="21"/>
                <w:vertAlign w:val="superscript"/>
              </w:rPr>
              <w:t>**</w:t>
            </w:r>
          </w:p>
        </w:tc>
        <w:tc>
          <w:tcPr>
            <w:tcW w:w="908" w:type="pct"/>
            <w:tcBorders>
              <w:top w:val="nil"/>
              <w:left w:val="nil"/>
              <w:bottom w:val="nil"/>
              <w:right w:val="nil"/>
            </w:tcBorders>
          </w:tcPr>
          <w:p w14:paraId="7DC2C827" w14:textId="77777777" w:rsidR="00564C66" w:rsidRPr="00FD0D8E" w:rsidRDefault="00564C66"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c>
          <w:tcPr>
            <w:tcW w:w="1003" w:type="pct"/>
            <w:tcBorders>
              <w:top w:val="nil"/>
              <w:left w:val="nil"/>
              <w:bottom w:val="nil"/>
              <w:right w:val="nil"/>
            </w:tcBorders>
          </w:tcPr>
          <w:p w14:paraId="34857DE6" w14:textId="77777777" w:rsidR="00564C66" w:rsidRPr="00FD0D8E" w:rsidRDefault="00564C66" w:rsidP="00C74EB6">
            <w:pPr>
              <w:autoSpaceDE w:val="0"/>
              <w:autoSpaceDN w:val="0"/>
              <w:adjustRightInd w:val="0"/>
              <w:jc w:val="center"/>
              <w:rPr>
                <w:kern w:val="0"/>
                <w:szCs w:val="21"/>
              </w:rPr>
            </w:pPr>
            <w:r w:rsidRPr="00FD0D8E">
              <w:rPr>
                <w:kern w:val="0"/>
                <w:szCs w:val="21"/>
              </w:rPr>
              <w:t>0.022</w:t>
            </w:r>
          </w:p>
        </w:tc>
        <w:tc>
          <w:tcPr>
            <w:tcW w:w="1004" w:type="pct"/>
            <w:tcBorders>
              <w:top w:val="nil"/>
              <w:left w:val="nil"/>
              <w:bottom w:val="nil"/>
              <w:right w:val="nil"/>
            </w:tcBorders>
          </w:tcPr>
          <w:p w14:paraId="003BB29B" w14:textId="77777777" w:rsidR="00564C66" w:rsidRPr="00FD0D8E" w:rsidRDefault="00564C66" w:rsidP="00C74EB6">
            <w:pPr>
              <w:autoSpaceDE w:val="0"/>
              <w:autoSpaceDN w:val="0"/>
              <w:adjustRightInd w:val="0"/>
              <w:jc w:val="center"/>
              <w:rPr>
                <w:kern w:val="0"/>
                <w:szCs w:val="21"/>
              </w:rPr>
            </w:pPr>
            <w:r w:rsidRPr="00FD0D8E">
              <w:rPr>
                <w:kern w:val="0"/>
                <w:szCs w:val="21"/>
              </w:rPr>
              <w:t>0.067</w:t>
            </w:r>
            <w:r w:rsidRPr="00FD0D8E">
              <w:rPr>
                <w:kern w:val="0"/>
                <w:szCs w:val="21"/>
                <w:vertAlign w:val="superscript"/>
              </w:rPr>
              <w:t>***</w:t>
            </w:r>
          </w:p>
        </w:tc>
      </w:tr>
      <w:tr w:rsidR="00564C66" w:rsidRPr="00FD0D8E" w14:paraId="0FFDC592" w14:textId="77777777" w:rsidTr="00D85207">
        <w:tc>
          <w:tcPr>
            <w:tcW w:w="1196" w:type="pct"/>
            <w:tcBorders>
              <w:top w:val="nil"/>
              <w:left w:val="nil"/>
              <w:bottom w:val="nil"/>
              <w:right w:val="nil"/>
            </w:tcBorders>
          </w:tcPr>
          <w:p w14:paraId="21062AF0"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04AA0C10" w14:textId="77777777" w:rsidR="00564C66" w:rsidRPr="00FD0D8E" w:rsidRDefault="00564C66" w:rsidP="00C74EB6">
            <w:pPr>
              <w:autoSpaceDE w:val="0"/>
              <w:autoSpaceDN w:val="0"/>
              <w:adjustRightInd w:val="0"/>
              <w:jc w:val="center"/>
              <w:rPr>
                <w:kern w:val="0"/>
                <w:szCs w:val="21"/>
              </w:rPr>
            </w:pPr>
            <w:r w:rsidRPr="00FD0D8E">
              <w:rPr>
                <w:kern w:val="0"/>
                <w:szCs w:val="21"/>
              </w:rPr>
              <w:t>(0.018)</w:t>
            </w:r>
          </w:p>
        </w:tc>
        <w:tc>
          <w:tcPr>
            <w:tcW w:w="908" w:type="pct"/>
            <w:tcBorders>
              <w:top w:val="nil"/>
              <w:left w:val="nil"/>
              <w:bottom w:val="nil"/>
              <w:right w:val="nil"/>
            </w:tcBorders>
          </w:tcPr>
          <w:p w14:paraId="0A9D713F" w14:textId="77777777" w:rsidR="00564C66" w:rsidRPr="00FD0D8E" w:rsidRDefault="00564C66" w:rsidP="00C74EB6">
            <w:pPr>
              <w:autoSpaceDE w:val="0"/>
              <w:autoSpaceDN w:val="0"/>
              <w:adjustRightInd w:val="0"/>
              <w:jc w:val="center"/>
              <w:rPr>
                <w:kern w:val="0"/>
                <w:szCs w:val="21"/>
              </w:rPr>
            </w:pPr>
            <w:r w:rsidRPr="00FD0D8E">
              <w:rPr>
                <w:kern w:val="0"/>
                <w:szCs w:val="21"/>
              </w:rPr>
              <w:t>(0.019)</w:t>
            </w:r>
          </w:p>
        </w:tc>
        <w:tc>
          <w:tcPr>
            <w:tcW w:w="1003" w:type="pct"/>
            <w:tcBorders>
              <w:top w:val="nil"/>
              <w:left w:val="nil"/>
              <w:bottom w:val="nil"/>
              <w:right w:val="nil"/>
            </w:tcBorders>
          </w:tcPr>
          <w:p w14:paraId="550E308A" w14:textId="77777777" w:rsidR="00564C66" w:rsidRPr="00FD0D8E" w:rsidRDefault="00564C66" w:rsidP="00C74EB6">
            <w:pPr>
              <w:autoSpaceDE w:val="0"/>
              <w:autoSpaceDN w:val="0"/>
              <w:adjustRightInd w:val="0"/>
              <w:jc w:val="center"/>
              <w:rPr>
                <w:kern w:val="0"/>
                <w:szCs w:val="21"/>
              </w:rPr>
            </w:pPr>
            <w:r w:rsidRPr="00FD0D8E">
              <w:rPr>
                <w:kern w:val="0"/>
                <w:szCs w:val="21"/>
              </w:rPr>
              <w:t>(0.019)</w:t>
            </w:r>
          </w:p>
        </w:tc>
        <w:tc>
          <w:tcPr>
            <w:tcW w:w="1004" w:type="pct"/>
            <w:tcBorders>
              <w:top w:val="nil"/>
              <w:left w:val="nil"/>
              <w:bottom w:val="nil"/>
              <w:right w:val="nil"/>
            </w:tcBorders>
          </w:tcPr>
          <w:p w14:paraId="1C68EFE2" w14:textId="77777777" w:rsidR="00564C66" w:rsidRPr="00FD0D8E" w:rsidRDefault="00564C66" w:rsidP="00C74EB6">
            <w:pPr>
              <w:autoSpaceDE w:val="0"/>
              <w:autoSpaceDN w:val="0"/>
              <w:adjustRightInd w:val="0"/>
              <w:jc w:val="center"/>
              <w:rPr>
                <w:kern w:val="0"/>
                <w:szCs w:val="21"/>
              </w:rPr>
            </w:pPr>
            <w:r w:rsidRPr="00FD0D8E">
              <w:rPr>
                <w:kern w:val="0"/>
                <w:szCs w:val="21"/>
              </w:rPr>
              <w:t>(0.018)</w:t>
            </w:r>
          </w:p>
        </w:tc>
      </w:tr>
      <w:tr w:rsidR="00564C66" w:rsidRPr="00FD0D8E" w14:paraId="77490478" w14:textId="77777777" w:rsidTr="00D85207">
        <w:tc>
          <w:tcPr>
            <w:tcW w:w="1196" w:type="pct"/>
            <w:tcBorders>
              <w:top w:val="nil"/>
              <w:left w:val="nil"/>
              <w:bottom w:val="nil"/>
              <w:right w:val="nil"/>
            </w:tcBorders>
          </w:tcPr>
          <w:p w14:paraId="15911FAC" w14:textId="77777777" w:rsidR="00564C66" w:rsidRPr="00FD0D8E" w:rsidRDefault="00564C66" w:rsidP="00C74EB6">
            <w:pPr>
              <w:autoSpaceDE w:val="0"/>
              <w:autoSpaceDN w:val="0"/>
              <w:adjustRightInd w:val="0"/>
              <w:rPr>
                <w:kern w:val="0"/>
                <w:szCs w:val="21"/>
              </w:rPr>
            </w:pPr>
            <w:r w:rsidRPr="00FD0D8E">
              <w:rPr>
                <w:kern w:val="0"/>
                <w:szCs w:val="21"/>
              </w:rPr>
              <w:t>FTA</w:t>
            </w:r>
          </w:p>
        </w:tc>
        <w:tc>
          <w:tcPr>
            <w:tcW w:w="890" w:type="pct"/>
            <w:tcBorders>
              <w:top w:val="nil"/>
              <w:left w:val="nil"/>
              <w:bottom w:val="nil"/>
              <w:right w:val="nil"/>
            </w:tcBorders>
          </w:tcPr>
          <w:p w14:paraId="7B78D4B6" w14:textId="77777777" w:rsidR="00564C66" w:rsidRPr="00FD0D8E" w:rsidRDefault="00564C66" w:rsidP="00C74EB6">
            <w:pPr>
              <w:autoSpaceDE w:val="0"/>
              <w:autoSpaceDN w:val="0"/>
              <w:adjustRightInd w:val="0"/>
              <w:jc w:val="center"/>
              <w:rPr>
                <w:kern w:val="0"/>
                <w:szCs w:val="21"/>
              </w:rPr>
            </w:pPr>
            <w:r w:rsidRPr="00FD0D8E">
              <w:rPr>
                <w:kern w:val="0"/>
                <w:szCs w:val="21"/>
              </w:rPr>
              <w:t>-0.039</w:t>
            </w:r>
            <w:r w:rsidRPr="00FD0D8E">
              <w:rPr>
                <w:kern w:val="0"/>
                <w:szCs w:val="21"/>
                <w:vertAlign w:val="superscript"/>
              </w:rPr>
              <w:t>**</w:t>
            </w:r>
          </w:p>
        </w:tc>
        <w:tc>
          <w:tcPr>
            <w:tcW w:w="908" w:type="pct"/>
            <w:tcBorders>
              <w:top w:val="nil"/>
              <w:left w:val="nil"/>
              <w:bottom w:val="nil"/>
              <w:right w:val="nil"/>
            </w:tcBorders>
          </w:tcPr>
          <w:p w14:paraId="6585320A" w14:textId="77777777" w:rsidR="00564C66" w:rsidRPr="00FD0D8E" w:rsidRDefault="00564C66" w:rsidP="00C74EB6">
            <w:pPr>
              <w:autoSpaceDE w:val="0"/>
              <w:autoSpaceDN w:val="0"/>
              <w:adjustRightInd w:val="0"/>
              <w:jc w:val="center"/>
              <w:rPr>
                <w:kern w:val="0"/>
                <w:szCs w:val="21"/>
              </w:rPr>
            </w:pPr>
            <w:r w:rsidRPr="00FD0D8E">
              <w:rPr>
                <w:kern w:val="0"/>
                <w:szCs w:val="21"/>
              </w:rPr>
              <w:t>-0.027</w:t>
            </w:r>
          </w:p>
        </w:tc>
        <w:tc>
          <w:tcPr>
            <w:tcW w:w="1003" w:type="pct"/>
            <w:tcBorders>
              <w:top w:val="nil"/>
              <w:left w:val="nil"/>
              <w:bottom w:val="nil"/>
              <w:right w:val="nil"/>
            </w:tcBorders>
          </w:tcPr>
          <w:p w14:paraId="41DDA770" w14:textId="77777777" w:rsidR="00564C66" w:rsidRPr="00FD0D8E" w:rsidRDefault="00564C66" w:rsidP="00C74EB6">
            <w:pPr>
              <w:autoSpaceDE w:val="0"/>
              <w:autoSpaceDN w:val="0"/>
              <w:adjustRightInd w:val="0"/>
              <w:jc w:val="center"/>
              <w:rPr>
                <w:kern w:val="0"/>
                <w:szCs w:val="21"/>
              </w:rPr>
            </w:pPr>
            <w:r w:rsidRPr="00FD0D8E">
              <w:rPr>
                <w:kern w:val="0"/>
                <w:szCs w:val="21"/>
              </w:rPr>
              <w:t>-0.026</w:t>
            </w:r>
          </w:p>
        </w:tc>
        <w:tc>
          <w:tcPr>
            <w:tcW w:w="1004" w:type="pct"/>
            <w:tcBorders>
              <w:top w:val="nil"/>
              <w:left w:val="nil"/>
              <w:bottom w:val="nil"/>
              <w:right w:val="nil"/>
            </w:tcBorders>
          </w:tcPr>
          <w:p w14:paraId="6F6D4C8D" w14:textId="77777777" w:rsidR="00564C66" w:rsidRPr="00FD0D8E" w:rsidRDefault="00564C66" w:rsidP="00C74EB6">
            <w:pPr>
              <w:autoSpaceDE w:val="0"/>
              <w:autoSpaceDN w:val="0"/>
              <w:adjustRightInd w:val="0"/>
              <w:jc w:val="center"/>
              <w:rPr>
                <w:kern w:val="0"/>
                <w:szCs w:val="21"/>
              </w:rPr>
            </w:pPr>
            <w:r w:rsidRPr="00FD0D8E">
              <w:rPr>
                <w:kern w:val="0"/>
                <w:szCs w:val="21"/>
              </w:rPr>
              <w:t>-0.036</w:t>
            </w:r>
            <w:r w:rsidRPr="00FD0D8E">
              <w:rPr>
                <w:kern w:val="0"/>
                <w:szCs w:val="21"/>
                <w:vertAlign w:val="superscript"/>
              </w:rPr>
              <w:t>**</w:t>
            </w:r>
          </w:p>
        </w:tc>
      </w:tr>
      <w:tr w:rsidR="00564C66" w:rsidRPr="00FD0D8E" w14:paraId="027C90DF" w14:textId="77777777" w:rsidTr="00D85207">
        <w:tc>
          <w:tcPr>
            <w:tcW w:w="1196" w:type="pct"/>
            <w:tcBorders>
              <w:top w:val="nil"/>
              <w:left w:val="nil"/>
              <w:bottom w:val="nil"/>
              <w:right w:val="nil"/>
            </w:tcBorders>
          </w:tcPr>
          <w:p w14:paraId="473D6502"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1958C97B" w14:textId="77777777" w:rsidR="00564C66" w:rsidRPr="00FD0D8E" w:rsidRDefault="00564C66" w:rsidP="00C74EB6">
            <w:pPr>
              <w:autoSpaceDE w:val="0"/>
              <w:autoSpaceDN w:val="0"/>
              <w:adjustRightInd w:val="0"/>
              <w:jc w:val="center"/>
              <w:rPr>
                <w:kern w:val="0"/>
                <w:szCs w:val="21"/>
              </w:rPr>
            </w:pPr>
            <w:r w:rsidRPr="00FD0D8E">
              <w:rPr>
                <w:kern w:val="0"/>
                <w:szCs w:val="21"/>
              </w:rPr>
              <w:t>(0.019)</w:t>
            </w:r>
          </w:p>
        </w:tc>
        <w:tc>
          <w:tcPr>
            <w:tcW w:w="908" w:type="pct"/>
            <w:tcBorders>
              <w:top w:val="nil"/>
              <w:left w:val="nil"/>
              <w:bottom w:val="nil"/>
              <w:right w:val="nil"/>
            </w:tcBorders>
          </w:tcPr>
          <w:p w14:paraId="7E363FA8" w14:textId="77777777" w:rsidR="00564C66" w:rsidRPr="00FD0D8E" w:rsidRDefault="00564C66" w:rsidP="00C74EB6">
            <w:pPr>
              <w:autoSpaceDE w:val="0"/>
              <w:autoSpaceDN w:val="0"/>
              <w:adjustRightInd w:val="0"/>
              <w:jc w:val="center"/>
              <w:rPr>
                <w:kern w:val="0"/>
                <w:szCs w:val="21"/>
              </w:rPr>
            </w:pPr>
            <w:r w:rsidRPr="00FD0D8E">
              <w:rPr>
                <w:kern w:val="0"/>
                <w:szCs w:val="21"/>
              </w:rPr>
              <w:t>(0.021)</w:t>
            </w:r>
          </w:p>
        </w:tc>
        <w:tc>
          <w:tcPr>
            <w:tcW w:w="1003" w:type="pct"/>
            <w:tcBorders>
              <w:top w:val="nil"/>
              <w:left w:val="nil"/>
              <w:bottom w:val="nil"/>
              <w:right w:val="nil"/>
            </w:tcBorders>
          </w:tcPr>
          <w:p w14:paraId="02351748" w14:textId="77777777" w:rsidR="00564C66" w:rsidRPr="00FD0D8E" w:rsidRDefault="00564C66" w:rsidP="00C74EB6">
            <w:pPr>
              <w:autoSpaceDE w:val="0"/>
              <w:autoSpaceDN w:val="0"/>
              <w:adjustRightInd w:val="0"/>
              <w:jc w:val="center"/>
              <w:rPr>
                <w:kern w:val="0"/>
                <w:szCs w:val="21"/>
              </w:rPr>
            </w:pPr>
            <w:r w:rsidRPr="00FD0D8E">
              <w:rPr>
                <w:kern w:val="0"/>
                <w:szCs w:val="21"/>
              </w:rPr>
              <w:t>(0.022)</w:t>
            </w:r>
          </w:p>
        </w:tc>
        <w:tc>
          <w:tcPr>
            <w:tcW w:w="1004" w:type="pct"/>
            <w:tcBorders>
              <w:top w:val="nil"/>
              <w:left w:val="nil"/>
              <w:bottom w:val="nil"/>
              <w:right w:val="nil"/>
            </w:tcBorders>
          </w:tcPr>
          <w:p w14:paraId="49CAD363" w14:textId="77777777" w:rsidR="00564C66" w:rsidRPr="00FD0D8E" w:rsidRDefault="00564C66" w:rsidP="00C74EB6">
            <w:pPr>
              <w:autoSpaceDE w:val="0"/>
              <w:autoSpaceDN w:val="0"/>
              <w:adjustRightInd w:val="0"/>
              <w:jc w:val="center"/>
              <w:rPr>
                <w:kern w:val="0"/>
                <w:szCs w:val="21"/>
              </w:rPr>
            </w:pPr>
            <w:r w:rsidRPr="00FD0D8E">
              <w:rPr>
                <w:kern w:val="0"/>
                <w:szCs w:val="21"/>
              </w:rPr>
              <w:t>(0.018)</w:t>
            </w:r>
          </w:p>
        </w:tc>
      </w:tr>
      <w:tr w:rsidR="00564C66" w:rsidRPr="00FD0D8E" w14:paraId="259CBEC9" w14:textId="77777777" w:rsidTr="00D85207">
        <w:tc>
          <w:tcPr>
            <w:tcW w:w="1196" w:type="pct"/>
            <w:tcBorders>
              <w:top w:val="nil"/>
              <w:left w:val="nil"/>
              <w:bottom w:val="nil"/>
              <w:right w:val="nil"/>
            </w:tcBorders>
          </w:tcPr>
          <w:p w14:paraId="7FCE718E" w14:textId="77777777" w:rsidR="00564C66" w:rsidRPr="00FD0D8E" w:rsidRDefault="00564C66" w:rsidP="00C74EB6">
            <w:pPr>
              <w:autoSpaceDE w:val="0"/>
              <w:autoSpaceDN w:val="0"/>
              <w:adjustRightInd w:val="0"/>
              <w:rPr>
                <w:kern w:val="0"/>
                <w:szCs w:val="21"/>
              </w:rPr>
            </w:pPr>
            <w:r w:rsidRPr="00FD0D8E">
              <w:rPr>
                <w:kern w:val="0"/>
                <w:szCs w:val="21"/>
              </w:rPr>
              <w:t>Cash</w:t>
            </w:r>
          </w:p>
        </w:tc>
        <w:tc>
          <w:tcPr>
            <w:tcW w:w="890" w:type="pct"/>
            <w:tcBorders>
              <w:top w:val="nil"/>
              <w:left w:val="nil"/>
              <w:bottom w:val="nil"/>
              <w:right w:val="nil"/>
            </w:tcBorders>
          </w:tcPr>
          <w:p w14:paraId="2DE75DC9" w14:textId="77777777" w:rsidR="00564C66" w:rsidRPr="00FD0D8E" w:rsidRDefault="00564C66" w:rsidP="00C74EB6">
            <w:pPr>
              <w:autoSpaceDE w:val="0"/>
              <w:autoSpaceDN w:val="0"/>
              <w:adjustRightInd w:val="0"/>
              <w:jc w:val="center"/>
              <w:rPr>
                <w:kern w:val="0"/>
                <w:szCs w:val="21"/>
              </w:rPr>
            </w:pPr>
            <w:r w:rsidRPr="00FD0D8E">
              <w:rPr>
                <w:kern w:val="0"/>
                <w:szCs w:val="21"/>
              </w:rPr>
              <w:t>0.038</w:t>
            </w:r>
          </w:p>
        </w:tc>
        <w:tc>
          <w:tcPr>
            <w:tcW w:w="908" w:type="pct"/>
            <w:tcBorders>
              <w:top w:val="nil"/>
              <w:left w:val="nil"/>
              <w:bottom w:val="nil"/>
              <w:right w:val="nil"/>
            </w:tcBorders>
          </w:tcPr>
          <w:p w14:paraId="2005A28A" w14:textId="77777777" w:rsidR="00564C66" w:rsidRPr="00FD0D8E" w:rsidRDefault="00564C66" w:rsidP="00C74EB6">
            <w:pPr>
              <w:autoSpaceDE w:val="0"/>
              <w:autoSpaceDN w:val="0"/>
              <w:adjustRightInd w:val="0"/>
              <w:jc w:val="center"/>
              <w:rPr>
                <w:kern w:val="0"/>
                <w:szCs w:val="21"/>
              </w:rPr>
            </w:pPr>
            <w:r w:rsidRPr="00FD0D8E">
              <w:rPr>
                <w:kern w:val="0"/>
                <w:szCs w:val="21"/>
              </w:rPr>
              <w:t>0.028</w:t>
            </w:r>
          </w:p>
        </w:tc>
        <w:tc>
          <w:tcPr>
            <w:tcW w:w="1003" w:type="pct"/>
            <w:tcBorders>
              <w:top w:val="nil"/>
              <w:left w:val="nil"/>
              <w:bottom w:val="nil"/>
              <w:right w:val="nil"/>
            </w:tcBorders>
          </w:tcPr>
          <w:p w14:paraId="13395CA8" w14:textId="77777777" w:rsidR="00564C66" w:rsidRPr="00FD0D8E" w:rsidRDefault="00564C66" w:rsidP="00C74EB6">
            <w:pPr>
              <w:autoSpaceDE w:val="0"/>
              <w:autoSpaceDN w:val="0"/>
              <w:adjustRightInd w:val="0"/>
              <w:jc w:val="center"/>
              <w:rPr>
                <w:kern w:val="0"/>
                <w:szCs w:val="21"/>
              </w:rPr>
            </w:pPr>
            <w:r w:rsidRPr="00FD0D8E">
              <w:rPr>
                <w:kern w:val="0"/>
                <w:szCs w:val="21"/>
              </w:rPr>
              <w:t>-0.000</w:t>
            </w:r>
          </w:p>
        </w:tc>
        <w:tc>
          <w:tcPr>
            <w:tcW w:w="1004" w:type="pct"/>
            <w:tcBorders>
              <w:top w:val="nil"/>
              <w:left w:val="nil"/>
              <w:bottom w:val="nil"/>
              <w:right w:val="nil"/>
            </w:tcBorders>
          </w:tcPr>
          <w:p w14:paraId="1AA44850" w14:textId="77777777" w:rsidR="00564C66" w:rsidRPr="00FD0D8E" w:rsidRDefault="00564C66" w:rsidP="00C74EB6">
            <w:pPr>
              <w:autoSpaceDE w:val="0"/>
              <w:autoSpaceDN w:val="0"/>
              <w:adjustRightInd w:val="0"/>
              <w:jc w:val="center"/>
              <w:rPr>
                <w:kern w:val="0"/>
                <w:szCs w:val="21"/>
              </w:rPr>
            </w:pPr>
            <w:r w:rsidRPr="00FD0D8E">
              <w:rPr>
                <w:kern w:val="0"/>
                <w:szCs w:val="21"/>
              </w:rPr>
              <w:t>0.073</w:t>
            </w:r>
            <w:r w:rsidRPr="00FD0D8E">
              <w:rPr>
                <w:kern w:val="0"/>
                <w:szCs w:val="21"/>
                <w:vertAlign w:val="superscript"/>
              </w:rPr>
              <w:t>***</w:t>
            </w:r>
          </w:p>
        </w:tc>
      </w:tr>
      <w:tr w:rsidR="00564C66" w:rsidRPr="00FD0D8E" w14:paraId="740B9E5F" w14:textId="77777777" w:rsidTr="00D85207">
        <w:tc>
          <w:tcPr>
            <w:tcW w:w="1196" w:type="pct"/>
            <w:tcBorders>
              <w:top w:val="nil"/>
              <w:left w:val="nil"/>
              <w:bottom w:val="nil"/>
              <w:right w:val="nil"/>
            </w:tcBorders>
          </w:tcPr>
          <w:p w14:paraId="094FF62C"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5BA39E98" w14:textId="77777777" w:rsidR="00564C66" w:rsidRPr="00FD0D8E" w:rsidRDefault="00564C66" w:rsidP="00C74EB6">
            <w:pPr>
              <w:autoSpaceDE w:val="0"/>
              <w:autoSpaceDN w:val="0"/>
              <w:adjustRightInd w:val="0"/>
              <w:jc w:val="center"/>
              <w:rPr>
                <w:kern w:val="0"/>
                <w:szCs w:val="21"/>
              </w:rPr>
            </w:pPr>
            <w:r w:rsidRPr="00FD0D8E">
              <w:rPr>
                <w:kern w:val="0"/>
                <w:szCs w:val="21"/>
              </w:rPr>
              <w:t>(0.025)</w:t>
            </w:r>
          </w:p>
        </w:tc>
        <w:tc>
          <w:tcPr>
            <w:tcW w:w="908" w:type="pct"/>
            <w:tcBorders>
              <w:top w:val="nil"/>
              <w:left w:val="nil"/>
              <w:bottom w:val="nil"/>
              <w:right w:val="nil"/>
            </w:tcBorders>
          </w:tcPr>
          <w:p w14:paraId="2F08184B" w14:textId="77777777" w:rsidR="00564C66" w:rsidRPr="00FD0D8E" w:rsidRDefault="00564C66" w:rsidP="00C74EB6">
            <w:pPr>
              <w:autoSpaceDE w:val="0"/>
              <w:autoSpaceDN w:val="0"/>
              <w:adjustRightInd w:val="0"/>
              <w:jc w:val="center"/>
              <w:rPr>
                <w:kern w:val="0"/>
                <w:szCs w:val="21"/>
              </w:rPr>
            </w:pPr>
            <w:r w:rsidRPr="00FD0D8E">
              <w:rPr>
                <w:kern w:val="0"/>
                <w:szCs w:val="21"/>
              </w:rPr>
              <w:t>(0.025)</w:t>
            </w:r>
          </w:p>
        </w:tc>
        <w:tc>
          <w:tcPr>
            <w:tcW w:w="1003" w:type="pct"/>
            <w:tcBorders>
              <w:top w:val="nil"/>
              <w:left w:val="nil"/>
              <w:bottom w:val="nil"/>
              <w:right w:val="nil"/>
            </w:tcBorders>
          </w:tcPr>
          <w:p w14:paraId="6498BE60" w14:textId="77777777" w:rsidR="00564C66" w:rsidRPr="00FD0D8E" w:rsidRDefault="00564C66" w:rsidP="00C74EB6">
            <w:pPr>
              <w:autoSpaceDE w:val="0"/>
              <w:autoSpaceDN w:val="0"/>
              <w:adjustRightInd w:val="0"/>
              <w:jc w:val="center"/>
              <w:rPr>
                <w:kern w:val="0"/>
                <w:szCs w:val="21"/>
              </w:rPr>
            </w:pPr>
            <w:r w:rsidRPr="00FD0D8E">
              <w:rPr>
                <w:kern w:val="0"/>
                <w:szCs w:val="21"/>
              </w:rPr>
              <w:t>(0.025)</w:t>
            </w:r>
          </w:p>
        </w:tc>
        <w:tc>
          <w:tcPr>
            <w:tcW w:w="1004" w:type="pct"/>
            <w:tcBorders>
              <w:top w:val="nil"/>
              <w:left w:val="nil"/>
              <w:bottom w:val="nil"/>
              <w:right w:val="nil"/>
            </w:tcBorders>
          </w:tcPr>
          <w:p w14:paraId="52CC4D81" w14:textId="77777777" w:rsidR="00564C66" w:rsidRPr="00FD0D8E" w:rsidRDefault="00564C66" w:rsidP="00C74EB6">
            <w:pPr>
              <w:autoSpaceDE w:val="0"/>
              <w:autoSpaceDN w:val="0"/>
              <w:adjustRightInd w:val="0"/>
              <w:jc w:val="center"/>
              <w:rPr>
                <w:kern w:val="0"/>
                <w:szCs w:val="21"/>
              </w:rPr>
            </w:pPr>
            <w:r w:rsidRPr="00FD0D8E">
              <w:rPr>
                <w:kern w:val="0"/>
                <w:szCs w:val="21"/>
              </w:rPr>
              <w:t>(0.026)</w:t>
            </w:r>
          </w:p>
        </w:tc>
      </w:tr>
      <w:tr w:rsidR="00564C66" w:rsidRPr="00FD0D8E" w14:paraId="407ABF6C" w14:textId="77777777" w:rsidTr="00D85207">
        <w:tc>
          <w:tcPr>
            <w:tcW w:w="1196" w:type="pct"/>
            <w:tcBorders>
              <w:top w:val="nil"/>
              <w:left w:val="nil"/>
              <w:bottom w:val="nil"/>
              <w:right w:val="nil"/>
            </w:tcBorders>
          </w:tcPr>
          <w:p w14:paraId="7CC7A33A" w14:textId="77777777" w:rsidR="00564C66" w:rsidRPr="00FD0D8E" w:rsidRDefault="00564C66" w:rsidP="00C74EB6">
            <w:pPr>
              <w:autoSpaceDE w:val="0"/>
              <w:autoSpaceDN w:val="0"/>
              <w:adjustRightInd w:val="0"/>
              <w:rPr>
                <w:kern w:val="0"/>
                <w:szCs w:val="21"/>
              </w:rPr>
            </w:pPr>
            <w:r w:rsidRPr="00FD0D8E">
              <w:rPr>
                <w:kern w:val="0"/>
                <w:szCs w:val="21"/>
              </w:rPr>
              <w:t>Volatility</w:t>
            </w:r>
          </w:p>
        </w:tc>
        <w:tc>
          <w:tcPr>
            <w:tcW w:w="890" w:type="pct"/>
            <w:tcBorders>
              <w:top w:val="nil"/>
              <w:left w:val="nil"/>
              <w:bottom w:val="nil"/>
              <w:right w:val="nil"/>
            </w:tcBorders>
          </w:tcPr>
          <w:p w14:paraId="11CDDB63" w14:textId="77777777" w:rsidR="00564C66" w:rsidRPr="00FD0D8E" w:rsidRDefault="00564C66" w:rsidP="00C74EB6">
            <w:pPr>
              <w:autoSpaceDE w:val="0"/>
              <w:autoSpaceDN w:val="0"/>
              <w:adjustRightInd w:val="0"/>
              <w:jc w:val="center"/>
              <w:rPr>
                <w:kern w:val="0"/>
                <w:szCs w:val="21"/>
              </w:rPr>
            </w:pPr>
            <w:r w:rsidRPr="00FD0D8E">
              <w:rPr>
                <w:kern w:val="0"/>
                <w:szCs w:val="21"/>
              </w:rPr>
              <w:t>0.040</w:t>
            </w:r>
          </w:p>
        </w:tc>
        <w:tc>
          <w:tcPr>
            <w:tcW w:w="908" w:type="pct"/>
            <w:tcBorders>
              <w:top w:val="nil"/>
              <w:left w:val="nil"/>
              <w:bottom w:val="nil"/>
              <w:right w:val="nil"/>
            </w:tcBorders>
          </w:tcPr>
          <w:p w14:paraId="21662D6C" w14:textId="77777777" w:rsidR="00564C66" w:rsidRPr="00FD0D8E" w:rsidRDefault="00564C66" w:rsidP="00C74EB6">
            <w:pPr>
              <w:autoSpaceDE w:val="0"/>
              <w:autoSpaceDN w:val="0"/>
              <w:adjustRightInd w:val="0"/>
              <w:jc w:val="center"/>
              <w:rPr>
                <w:kern w:val="0"/>
                <w:szCs w:val="21"/>
              </w:rPr>
            </w:pPr>
            <w:r w:rsidRPr="00FD0D8E">
              <w:rPr>
                <w:kern w:val="0"/>
                <w:szCs w:val="21"/>
              </w:rPr>
              <w:t>0.125</w:t>
            </w:r>
            <w:r w:rsidRPr="00FD0D8E">
              <w:rPr>
                <w:kern w:val="0"/>
                <w:szCs w:val="21"/>
                <w:vertAlign w:val="superscript"/>
              </w:rPr>
              <w:t>***</w:t>
            </w:r>
          </w:p>
        </w:tc>
        <w:tc>
          <w:tcPr>
            <w:tcW w:w="1003" w:type="pct"/>
            <w:tcBorders>
              <w:top w:val="nil"/>
              <w:left w:val="nil"/>
              <w:bottom w:val="nil"/>
              <w:right w:val="nil"/>
            </w:tcBorders>
          </w:tcPr>
          <w:p w14:paraId="67E95482" w14:textId="77777777" w:rsidR="00564C66" w:rsidRPr="00FD0D8E" w:rsidRDefault="00564C66" w:rsidP="00C74EB6">
            <w:pPr>
              <w:autoSpaceDE w:val="0"/>
              <w:autoSpaceDN w:val="0"/>
              <w:adjustRightInd w:val="0"/>
              <w:jc w:val="center"/>
              <w:rPr>
                <w:kern w:val="0"/>
                <w:szCs w:val="21"/>
              </w:rPr>
            </w:pPr>
            <w:r w:rsidRPr="00FD0D8E">
              <w:rPr>
                <w:kern w:val="0"/>
                <w:szCs w:val="21"/>
              </w:rPr>
              <w:t>0.093</w:t>
            </w:r>
            <w:r w:rsidRPr="00FD0D8E">
              <w:rPr>
                <w:kern w:val="0"/>
                <w:szCs w:val="21"/>
                <w:vertAlign w:val="superscript"/>
              </w:rPr>
              <w:t>**</w:t>
            </w:r>
          </w:p>
        </w:tc>
        <w:tc>
          <w:tcPr>
            <w:tcW w:w="1004" w:type="pct"/>
            <w:tcBorders>
              <w:top w:val="nil"/>
              <w:left w:val="nil"/>
              <w:bottom w:val="nil"/>
              <w:right w:val="nil"/>
            </w:tcBorders>
          </w:tcPr>
          <w:p w14:paraId="7D5BFBFB" w14:textId="77777777" w:rsidR="00564C66" w:rsidRPr="00FD0D8E" w:rsidRDefault="00564C66" w:rsidP="00C74EB6">
            <w:pPr>
              <w:autoSpaceDE w:val="0"/>
              <w:autoSpaceDN w:val="0"/>
              <w:adjustRightInd w:val="0"/>
              <w:jc w:val="center"/>
              <w:rPr>
                <w:kern w:val="0"/>
                <w:szCs w:val="21"/>
              </w:rPr>
            </w:pPr>
            <w:r w:rsidRPr="00FD0D8E">
              <w:rPr>
                <w:kern w:val="0"/>
                <w:szCs w:val="21"/>
              </w:rPr>
              <w:t>0.073</w:t>
            </w:r>
          </w:p>
        </w:tc>
      </w:tr>
      <w:tr w:rsidR="00564C66" w:rsidRPr="00FD0D8E" w14:paraId="7070EBA7" w14:textId="77777777" w:rsidTr="00D85207">
        <w:tc>
          <w:tcPr>
            <w:tcW w:w="1196" w:type="pct"/>
            <w:tcBorders>
              <w:top w:val="nil"/>
              <w:left w:val="nil"/>
              <w:bottom w:val="nil"/>
              <w:right w:val="nil"/>
            </w:tcBorders>
          </w:tcPr>
          <w:p w14:paraId="400E6687"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03803026" w14:textId="77777777" w:rsidR="00564C66" w:rsidRPr="00FD0D8E" w:rsidRDefault="00564C66" w:rsidP="00C74EB6">
            <w:pPr>
              <w:autoSpaceDE w:val="0"/>
              <w:autoSpaceDN w:val="0"/>
              <w:adjustRightInd w:val="0"/>
              <w:jc w:val="center"/>
              <w:rPr>
                <w:kern w:val="0"/>
                <w:szCs w:val="21"/>
              </w:rPr>
            </w:pPr>
            <w:r w:rsidRPr="00FD0D8E">
              <w:rPr>
                <w:kern w:val="0"/>
                <w:szCs w:val="21"/>
              </w:rPr>
              <w:t>(0.045)</w:t>
            </w:r>
          </w:p>
        </w:tc>
        <w:tc>
          <w:tcPr>
            <w:tcW w:w="908" w:type="pct"/>
            <w:tcBorders>
              <w:top w:val="nil"/>
              <w:left w:val="nil"/>
              <w:bottom w:val="nil"/>
              <w:right w:val="nil"/>
            </w:tcBorders>
          </w:tcPr>
          <w:p w14:paraId="67C3D2E1" w14:textId="77777777" w:rsidR="00564C66" w:rsidRPr="00FD0D8E" w:rsidRDefault="00564C66" w:rsidP="00C74EB6">
            <w:pPr>
              <w:autoSpaceDE w:val="0"/>
              <w:autoSpaceDN w:val="0"/>
              <w:adjustRightInd w:val="0"/>
              <w:jc w:val="center"/>
              <w:rPr>
                <w:kern w:val="0"/>
                <w:szCs w:val="21"/>
              </w:rPr>
            </w:pPr>
            <w:r w:rsidRPr="00FD0D8E">
              <w:rPr>
                <w:kern w:val="0"/>
                <w:szCs w:val="21"/>
              </w:rPr>
              <w:t>(0.043)</w:t>
            </w:r>
          </w:p>
        </w:tc>
        <w:tc>
          <w:tcPr>
            <w:tcW w:w="1003" w:type="pct"/>
            <w:tcBorders>
              <w:top w:val="nil"/>
              <w:left w:val="nil"/>
              <w:bottom w:val="nil"/>
              <w:right w:val="nil"/>
            </w:tcBorders>
          </w:tcPr>
          <w:p w14:paraId="5E7E00F7" w14:textId="77777777" w:rsidR="00564C66" w:rsidRPr="00FD0D8E" w:rsidRDefault="00564C66" w:rsidP="00C74EB6">
            <w:pPr>
              <w:autoSpaceDE w:val="0"/>
              <w:autoSpaceDN w:val="0"/>
              <w:adjustRightInd w:val="0"/>
              <w:jc w:val="center"/>
              <w:rPr>
                <w:kern w:val="0"/>
                <w:szCs w:val="21"/>
              </w:rPr>
            </w:pPr>
            <w:r w:rsidRPr="00FD0D8E">
              <w:rPr>
                <w:kern w:val="0"/>
                <w:szCs w:val="21"/>
              </w:rPr>
              <w:t>(0.043)</w:t>
            </w:r>
          </w:p>
        </w:tc>
        <w:tc>
          <w:tcPr>
            <w:tcW w:w="1004" w:type="pct"/>
            <w:tcBorders>
              <w:top w:val="nil"/>
              <w:left w:val="nil"/>
              <w:bottom w:val="nil"/>
              <w:right w:val="nil"/>
            </w:tcBorders>
          </w:tcPr>
          <w:p w14:paraId="22F7EDE8" w14:textId="77777777" w:rsidR="00564C66" w:rsidRPr="00FD0D8E" w:rsidRDefault="00564C66" w:rsidP="00C74EB6">
            <w:pPr>
              <w:autoSpaceDE w:val="0"/>
              <w:autoSpaceDN w:val="0"/>
              <w:adjustRightInd w:val="0"/>
              <w:jc w:val="center"/>
              <w:rPr>
                <w:kern w:val="0"/>
                <w:szCs w:val="21"/>
              </w:rPr>
            </w:pPr>
            <w:r w:rsidRPr="00FD0D8E">
              <w:rPr>
                <w:kern w:val="0"/>
                <w:szCs w:val="21"/>
              </w:rPr>
              <w:t>(0.046)</w:t>
            </w:r>
          </w:p>
        </w:tc>
      </w:tr>
      <w:tr w:rsidR="00564C66" w:rsidRPr="00FD0D8E" w14:paraId="402D0EC6" w14:textId="77777777" w:rsidTr="00D85207">
        <w:tc>
          <w:tcPr>
            <w:tcW w:w="1196" w:type="pct"/>
            <w:tcBorders>
              <w:top w:val="nil"/>
              <w:left w:val="nil"/>
              <w:bottom w:val="nil"/>
              <w:right w:val="nil"/>
            </w:tcBorders>
          </w:tcPr>
          <w:p w14:paraId="370D5756" w14:textId="77777777" w:rsidR="00564C66" w:rsidRPr="00FD0D8E" w:rsidRDefault="00564C66" w:rsidP="00C74EB6">
            <w:pPr>
              <w:autoSpaceDE w:val="0"/>
              <w:autoSpaceDN w:val="0"/>
              <w:adjustRightInd w:val="0"/>
              <w:rPr>
                <w:kern w:val="0"/>
                <w:szCs w:val="21"/>
              </w:rPr>
            </w:pPr>
            <w:r w:rsidRPr="00FD0D8E">
              <w:rPr>
                <w:kern w:val="0"/>
                <w:szCs w:val="21"/>
              </w:rPr>
              <w:t>PB</w:t>
            </w:r>
          </w:p>
        </w:tc>
        <w:tc>
          <w:tcPr>
            <w:tcW w:w="890" w:type="pct"/>
            <w:tcBorders>
              <w:top w:val="nil"/>
              <w:left w:val="nil"/>
              <w:bottom w:val="nil"/>
              <w:right w:val="nil"/>
            </w:tcBorders>
          </w:tcPr>
          <w:p w14:paraId="15DC46DA" w14:textId="77777777" w:rsidR="00564C66" w:rsidRPr="00FD0D8E" w:rsidRDefault="00564C66" w:rsidP="00C74EB6">
            <w:pPr>
              <w:autoSpaceDE w:val="0"/>
              <w:autoSpaceDN w:val="0"/>
              <w:adjustRightInd w:val="0"/>
              <w:jc w:val="center"/>
              <w:rPr>
                <w:kern w:val="0"/>
                <w:szCs w:val="21"/>
              </w:rPr>
            </w:pPr>
            <w:r w:rsidRPr="00FD0D8E">
              <w:rPr>
                <w:kern w:val="0"/>
                <w:szCs w:val="21"/>
              </w:rPr>
              <w:t>-0.000</w:t>
            </w:r>
          </w:p>
        </w:tc>
        <w:tc>
          <w:tcPr>
            <w:tcW w:w="908" w:type="pct"/>
            <w:tcBorders>
              <w:top w:val="nil"/>
              <w:left w:val="nil"/>
              <w:bottom w:val="nil"/>
              <w:right w:val="nil"/>
            </w:tcBorders>
          </w:tcPr>
          <w:p w14:paraId="3E96CD0C" w14:textId="77777777" w:rsidR="00564C66" w:rsidRPr="00FD0D8E" w:rsidRDefault="00564C66" w:rsidP="00C74EB6">
            <w:pPr>
              <w:autoSpaceDE w:val="0"/>
              <w:autoSpaceDN w:val="0"/>
              <w:adjustRightInd w:val="0"/>
              <w:jc w:val="center"/>
              <w:rPr>
                <w:kern w:val="0"/>
                <w:szCs w:val="21"/>
              </w:rPr>
            </w:pPr>
            <w:r w:rsidRPr="00FD0D8E">
              <w:rPr>
                <w:kern w:val="0"/>
                <w:szCs w:val="21"/>
              </w:rPr>
              <w:t>-0.000</w:t>
            </w:r>
          </w:p>
        </w:tc>
        <w:tc>
          <w:tcPr>
            <w:tcW w:w="1003" w:type="pct"/>
            <w:tcBorders>
              <w:top w:val="nil"/>
              <w:left w:val="nil"/>
              <w:bottom w:val="nil"/>
              <w:right w:val="nil"/>
            </w:tcBorders>
          </w:tcPr>
          <w:p w14:paraId="3A451383"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1004" w:type="pct"/>
            <w:tcBorders>
              <w:top w:val="nil"/>
              <w:left w:val="nil"/>
              <w:bottom w:val="nil"/>
              <w:right w:val="nil"/>
            </w:tcBorders>
          </w:tcPr>
          <w:p w14:paraId="070A4D61"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r>
      <w:tr w:rsidR="00564C66" w:rsidRPr="00FD0D8E" w14:paraId="7BBBE51D" w14:textId="77777777" w:rsidTr="00D85207">
        <w:tc>
          <w:tcPr>
            <w:tcW w:w="1196" w:type="pct"/>
            <w:tcBorders>
              <w:top w:val="nil"/>
              <w:left w:val="nil"/>
              <w:bottom w:val="nil"/>
              <w:right w:val="nil"/>
            </w:tcBorders>
          </w:tcPr>
          <w:p w14:paraId="1B9C85D1"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5EC66C21"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08" w:type="pct"/>
            <w:tcBorders>
              <w:top w:val="nil"/>
              <w:left w:val="nil"/>
              <w:bottom w:val="nil"/>
              <w:right w:val="nil"/>
            </w:tcBorders>
          </w:tcPr>
          <w:p w14:paraId="7D2F1995"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1003" w:type="pct"/>
            <w:tcBorders>
              <w:top w:val="nil"/>
              <w:left w:val="nil"/>
              <w:bottom w:val="nil"/>
              <w:right w:val="nil"/>
            </w:tcBorders>
          </w:tcPr>
          <w:p w14:paraId="12F5630A"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1004" w:type="pct"/>
            <w:tcBorders>
              <w:top w:val="nil"/>
              <w:left w:val="nil"/>
              <w:bottom w:val="nil"/>
              <w:right w:val="nil"/>
            </w:tcBorders>
          </w:tcPr>
          <w:p w14:paraId="6AE53E7D"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r>
      <w:tr w:rsidR="00564C66" w:rsidRPr="00FD0D8E" w14:paraId="5B9EE5A8" w14:textId="77777777" w:rsidTr="00D85207">
        <w:tc>
          <w:tcPr>
            <w:tcW w:w="1196" w:type="pct"/>
            <w:tcBorders>
              <w:top w:val="nil"/>
              <w:left w:val="nil"/>
              <w:bottom w:val="nil"/>
              <w:right w:val="nil"/>
            </w:tcBorders>
          </w:tcPr>
          <w:p w14:paraId="72517B93" w14:textId="77777777" w:rsidR="00564C66" w:rsidRPr="00FD0D8E" w:rsidRDefault="00564C66" w:rsidP="00C74EB6">
            <w:pPr>
              <w:autoSpaceDE w:val="0"/>
              <w:autoSpaceDN w:val="0"/>
              <w:adjustRightInd w:val="0"/>
              <w:rPr>
                <w:kern w:val="0"/>
                <w:szCs w:val="21"/>
              </w:rPr>
            </w:pPr>
            <w:proofErr w:type="spellStart"/>
            <w:r w:rsidRPr="00FD0D8E">
              <w:rPr>
                <w:kern w:val="0"/>
                <w:szCs w:val="21"/>
              </w:rPr>
              <w:t>GrowthRev</w:t>
            </w:r>
            <w:proofErr w:type="spellEnd"/>
          </w:p>
        </w:tc>
        <w:tc>
          <w:tcPr>
            <w:tcW w:w="890" w:type="pct"/>
            <w:tcBorders>
              <w:top w:val="nil"/>
              <w:left w:val="nil"/>
              <w:bottom w:val="nil"/>
              <w:right w:val="nil"/>
            </w:tcBorders>
          </w:tcPr>
          <w:p w14:paraId="3AFEA1ED" w14:textId="77777777" w:rsidR="00564C66" w:rsidRPr="00FD0D8E" w:rsidRDefault="00564C66" w:rsidP="00C74EB6">
            <w:pPr>
              <w:autoSpaceDE w:val="0"/>
              <w:autoSpaceDN w:val="0"/>
              <w:adjustRightInd w:val="0"/>
              <w:jc w:val="center"/>
              <w:rPr>
                <w:kern w:val="0"/>
                <w:szCs w:val="21"/>
              </w:rPr>
            </w:pPr>
            <w:r w:rsidRPr="00FD0D8E">
              <w:rPr>
                <w:kern w:val="0"/>
                <w:szCs w:val="21"/>
              </w:rPr>
              <w:t>0.013</w:t>
            </w:r>
            <w:r w:rsidRPr="00FD0D8E">
              <w:rPr>
                <w:kern w:val="0"/>
                <w:szCs w:val="21"/>
                <w:vertAlign w:val="superscript"/>
              </w:rPr>
              <w:t>*</w:t>
            </w:r>
          </w:p>
        </w:tc>
        <w:tc>
          <w:tcPr>
            <w:tcW w:w="908" w:type="pct"/>
            <w:tcBorders>
              <w:top w:val="nil"/>
              <w:left w:val="nil"/>
              <w:bottom w:val="nil"/>
              <w:right w:val="nil"/>
            </w:tcBorders>
          </w:tcPr>
          <w:p w14:paraId="5596CDC0" w14:textId="77777777" w:rsidR="00564C66" w:rsidRPr="00FD0D8E" w:rsidRDefault="00564C66" w:rsidP="00C74EB6">
            <w:pPr>
              <w:autoSpaceDE w:val="0"/>
              <w:autoSpaceDN w:val="0"/>
              <w:adjustRightInd w:val="0"/>
              <w:jc w:val="center"/>
              <w:rPr>
                <w:kern w:val="0"/>
                <w:szCs w:val="21"/>
              </w:rPr>
            </w:pPr>
            <w:r w:rsidRPr="00FD0D8E">
              <w:rPr>
                <w:kern w:val="0"/>
                <w:szCs w:val="21"/>
              </w:rPr>
              <w:t>-0.000</w:t>
            </w:r>
          </w:p>
        </w:tc>
        <w:tc>
          <w:tcPr>
            <w:tcW w:w="1003" w:type="pct"/>
            <w:tcBorders>
              <w:top w:val="nil"/>
              <w:left w:val="nil"/>
              <w:bottom w:val="nil"/>
              <w:right w:val="nil"/>
            </w:tcBorders>
          </w:tcPr>
          <w:p w14:paraId="156011A0"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1004" w:type="pct"/>
            <w:tcBorders>
              <w:top w:val="nil"/>
              <w:left w:val="nil"/>
              <w:bottom w:val="nil"/>
              <w:right w:val="nil"/>
            </w:tcBorders>
          </w:tcPr>
          <w:p w14:paraId="2190D68F" w14:textId="77777777" w:rsidR="00564C66" w:rsidRPr="00FD0D8E" w:rsidRDefault="00564C66" w:rsidP="00C74EB6">
            <w:pPr>
              <w:autoSpaceDE w:val="0"/>
              <w:autoSpaceDN w:val="0"/>
              <w:adjustRightInd w:val="0"/>
              <w:jc w:val="center"/>
              <w:rPr>
                <w:kern w:val="0"/>
                <w:szCs w:val="21"/>
              </w:rPr>
            </w:pPr>
            <w:r w:rsidRPr="00FD0D8E">
              <w:rPr>
                <w:kern w:val="0"/>
                <w:szCs w:val="21"/>
              </w:rPr>
              <w:t>0.018</w:t>
            </w:r>
            <w:r w:rsidRPr="00FD0D8E">
              <w:rPr>
                <w:kern w:val="0"/>
                <w:szCs w:val="21"/>
                <w:vertAlign w:val="superscript"/>
              </w:rPr>
              <w:t>**</w:t>
            </w:r>
          </w:p>
        </w:tc>
      </w:tr>
      <w:tr w:rsidR="00564C66" w:rsidRPr="00FD0D8E" w14:paraId="6583DC06" w14:textId="77777777" w:rsidTr="00D85207">
        <w:tc>
          <w:tcPr>
            <w:tcW w:w="1196" w:type="pct"/>
            <w:tcBorders>
              <w:top w:val="nil"/>
              <w:left w:val="nil"/>
              <w:bottom w:val="nil"/>
              <w:right w:val="nil"/>
            </w:tcBorders>
          </w:tcPr>
          <w:p w14:paraId="79DD4EA5"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3A1F105F"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908" w:type="pct"/>
            <w:tcBorders>
              <w:top w:val="nil"/>
              <w:left w:val="nil"/>
              <w:bottom w:val="nil"/>
              <w:right w:val="nil"/>
            </w:tcBorders>
          </w:tcPr>
          <w:p w14:paraId="54C3CCE0"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c>
          <w:tcPr>
            <w:tcW w:w="1003" w:type="pct"/>
            <w:tcBorders>
              <w:top w:val="nil"/>
              <w:left w:val="nil"/>
              <w:bottom w:val="nil"/>
              <w:right w:val="nil"/>
            </w:tcBorders>
          </w:tcPr>
          <w:p w14:paraId="76978856"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c>
          <w:tcPr>
            <w:tcW w:w="1004" w:type="pct"/>
            <w:tcBorders>
              <w:top w:val="nil"/>
              <w:left w:val="nil"/>
              <w:bottom w:val="nil"/>
              <w:right w:val="nil"/>
            </w:tcBorders>
          </w:tcPr>
          <w:p w14:paraId="2E5638B7"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r>
      <w:tr w:rsidR="00564C66" w:rsidRPr="00FD0D8E" w14:paraId="7E831A7A" w14:textId="77777777" w:rsidTr="00D85207">
        <w:tc>
          <w:tcPr>
            <w:tcW w:w="1196" w:type="pct"/>
            <w:tcBorders>
              <w:top w:val="nil"/>
              <w:left w:val="nil"/>
              <w:bottom w:val="nil"/>
              <w:right w:val="nil"/>
            </w:tcBorders>
          </w:tcPr>
          <w:p w14:paraId="0E9CC2BA" w14:textId="77777777" w:rsidR="00564C66" w:rsidRPr="00FD0D8E" w:rsidRDefault="00564C66" w:rsidP="00C74EB6">
            <w:pPr>
              <w:autoSpaceDE w:val="0"/>
              <w:autoSpaceDN w:val="0"/>
              <w:adjustRightInd w:val="0"/>
              <w:rPr>
                <w:kern w:val="0"/>
                <w:szCs w:val="21"/>
              </w:rPr>
            </w:pPr>
            <w:r w:rsidRPr="00FD0D8E">
              <w:rPr>
                <w:kern w:val="0"/>
                <w:szCs w:val="21"/>
              </w:rPr>
              <w:t>ROA</w:t>
            </w:r>
          </w:p>
        </w:tc>
        <w:tc>
          <w:tcPr>
            <w:tcW w:w="890" w:type="pct"/>
            <w:tcBorders>
              <w:top w:val="nil"/>
              <w:left w:val="nil"/>
              <w:bottom w:val="nil"/>
              <w:right w:val="nil"/>
            </w:tcBorders>
          </w:tcPr>
          <w:p w14:paraId="2EE7064E" w14:textId="77777777" w:rsidR="00564C66" w:rsidRPr="00FD0D8E" w:rsidRDefault="00564C66" w:rsidP="00C74EB6">
            <w:pPr>
              <w:autoSpaceDE w:val="0"/>
              <w:autoSpaceDN w:val="0"/>
              <w:adjustRightInd w:val="0"/>
              <w:jc w:val="center"/>
              <w:rPr>
                <w:kern w:val="0"/>
                <w:szCs w:val="21"/>
              </w:rPr>
            </w:pPr>
            <w:r w:rsidRPr="00FD0D8E">
              <w:rPr>
                <w:kern w:val="0"/>
                <w:szCs w:val="21"/>
              </w:rPr>
              <w:t>-0.013</w:t>
            </w:r>
          </w:p>
        </w:tc>
        <w:tc>
          <w:tcPr>
            <w:tcW w:w="908" w:type="pct"/>
            <w:tcBorders>
              <w:top w:val="nil"/>
              <w:left w:val="nil"/>
              <w:bottom w:val="nil"/>
              <w:right w:val="nil"/>
            </w:tcBorders>
          </w:tcPr>
          <w:p w14:paraId="6FE9A2AB" w14:textId="77777777" w:rsidR="00564C66" w:rsidRPr="00FD0D8E" w:rsidRDefault="00564C66" w:rsidP="00C74EB6">
            <w:pPr>
              <w:autoSpaceDE w:val="0"/>
              <w:autoSpaceDN w:val="0"/>
              <w:adjustRightInd w:val="0"/>
              <w:jc w:val="center"/>
              <w:rPr>
                <w:kern w:val="0"/>
                <w:szCs w:val="21"/>
              </w:rPr>
            </w:pPr>
            <w:r w:rsidRPr="00FD0D8E">
              <w:rPr>
                <w:kern w:val="0"/>
                <w:szCs w:val="21"/>
              </w:rPr>
              <w:t>-0.083</w:t>
            </w:r>
          </w:p>
        </w:tc>
        <w:tc>
          <w:tcPr>
            <w:tcW w:w="1003" w:type="pct"/>
            <w:tcBorders>
              <w:top w:val="nil"/>
              <w:left w:val="nil"/>
              <w:bottom w:val="nil"/>
              <w:right w:val="nil"/>
            </w:tcBorders>
          </w:tcPr>
          <w:p w14:paraId="71126D22" w14:textId="77777777" w:rsidR="00564C66" w:rsidRPr="00FD0D8E" w:rsidRDefault="00564C66" w:rsidP="00C74EB6">
            <w:pPr>
              <w:autoSpaceDE w:val="0"/>
              <w:autoSpaceDN w:val="0"/>
              <w:adjustRightInd w:val="0"/>
              <w:jc w:val="center"/>
              <w:rPr>
                <w:kern w:val="0"/>
                <w:szCs w:val="21"/>
              </w:rPr>
            </w:pPr>
            <w:r w:rsidRPr="00FD0D8E">
              <w:rPr>
                <w:kern w:val="0"/>
                <w:szCs w:val="21"/>
              </w:rPr>
              <w:t>-0.063</w:t>
            </w:r>
          </w:p>
        </w:tc>
        <w:tc>
          <w:tcPr>
            <w:tcW w:w="1004" w:type="pct"/>
            <w:tcBorders>
              <w:top w:val="nil"/>
              <w:left w:val="nil"/>
              <w:bottom w:val="nil"/>
              <w:right w:val="nil"/>
            </w:tcBorders>
          </w:tcPr>
          <w:p w14:paraId="6AF1AAA8" w14:textId="77777777" w:rsidR="00564C66" w:rsidRPr="00FD0D8E" w:rsidRDefault="00564C66" w:rsidP="00C74EB6">
            <w:pPr>
              <w:autoSpaceDE w:val="0"/>
              <w:autoSpaceDN w:val="0"/>
              <w:adjustRightInd w:val="0"/>
              <w:jc w:val="center"/>
              <w:rPr>
                <w:kern w:val="0"/>
                <w:szCs w:val="21"/>
              </w:rPr>
            </w:pPr>
            <w:r w:rsidRPr="00FD0D8E">
              <w:rPr>
                <w:kern w:val="0"/>
                <w:szCs w:val="21"/>
              </w:rPr>
              <w:t>-0.036</w:t>
            </w:r>
          </w:p>
        </w:tc>
      </w:tr>
      <w:tr w:rsidR="00564C66" w:rsidRPr="00FD0D8E" w14:paraId="2A508D6B" w14:textId="77777777" w:rsidTr="00D85207">
        <w:tc>
          <w:tcPr>
            <w:tcW w:w="1196" w:type="pct"/>
            <w:tcBorders>
              <w:top w:val="nil"/>
              <w:left w:val="nil"/>
              <w:bottom w:val="nil"/>
              <w:right w:val="nil"/>
            </w:tcBorders>
          </w:tcPr>
          <w:p w14:paraId="069BB9C7"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1F32B9B9" w14:textId="77777777" w:rsidR="00564C66" w:rsidRPr="00FD0D8E" w:rsidRDefault="00564C66" w:rsidP="00C74EB6">
            <w:pPr>
              <w:autoSpaceDE w:val="0"/>
              <w:autoSpaceDN w:val="0"/>
              <w:adjustRightInd w:val="0"/>
              <w:jc w:val="center"/>
              <w:rPr>
                <w:kern w:val="0"/>
                <w:szCs w:val="21"/>
              </w:rPr>
            </w:pPr>
            <w:r w:rsidRPr="00FD0D8E">
              <w:rPr>
                <w:kern w:val="0"/>
                <w:szCs w:val="21"/>
              </w:rPr>
              <w:t>(0.058)</w:t>
            </w:r>
          </w:p>
        </w:tc>
        <w:tc>
          <w:tcPr>
            <w:tcW w:w="908" w:type="pct"/>
            <w:tcBorders>
              <w:top w:val="nil"/>
              <w:left w:val="nil"/>
              <w:bottom w:val="nil"/>
              <w:right w:val="nil"/>
            </w:tcBorders>
          </w:tcPr>
          <w:p w14:paraId="780BAB0C" w14:textId="77777777" w:rsidR="00564C66" w:rsidRPr="00FD0D8E" w:rsidRDefault="00564C66" w:rsidP="00C74EB6">
            <w:pPr>
              <w:autoSpaceDE w:val="0"/>
              <w:autoSpaceDN w:val="0"/>
              <w:adjustRightInd w:val="0"/>
              <w:jc w:val="center"/>
              <w:rPr>
                <w:kern w:val="0"/>
                <w:szCs w:val="21"/>
              </w:rPr>
            </w:pPr>
            <w:r w:rsidRPr="00FD0D8E">
              <w:rPr>
                <w:kern w:val="0"/>
                <w:szCs w:val="21"/>
              </w:rPr>
              <w:t>(0.056)</w:t>
            </w:r>
          </w:p>
        </w:tc>
        <w:tc>
          <w:tcPr>
            <w:tcW w:w="1003" w:type="pct"/>
            <w:tcBorders>
              <w:top w:val="nil"/>
              <w:left w:val="nil"/>
              <w:bottom w:val="nil"/>
              <w:right w:val="nil"/>
            </w:tcBorders>
          </w:tcPr>
          <w:p w14:paraId="72ADD814" w14:textId="77777777" w:rsidR="00564C66" w:rsidRPr="00FD0D8E" w:rsidRDefault="00564C66" w:rsidP="00C74EB6">
            <w:pPr>
              <w:autoSpaceDE w:val="0"/>
              <w:autoSpaceDN w:val="0"/>
              <w:adjustRightInd w:val="0"/>
              <w:jc w:val="center"/>
              <w:rPr>
                <w:kern w:val="0"/>
                <w:szCs w:val="21"/>
              </w:rPr>
            </w:pPr>
            <w:r w:rsidRPr="00FD0D8E">
              <w:rPr>
                <w:kern w:val="0"/>
                <w:szCs w:val="21"/>
              </w:rPr>
              <w:t>(0.055)</w:t>
            </w:r>
          </w:p>
        </w:tc>
        <w:tc>
          <w:tcPr>
            <w:tcW w:w="1004" w:type="pct"/>
            <w:tcBorders>
              <w:top w:val="nil"/>
              <w:left w:val="nil"/>
              <w:bottom w:val="nil"/>
              <w:right w:val="nil"/>
            </w:tcBorders>
          </w:tcPr>
          <w:p w14:paraId="124766B0" w14:textId="77777777" w:rsidR="00564C66" w:rsidRPr="00FD0D8E" w:rsidRDefault="00564C66" w:rsidP="00C74EB6">
            <w:pPr>
              <w:autoSpaceDE w:val="0"/>
              <w:autoSpaceDN w:val="0"/>
              <w:adjustRightInd w:val="0"/>
              <w:jc w:val="center"/>
              <w:rPr>
                <w:kern w:val="0"/>
                <w:szCs w:val="21"/>
              </w:rPr>
            </w:pPr>
            <w:r w:rsidRPr="00FD0D8E">
              <w:rPr>
                <w:kern w:val="0"/>
                <w:szCs w:val="21"/>
              </w:rPr>
              <w:t>(0.060)</w:t>
            </w:r>
          </w:p>
        </w:tc>
      </w:tr>
      <w:tr w:rsidR="00564C66" w:rsidRPr="00FD0D8E" w14:paraId="0C095EA2" w14:textId="77777777" w:rsidTr="00D85207">
        <w:tc>
          <w:tcPr>
            <w:tcW w:w="1196" w:type="pct"/>
            <w:tcBorders>
              <w:top w:val="nil"/>
              <w:left w:val="nil"/>
              <w:bottom w:val="nil"/>
              <w:right w:val="nil"/>
            </w:tcBorders>
          </w:tcPr>
          <w:p w14:paraId="6F4DFD49" w14:textId="77777777" w:rsidR="00564C66" w:rsidRPr="00FD0D8E" w:rsidRDefault="00564C66" w:rsidP="00C74EB6">
            <w:pPr>
              <w:autoSpaceDE w:val="0"/>
              <w:autoSpaceDN w:val="0"/>
              <w:adjustRightInd w:val="0"/>
              <w:rPr>
                <w:kern w:val="0"/>
                <w:szCs w:val="21"/>
              </w:rPr>
            </w:pPr>
            <w:r w:rsidRPr="00FD0D8E">
              <w:rPr>
                <w:kern w:val="0"/>
                <w:szCs w:val="21"/>
              </w:rPr>
              <w:t>Penalty</w:t>
            </w:r>
          </w:p>
        </w:tc>
        <w:tc>
          <w:tcPr>
            <w:tcW w:w="890" w:type="pct"/>
            <w:tcBorders>
              <w:top w:val="nil"/>
              <w:left w:val="nil"/>
              <w:bottom w:val="nil"/>
              <w:right w:val="nil"/>
            </w:tcBorders>
          </w:tcPr>
          <w:p w14:paraId="1DFADB4C" w14:textId="77777777" w:rsidR="00564C66" w:rsidRPr="00FD0D8E" w:rsidRDefault="00564C66"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c>
          <w:tcPr>
            <w:tcW w:w="908" w:type="pct"/>
            <w:tcBorders>
              <w:top w:val="nil"/>
              <w:left w:val="nil"/>
              <w:bottom w:val="nil"/>
              <w:right w:val="nil"/>
            </w:tcBorders>
          </w:tcPr>
          <w:p w14:paraId="3BBBBD2A" w14:textId="77777777" w:rsidR="00564C66" w:rsidRPr="00FD0D8E" w:rsidRDefault="00564C66" w:rsidP="00C74EB6">
            <w:pPr>
              <w:autoSpaceDE w:val="0"/>
              <w:autoSpaceDN w:val="0"/>
              <w:adjustRightInd w:val="0"/>
              <w:jc w:val="center"/>
              <w:rPr>
                <w:kern w:val="0"/>
                <w:szCs w:val="21"/>
              </w:rPr>
            </w:pPr>
            <w:r w:rsidRPr="00FD0D8E">
              <w:rPr>
                <w:kern w:val="0"/>
                <w:szCs w:val="21"/>
              </w:rPr>
              <w:t>-0.009</w:t>
            </w:r>
          </w:p>
        </w:tc>
        <w:tc>
          <w:tcPr>
            <w:tcW w:w="1003" w:type="pct"/>
            <w:tcBorders>
              <w:top w:val="nil"/>
              <w:left w:val="nil"/>
              <w:bottom w:val="nil"/>
              <w:right w:val="nil"/>
            </w:tcBorders>
          </w:tcPr>
          <w:p w14:paraId="2C54C3D5" w14:textId="77777777" w:rsidR="00564C66" w:rsidRPr="00FD0D8E" w:rsidRDefault="00564C66" w:rsidP="00C74EB6">
            <w:pPr>
              <w:autoSpaceDE w:val="0"/>
              <w:autoSpaceDN w:val="0"/>
              <w:adjustRightInd w:val="0"/>
              <w:jc w:val="center"/>
              <w:rPr>
                <w:kern w:val="0"/>
                <w:szCs w:val="21"/>
              </w:rPr>
            </w:pPr>
            <w:r w:rsidRPr="00FD0D8E">
              <w:rPr>
                <w:kern w:val="0"/>
                <w:szCs w:val="21"/>
              </w:rPr>
              <w:t>0.012</w:t>
            </w:r>
          </w:p>
        </w:tc>
        <w:tc>
          <w:tcPr>
            <w:tcW w:w="1004" w:type="pct"/>
            <w:tcBorders>
              <w:top w:val="nil"/>
              <w:left w:val="nil"/>
              <w:bottom w:val="nil"/>
              <w:right w:val="nil"/>
            </w:tcBorders>
          </w:tcPr>
          <w:p w14:paraId="4AE99879"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r>
      <w:tr w:rsidR="00564C66" w:rsidRPr="00FD0D8E" w14:paraId="74199360" w14:textId="77777777" w:rsidTr="00D85207">
        <w:tc>
          <w:tcPr>
            <w:tcW w:w="1196" w:type="pct"/>
            <w:tcBorders>
              <w:top w:val="nil"/>
              <w:left w:val="nil"/>
              <w:bottom w:val="nil"/>
              <w:right w:val="nil"/>
            </w:tcBorders>
          </w:tcPr>
          <w:p w14:paraId="5E802FD6"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76B80D6A"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908" w:type="pct"/>
            <w:tcBorders>
              <w:top w:val="nil"/>
              <w:left w:val="nil"/>
              <w:bottom w:val="nil"/>
              <w:right w:val="nil"/>
            </w:tcBorders>
          </w:tcPr>
          <w:p w14:paraId="0DE79233" w14:textId="77777777" w:rsidR="00564C66" w:rsidRPr="00FD0D8E" w:rsidRDefault="00564C66" w:rsidP="00C74EB6">
            <w:pPr>
              <w:autoSpaceDE w:val="0"/>
              <w:autoSpaceDN w:val="0"/>
              <w:adjustRightInd w:val="0"/>
              <w:jc w:val="center"/>
              <w:rPr>
                <w:kern w:val="0"/>
                <w:szCs w:val="21"/>
              </w:rPr>
            </w:pPr>
            <w:r w:rsidRPr="00FD0D8E">
              <w:rPr>
                <w:kern w:val="0"/>
                <w:szCs w:val="21"/>
              </w:rPr>
              <w:t>(0.011)</w:t>
            </w:r>
          </w:p>
        </w:tc>
        <w:tc>
          <w:tcPr>
            <w:tcW w:w="1003" w:type="pct"/>
            <w:tcBorders>
              <w:top w:val="nil"/>
              <w:left w:val="nil"/>
              <w:bottom w:val="nil"/>
              <w:right w:val="nil"/>
            </w:tcBorders>
          </w:tcPr>
          <w:p w14:paraId="07E05738" w14:textId="77777777" w:rsidR="00564C66" w:rsidRPr="00FD0D8E" w:rsidRDefault="00564C66" w:rsidP="00C74EB6">
            <w:pPr>
              <w:autoSpaceDE w:val="0"/>
              <w:autoSpaceDN w:val="0"/>
              <w:adjustRightInd w:val="0"/>
              <w:jc w:val="center"/>
              <w:rPr>
                <w:kern w:val="0"/>
                <w:szCs w:val="21"/>
              </w:rPr>
            </w:pPr>
            <w:r w:rsidRPr="00FD0D8E">
              <w:rPr>
                <w:kern w:val="0"/>
                <w:szCs w:val="21"/>
              </w:rPr>
              <w:t>(0.010)</w:t>
            </w:r>
          </w:p>
        </w:tc>
        <w:tc>
          <w:tcPr>
            <w:tcW w:w="1004" w:type="pct"/>
            <w:tcBorders>
              <w:top w:val="nil"/>
              <w:left w:val="nil"/>
              <w:bottom w:val="nil"/>
              <w:right w:val="nil"/>
            </w:tcBorders>
          </w:tcPr>
          <w:p w14:paraId="447EA4A8" w14:textId="77777777" w:rsidR="00564C66" w:rsidRPr="00FD0D8E" w:rsidRDefault="00564C66" w:rsidP="00C74EB6">
            <w:pPr>
              <w:autoSpaceDE w:val="0"/>
              <w:autoSpaceDN w:val="0"/>
              <w:adjustRightInd w:val="0"/>
              <w:jc w:val="center"/>
              <w:rPr>
                <w:kern w:val="0"/>
                <w:szCs w:val="21"/>
              </w:rPr>
            </w:pPr>
            <w:r w:rsidRPr="00FD0D8E">
              <w:rPr>
                <w:kern w:val="0"/>
                <w:szCs w:val="21"/>
              </w:rPr>
              <w:t>(0.012)</w:t>
            </w:r>
          </w:p>
        </w:tc>
      </w:tr>
      <w:tr w:rsidR="00564C66" w:rsidRPr="00FD0D8E" w14:paraId="4A7C5932" w14:textId="77777777" w:rsidTr="00D85207">
        <w:tc>
          <w:tcPr>
            <w:tcW w:w="1196" w:type="pct"/>
            <w:tcBorders>
              <w:top w:val="nil"/>
              <w:left w:val="nil"/>
              <w:bottom w:val="nil"/>
              <w:right w:val="nil"/>
            </w:tcBorders>
          </w:tcPr>
          <w:p w14:paraId="1437C968" w14:textId="77777777" w:rsidR="00564C66" w:rsidRPr="00FD0D8E" w:rsidRDefault="00564C66" w:rsidP="00C74EB6">
            <w:pPr>
              <w:autoSpaceDE w:val="0"/>
              <w:autoSpaceDN w:val="0"/>
              <w:adjustRightInd w:val="0"/>
              <w:rPr>
                <w:kern w:val="0"/>
                <w:szCs w:val="21"/>
              </w:rPr>
            </w:pPr>
            <w:proofErr w:type="spellStart"/>
            <w:r w:rsidRPr="00FD0D8E">
              <w:rPr>
                <w:kern w:val="0"/>
                <w:szCs w:val="21"/>
              </w:rPr>
              <w:t>IndepR</w:t>
            </w:r>
            <w:proofErr w:type="spellEnd"/>
          </w:p>
        </w:tc>
        <w:tc>
          <w:tcPr>
            <w:tcW w:w="890" w:type="pct"/>
            <w:tcBorders>
              <w:top w:val="nil"/>
              <w:left w:val="nil"/>
              <w:bottom w:val="nil"/>
              <w:right w:val="nil"/>
            </w:tcBorders>
          </w:tcPr>
          <w:p w14:paraId="3B365440" w14:textId="77777777" w:rsidR="00564C66" w:rsidRPr="00FD0D8E" w:rsidRDefault="00564C66" w:rsidP="00C74EB6">
            <w:pPr>
              <w:autoSpaceDE w:val="0"/>
              <w:autoSpaceDN w:val="0"/>
              <w:adjustRightInd w:val="0"/>
              <w:jc w:val="center"/>
              <w:rPr>
                <w:kern w:val="0"/>
                <w:szCs w:val="21"/>
              </w:rPr>
            </w:pPr>
            <w:r w:rsidRPr="00FD0D8E">
              <w:rPr>
                <w:kern w:val="0"/>
                <w:szCs w:val="21"/>
              </w:rPr>
              <w:t>0.008</w:t>
            </w:r>
          </w:p>
        </w:tc>
        <w:tc>
          <w:tcPr>
            <w:tcW w:w="908" w:type="pct"/>
            <w:tcBorders>
              <w:top w:val="nil"/>
              <w:left w:val="nil"/>
              <w:bottom w:val="nil"/>
              <w:right w:val="nil"/>
            </w:tcBorders>
          </w:tcPr>
          <w:p w14:paraId="2E4B014E" w14:textId="77777777" w:rsidR="00564C66" w:rsidRPr="00FD0D8E" w:rsidRDefault="00564C66" w:rsidP="00C74EB6">
            <w:pPr>
              <w:autoSpaceDE w:val="0"/>
              <w:autoSpaceDN w:val="0"/>
              <w:adjustRightInd w:val="0"/>
              <w:jc w:val="center"/>
              <w:rPr>
                <w:kern w:val="0"/>
                <w:szCs w:val="21"/>
              </w:rPr>
            </w:pPr>
            <w:r w:rsidRPr="00FD0D8E">
              <w:rPr>
                <w:kern w:val="0"/>
                <w:szCs w:val="21"/>
              </w:rPr>
              <w:t>0.020</w:t>
            </w:r>
          </w:p>
        </w:tc>
        <w:tc>
          <w:tcPr>
            <w:tcW w:w="1003" w:type="pct"/>
            <w:tcBorders>
              <w:top w:val="nil"/>
              <w:left w:val="nil"/>
              <w:bottom w:val="nil"/>
              <w:right w:val="nil"/>
            </w:tcBorders>
          </w:tcPr>
          <w:p w14:paraId="0E7DCFF3" w14:textId="77777777" w:rsidR="00564C66" w:rsidRPr="00FD0D8E" w:rsidRDefault="00564C66" w:rsidP="00C74EB6">
            <w:pPr>
              <w:autoSpaceDE w:val="0"/>
              <w:autoSpaceDN w:val="0"/>
              <w:adjustRightInd w:val="0"/>
              <w:jc w:val="center"/>
              <w:rPr>
                <w:kern w:val="0"/>
                <w:szCs w:val="21"/>
              </w:rPr>
            </w:pPr>
            <w:r w:rsidRPr="00FD0D8E">
              <w:rPr>
                <w:kern w:val="0"/>
                <w:szCs w:val="21"/>
              </w:rPr>
              <w:t>0.088</w:t>
            </w:r>
            <w:r w:rsidRPr="00FD0D8E">
              <w:rPr>
                <w:kern w:val="0"/>
                <w:szCs w:val="21"/>
                <w:vertAlign w:val="superscript"/>
              </w:rPr>
              <w:t>**</w:t>
            </w:r>
          </w:p>
        </w:tc>
        <w:tc>
          <w:tcPr>
            <w:tcW w:w="1004" w:type="pct"/>
            <w:tcBorders>
              <w:top w:val="nil"/>
              <w:left w:val="nil"/>
              <w:bottom w:val="nil"/>
              <w:right w:val="nil"/>
            </w:tcBorders>
          </w:tcPr>
          <w:p w14:paraId="0B9F631D" w14:textId="77777777" w:rsidR="00564C66" w:rsidRPr="00FD0D8E" w:rsidRDefault="00564C66" w:rsidP="00C74EB6">
            <w:pPr>
              <w:autoSpaceDE w:val="0"/>
              <w:autoSpaceDN w:val="0"/>
              <w:adjustRightInd w:val="0"/>
              <w:jc w:val="center"/>
              <w:rPr>
                <w:kern w:val="0"/>
                <w:szCs w:val="21"/>
              </w:rPr>
            </w:pPr>
            <w:r w:rsidRPr="00FD0D8E">
              <w:rPr>
                <w:kern w:val="0"/>
                <w:szCs w:val="21"/>
              </w:rPr>
              <w:t>-0.073</w:t>
            </w:r>
            <w:r w:rsidRPr="00FD0D8E">
              <w:rPr>
                <w:kern w:val="0"/>
                <w:szCs w:val="21"/>
                <w:vertAlign w:val="superscript"/>
              </w:rPr>
              <w:t>*</w:t>
            </w:r>
          </w:p>
        </w:tc>
      </w:tr>
      <w:tr w:rsidR="00564C66" w:rsidRPr="00FD0D8E" w14:paraId="286E8072" w14:textId="77777777" w:rsidTr="00D85207">
        <w:tc>
          <w:tcPr>
            <w:tcW w:w="1196" w:type="pct"/>
            <w:tcBorders>
              <w:top w:val="nil"/>
              <w:left w:val="nil"/>
              <w:bottom w:val="nil"/>
              <w:right w:val="nil"/>
            </w:tcBorders>
          </w:tcPr>
          <w:p w14:paraId="1F76C069"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29C04F8B" w14:textId="77777777" w:rsidR="00564C66" w:rsidRPr="00FD0D8E" w:rsidRDefault="00564C66" w:rsidP="00C74EB6">
            <w:pPr>
              <w:autoSpaceDE w:val="0"/>
              <w:autoSpaceDN w:val="0"/>
              <w:adjustRightInd w:val="0"/>
              <w:jc w:val="center"/>
              <w:rPr>
                <w:kern w:val="0"/>
                <w:szCs w:val="21"/>
              </w:rPr>
            </w:pPr>
            <w:r w:rsidRPr="00FD0D8E">
              <w:rPr>
                <w:kern w:val="0"/>
                <w:szCs w:val="21"/>
              </w:rPr>
              <w:t>(0.039)</w:t>
            </w:r>
          </w:p>
        </w:tc>
        <w:tc>
          <w:tcPr>
            <w:tcW w:w="908" w:type="pct"/>
            <w:tcBorders>
              <w:top w:val="nil"/>
              <w:left w:val="nil"/>
              <w:bottom w:val="nil"/>
              <w:right w:val="nil"/>
            </w:tcBorders>
          </w:tcPr>
          <w:p w14:paraId="51B84157" w14:textId="77777777" w:rsidR="00564C66" w:rsidRPr="00FD0D8E" w:rsidRDefault="00564C66" w:rsidP="00C74EB6">
            <w:pPr>
              <w:autoSpaceDE w:val="0"/>
              <w:autoSpaceDN w:val="0"/>
              <w:adjustRightInd w:val="0"/>
              <w:jc w:val="center"/>
              <w:rPr>
                <w:kern w:val="0"/>
                <w:szCs w:val="21"/>
              </w:rPr>
            </w:pPr>
            <w:r w:rsidRPr="00FD0D8E">
              <w:rPr>
                <w:kern w:val="0"/>
                <w:szCs w:val="21"/>
              </w:rPr>
              <w:t>(0.040)</w:t>
            </w:r>
          </w:p>
        </w:tc>
        <w:tc>
          <w:tcPr>
            <w:tcW w:w="1003" w:type="pct"/>
            <w:tcBorders>
              <w:top w:val="nil"/>
              <w:left w:val="nil"/>
              <w:bottom w:val="nil"/>
              <w:right w:val="nil"/>
            </w:tcBorders>
          </w:tcPr>
          <w:p w14:paraId="24AF8923" w14:textId="77777777" w:rsidR="00564C66" w:rsidRPr="00FD0D8E" w:rsidRDefault="00564C66" w:rsidP="00C74EB6">
            <w:pPr>
              <w:autoSpaceDE w:val="0"/>
              <w:autoSpaceDN w:val="0"/>
              <w:adjustRightInd w:val="0"/>
              <w:jc w:val="center"/>
              <w:rPr>
                <w:kern w:val="0"/>
                <w:szCs w:val="21"/>
              </w:rPr>
            </w:pPr>
            <w:r w:rsidRPr="00FD0D8E">
              <w:rPr>
                <w:kern w:val="0"/>
                <w:szCs w:val="21"/>
              </w:rPr>
              <w:t>(0.039)</w:t>
            </w:r>
          </w:p>
        </w:tc>
        <w:tc>
          <w:tcPr>
            <w:tcW w:w="1004" w:type="pct"/>
            <w:tcBorders>
              <w:top w:val="nil"/>
              <w:left w:val="nil"/>
              <w:bottom w:val="nil"/>
              <w:right w:val="nil"/>
            </w:tcBorders>
          </w:tcPr>
          <w:p w14:paraId="7D2CD815" w14:textId="77777777" w:rsidR="00564C66" w:rsidRPr="00FD0D8E" w:rsidRDefault="00564C66" w:rsidP="00C74EB6">
            <w:pPr>
              <w:autoSpaceDE w:val="0"/>
              <w:autoSpaceDN w:val="0"/>
              <w:adjustRightInd w:val="0"/>
              <w:jc w:val="center"/>
              <w:rPr>
                <w:kern w:val="0"/>
                <w:szCs w:val="21"/>
              </w:rPr>
            </w:pPr>
            <w:r w:rsidRPr="00FD0D8E">
              <w:rPr>
                <w:kern w:val="0"/>
                <w:szCs w:val="21"/>
              </w:rPr>
              <w:t>(0.041)</w:t>
            </w:r>
          </w:p>
        </w:tc>
      </w:tr>
      <w:tr w:rsidR="00564C66" w:rsidRPr="00FD0D8E" w14:paraId="66F8DF30" w14:textId="77777777" w:rsidTr="00D85207">
        <w:tc>
          <w:tcPr>
            <w:tcW w:w="1196" w:type="pct"/>
            <w:tcBorders>
              <w:top w:val="nil"/>
              <w:left w:val="nil"/>
              <w:bottom w:val="nil"/>
              <w:right w:val="nil"/>
            </w:tcBorders>
          </w:tcPr>
          <w:p w14:paraId="32425195" w14:textId="77777777" w:rsidR="00564C66" w:rsidRPr="00FD0D8E" w:rsidRDefault="00564C66" w:rsidP="00C74EB6">
            <w:pPr>
              <w:autoSpaceDE w:val="0"/>
              <w:autoSpaceDN w:val="0"/>
              <w:adjustRightInd w:val="0"/>
              <w:rPr>
                <w:kern w:val="0"/>
                <w:szCs w:val="21"/>
              </w:rPr>
            </w:pPr>
            <w:proofErr w:type="spellStart"/>
            <w:r w:rsidRPr="00FD0D8E">
              <w:rPr>
                <w:kern w:val="0"/>
                <w:szCs w:val="21"/>
              </w:rPr>
              <w:t>DSize</w:t>
            </w:r>
            <w:proofErr w:type="spellEnd"/>
          </w:p>
        </w:tc>
        <w:tc>
          <w:tcPr>
            <w:tcW w:w="890" w:type="pct"/>
            <w:tcBorders>
              <w:top w:val="nil"/>
              <w:left w:val="nil"/>
              <w:bottom w:val="nil"/>
              <w:right w:val="nil"/>
            </w:tcBorders>
          </w:tcPr>
          <w:p w14:paraId="35409580"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08" w:type="pct"/>
            <w:tcBorders>
              <w:top w:val="nil"/>
              <w:left w:val="nil"/>
              <w:bottom w:val="nil"/>
              <w:right w:val="nil"/>
            </w:tcBorders>
          </w:tcPr>
          <w:p w14:paraId="09B41736" w14:textId="77777777" w:rsidR="00564C66" w:rsidRPr="00FD0D8E" w:rsidRDefault="00564C66"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003" w:type="pct"/>
            <w:tcBorders>
              <w:top w:val="nil"/>
              <w:left w:val="nil"/>
              <w:bottom w:val="nil"/>
              <w:right w:val="nil"/>
            </w:tcBorders>
          </w:tcPr>
          <w:p w14:paraId="5CEB1F93" w14:textId="77777777" w:rsidR="00564C66" w:rsidRPr="00FD0D8E" w:rsidRDefault="00564C66" w:rsidP="00C74EB6">
            <w:pPr>
              <w:autoSpaceDE w:val="0"/>
              <w:autoSpaceDN w:val="0"/>
              <w:adjustRightInd w:val="0"/>
              <w:jc w:val="center"/>
              <w:rPr>
                <w:kern w:val="0"/>
                <w:szCs w:val="21"/>
              </w:rPr>
            </w:pPr>
            <w:r w:rsidRPr="00FD0D8E">
              <w:rPr>
                <w:kern w:val="0"/>
                <w:szCs w:val="21"/>
              </w:rPr>
              <w:t>0.000</w:t>
            </w:r>
          </w:p>
        </w:tc>
        <w:tc>
          <w:tcPr>
            <w:tcW w:w="1004" w:type="pct"/>
            <w:tcBorders>
              <w:top w:val="nil"/>
              <w:left w:val="nil"/>
              <w:bottom w:val="nil"/>
              <w:right w:val="nil"/>
            </w:tcBorders>
          </w:tcPr>
          <w:p w14:paraId="432723A4" w14:textId="77777777" w:rsidR="00564C66" w:rsidRPr="00FD0D8E" w:rsidRDefault="00564C66" w:rsidP="00C74EB6">
            <w:pPr>
              <w:autoSpaceDE w:val="0"/>
              <w:autoSpaceDN w:val="0"/>
              <w:adjustRightInd w:val="0"/>
              <w:jc w:val="center"/>
              <w:rPr>
                <w:kern w:val="0"/>
                <w:szCs w:val="21"/>
              </w:rPr>
            </w:pPr>
            <w:r w:rsidRPr="00FD0D8E">
              <w:rPr>
                <w:kern w:val="0"/>
                <w:szCs w:val="21"/>
              </w:rPr>
              <w:t>0.003</w:t>
            </w:r>
            <w:r w:rsidRPr="00FD0D8E">
              <w:rPr>
                <w:kern w:val="0"/>
                <w:szCs w:val="21"/>
                <w:vertAlign w:val="superscript"/>
              </w:rPr>
              <w:t>***</w:t>
            </w:r>
          </w:p>
        </w:tc>
      </w:tr>
      <w:tr w:rsidR="00564C66" w:rsidRPr="00FD0D8E" w14:paraId="412465FE" w14:textId="77777777" w:rsidTr="00D85207">
        <w:tc>
          <w:tcPr>
            <w:tcW w:w="1196" w:type="pct"/>
            <w:tcBorders>
              <w:top w:val="nil"/>
              <w:left w:val="nil"/>
              <w:bottom w:val="nil"/>
              <w:right w:val="nil"/>
            </w:tcBorders>
          </w:tcPr>
          <w:p w14:paraId="74971C5C"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6427F326"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908" w:type="pct"/>
            <w:tcBorders>
              <w:top w:val="nil"/>
              <w:left w:val="nil"/>
              <w:bottom w:val="nil"/>
              <w:right w:val="nil"/>
            </w:tcBorders>
          </w:tcPr>
          <w:p w14:paraId="6BA7F136"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1003" w:type="pct"/>
            <w:tcBorders>
              <w:top w:val="nil"/>
              <w:left w:val="nil"/>
              <w:bottom w:val="nil"/>
              <w:right w:val="nil"/>
            </w:tcBorders>
          </w:tcPr>
          <w:p w14:paraId="24DDA0DA"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c>
          <w:tcPr>
            <w:tcW w:w="1004" w:type="pct"/>
            <w:tcBorders>
              <w:top w:val="nil"/>
              <w:left w:val="nil"/>
              <w:bottom w:val="nil"/>
              <w:right w:val="nil"/>
            </w:tcBorders>
          </w:tcPr>
          <w:p w14:paraId="657084F7" w14:textId="77777777" w:rsidR="00564C66" w:rsidRPr="00FD0D8E" w:rsidRDefault="00564C66" w:rsidP="00C74EB6">
            <w:pPr>
              <w:autoSpaceDE w:val="0"/>
              <w:autoSpaceDN w:val="0"/>
              <w:adjustRightInd w:val="0"/>
              <w:jc w:val="center"/>
              <w:rPr>
                <w:kern w:val="0"/>
                <w:szCs w:val="21"/>
              </w:rPr>
            </w:pPr>
            <w:r w:rsidRPr="00FD0D8E">
              <w:rPr>
                <w:kern w:val="0"/>
                <w:szCs w:val="21"/>
              </w:rPr>
              <w:t>(0.001)</w:t>
            </w:r>
          </w:p>
        </w:tc>
      </w:tr>
      <w:tr w:rsidR="00564C66" w:rsidRPr="00FD0D8E" w14:paraId="0E84E05C" w14:textId="77777777" w:rsidTr="00D85207">
        <w:tc>
          <w:tcPr>
            <w:tcW w:w="1196" w:type="pct"/>
            <w:tcBorders>
              <w:top w:val="nil"/>
              <w:left w:val="nil"/>
              <w:bottom w:val="nil"/>
              <w:right w:val="nil"/>
            </w:tcBorders>
          </w:tcPr>
          <w:p w14:paraId="2C69981E" w14:textId="77777777" w:rsidR="00564C66" w:rsidRPr="00FD0D8E" w:rsidRDefault="00564C66" w:rsidP="00C74EB6">
            <w:pPr>
              <w:autoSpaceDE w:val="0"/>
              <w:autoSpaceDN w:val="0"/>
              <w:adjustRightInd w:val="0"/>
              <w:rPr>
                <w:kern w:val="0"/>
                <w:szCs w:val="21"/>
              </w:rPr>
            </w:pPr>
            <w:r w:rsidRPr="00FD0D8E">
              <w:rPr>
                <w:kern w:val="0"/>
                <w:szCs w:val="21"/>
              </w:rPr>
              <w:t>Duality</w:t>
            </w:r>
          </w:p>
        </w:tc>
        <w:tc>
          <w:tcPr>
            <w:tcW w:w="890" w:type="pct"/>
            <w:tcBorders>
              <w:top w:val="nil"/>
              <w:left w:val="nil"/>
              <w:bottom w:val="nil"/>
              <w:right w:val="nil"/>
            </w:tcBorders>
          </w:tcPr>
          <w:p w14:paraId="69FD7E61" w14:textId="77777777" w:rsidR="00564C66" w:rsidRPr="00FD0D8E" w:rsidRDefault="00564C66" w:rsidP="00C74EB6">
            <w:pPr>
              <w:autoSpaceDE w:val="0"/>
              <w:autoSpaceDN w:val="0"/>
              <w:adjustRightInd w:val="0"/>
              <w:jc w:val="center"/>
              <w:rPr>
                <w:kern w:val="0"/>
                <w:szCs w:val="21"/>
              </w:rPr>
            </w:pPr>
            <w:r w:rsidRPr="00FD0D8E">
              <w:rPr>
                <w:kern w:val="0"/>
                <w:szCs w:val="21"/>
              </w:rPr>
              <w:t>-0.025</w:t>
            </w:r>
            <w:r w:rsidRPr="00FD0D8E">
              <w:rPr>
                <w:kern w:val="0"/>
                <w:szCs w:val="21"/>
                <w:vertAlign w:val="superscript"/>
              </w:rPr>
              <w:t>***</w:t>
            </w:r>
          </w:p>
        </w:tc>
        <w:tc>
          <w:tcPr>
            <w:tcW w:w="908" w:type="pct"/>
            <w:tcBorders>
              <w:top w:val="nil"/>
              <w:left w:val="nil"/>
              <w:bottom w:val="nil"/>
              <w:right w:val="nil"/>
            </w:tcBorders>
          </w:tcPr>
          <w:p w14:paraId="3CE63404" w14:textId="77777777" w:rsidR="00564C66" w:rsidRPr="00FD0D8E" w:rsidRDefault="00564C66" w:rsidP="00C74EB6">
            <w:pPr>
              <w:autoSpaceDE w:val="0"/>
              <w:autoSpaceDN w:val="0"/>
              <w:adjustRightInd w:val="0"/>
              <w:jc w:val="center"/>
              <w:rPr>
                <w:kern w:val="0"/>
                <w:szCs w:val="21"/>
              </w:rPr>
            </w:pPr>
            <w:r w:rsidRPr="00FD0D8E">
              <w:rPr>
                <w:kern w:val="0"/>
                <w:szCs w:val="21"/>
              </w:rPr>
              <w:t>-0.023</w:t>
            </w:r>
            <w:r w:rsidRPr="00FD0D8E">
              <w:rPr>
                <w:kern w:val="0"/>
                <w:szCs w:val="21"/>
                <w:vertAlign w:val="superscript"/>
              </w:rPr>
              <w:t>***</w:t>
            </w:r>
          </w:p>
        </w:tc>
        <w:tc>
          <w:tcPr>
            <w:tcW w:w="1003" w:type="pct"/>
            <w:tcBorders>
              <w:top w:val="nil"/>
              <w:left w:val="nil"/>
              <w:bottom w:val="nil"/>
              <w:right w:val="nil"/>
            </w:tcBorders>
          </w:tcPr>
          <w:p w14:paraId="6666630E" w14:textId="77777777" w:rsidR="00564C66" w:rsidRPr="00FD0D8E" w:rsidRDefault="00564C66" w:rsidP="00C74EB6">
            <w:pPr>
              <w:autoSpaceDE w:val="0"/>
              <w:autoSpaceDN w:val="0"/>
              <w:adjustRightInd w:val="0"/>
              <w:jc w:val="center"/>
              <w:rPr>
                <w:kern w:val="0"/>
                <w:szCs w:val="21"/>
              </w:rPr>
            </w:pPr>
            <w:r w:rsidRPr="00FD0D8E">
              <w:rPr>
                <w:kern w:val="0"/>
                <w:szCs w:val="21"/>
              </w:rPr>
              <w:t>-0.019</w:t>
            </w:r>
            <w:r w:rsidRPr="00FD0D8E">
              <w:rPr>
                <w:kern w:val="0"/>
                <w:szCs w:val="21"/>
                <w:vertAlign w:val="superscript"/>
              </w:rPr>
              <w:t>***</w:t>
            </w:r>
          </w:p>
        </w:tc>
        <w:tc>
          <w:tcPr>
            <w:tcW w:w="1004" w:type="pct"/>
            <w:tcBorders>
              <w:top w:val="nil"/>
              <w:left w:val="nil"/>
              <w:bottom w:val="nil"/>
              <w:right w:val="nil"/>
            </w:tcBorders>
          </w:tcPr>
          <w:p w14:paraId="00F2F59E" w14:textId="77777777" w:rsidR="00564C66" w:rsidRPr="00FD0D8E" w:rsidRDefault="00564C66"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r>
      <w:tr w:rsidR="00564C66" w:rsidRPr="00FD0D8E" w14:paraId="275E7926" w14:textId="77777777" w:rsidTr="00D85207">
        <w:tc>
          <w:tcPr>
            <w:tcW w:w="1196" w:type="pct"/>
            <w:tcBorders>
              <w:top w:val="nil"/>
              <w:left w:val="nil"/>
              <w:bottom w:val="nil"/>
              <w:right w:val="nil"/>
            </w:tcBorders>
          </w:tcPr>
          <w:p w14:paraId="1A9FEFEF"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04C45462"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908" w:type="pct"/>
            <w:tcBorders>
              <w:top w:val="nil"/>
              <w:left w:val="nil"/>
              <w:bottom w:val="nil"/>
              <w:right w:val="nil"/>
            </w:tcBorders>
          </w:tcPr>
          <w:p w14:paraId="7AE5DBAF"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c>
          <w:tcPr>
            <w:tcW w:w="1003" w:type="pct"/>
            <w:tcBorders>
              <w:top w:val="nil"/>
              <w:left w:val="nil"/>
              <w:bottom w:val="nil"/>
              <w:right w:val="nil"/>
            </w:tcBorders>
          </w:tcPr>
          <w:p w14:paraId="5F29CF98"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c>
          <w:tcPr>
            <w:tcW w:w="1004" w:type="pct"/>
            <w:tcBorders>
              <w:top w:val="nil"/>
              <w:left w:val="nil"/>
              <w:bottom w:val="nil"/>
              <w:right w:val="nil"/>
            </w:tcBorders>
          </w:tcPr>
          <w:p w14:paraId="620DE058"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r>
      <w:tr w:rsidR="00564C66" w:rsidRPr="00FD0D8E" w14:paraId="56BAE4C5" w14:textId="77777777" w:rsidTr="00D85207">
        <w:tc>
          <w:tcPr>
            <w:tcW w:w="1196" w:type="pct"/>
            <w:tcBorders>
              <w:top w:val="nil"/>
              <w:left w:val="nil"/>
              <w:bottom w:val="nil"/>
              <w:right w:val="nil"/>
            </w:tcBorders>
          </w:tcPr>
          <w:p w14:paraId="6E5A7075" w14:textId="77777777" w:rsidR="00564C66" w:rsidRPr="00FD0D8E" w:rsidRDefault="00564C66" w:rsidP="00C74EB6">
            <w:pPr>
              <w:autoSpaceDE w:val="0"/>
              <w:autoSpaceDN w:val="0"/>
              <w:adjustRightInd w:val="0"/>
              <w:rPr>
                <w:kern w:val="0"/>
                <w:szCs w:val="21"/>
              </w:rPr>
            </w:pPr>
            <w:r w:rsidRPr="00FD0D8E">
              <w:rPr>
                <w:kern w:val="0"/>
                <w:szCs w:val="21"/>
              </w:rPr>
              <w:t>DOSR</w:t>
            </w:r>
          </w:p>
        </w:tc>
        <w:tc>
          <w:tcPr>
            <w:tcW w:w="890" w:type="pct"/>
            <w:tcBorders>
              <w:top w:val="nil"/>
              <w:left w:val="nil"/>
              <w:bottom w:val="nil"/>
              <w:right w:val="nil"/>
            </w:tcBorders>
          </w:tcPr>
          <w:p w14:paraId="1E99278D" w14:textId="77777777" w:rsidR="00564C66" w:rsidRPr="00FD0D8E" w:rsidRDefault="00564C66" w:rsidP="00C74EB6">
            <w:pPr>
              <w:autoSpaceDE w:val="0"/>
              <w:autoSpaceDN w:val="0"/>
              <w:adjustRightInd w:val="0"/>
              <w:jc w:val="center"/>
              <w:rPr>
                <w:kern w:val="0"/>
                <w:szCs w:val="21"/>
              </w:rPr>
            </w:pPr>
            <w:r w:rsidRPr="00FD0D8E">
              <w:rPr>
                <w:kern w:val="0"/>
                <w:szCs w:val="21"/>
              </w:rPr>
              <w:t>-0.086</w:t>
            </w:r>
            <w:r w:rsidRPr="00FD0D8E">
              <w:rPr>
                <w:kern w:val="0"/>
                <w:szCs w:val="21"/>
                <w:vertAlign w:val="superscript"/>
              </w:rPr>
              <w:t>***</w:t>
            </w:r>
          </w:p>
        </w:tc>
        <w:tc>
          <w:tcPr>
            <w:tcW w:w="908" w:type="pct"/>
            <w:tcBorders>
              <w:top w:val="nil"/>
              <w:left w:val="nil"/>
              <w:bottom w:val="nil"/>
              <w:right w:val="nil"/>
            </w:tcBorders>
          </w:tcPr>
          <w:p w14:paraId="748F0730" w14:textId="77777777" w:rsidR="00564C66" w:rsidRPr="00FD0D8E" w:rsidRDefault="00564C66" w:rsidP="00C74EB6">
            <w:pPr>
              <w:autoSpaceDE w:val="0"/>
              <w:autoSpaceDN w:val="0"/>
              <w:adjustRightInd w:val="0"/>
              <w:jc w:val="center"/>
              <w:rPr>
                <w:kern w:val="0"/>
                <w:szCs w:val="21"/>
              </w:rPr>
            </w:pPr>
            <w:r w:rsidRPr="00FD0D8E">
              <w:rPr>
                <w:kern w:val="0"/>
                <w:szCs w:val="21"/>
              </w:rPr>
              <w:t>-0.087</w:t>
            </w:r>
            <w:r w:rsidRPr="00FD0D8E">
              <w:rPr>
                <w:kern w:val="0"/>
                <w:szCs w:val="21"/>
                <w:vertAlign w:val="superscript"/>
              </w:rPr>
              <w:t>***</w:t>
            </w:r>
          </w:p>
        </w:tc>
        <w:tc>
          <w:tcPr>
            <w:tcW w:w="1003" w:type="pct"/>
            <w:tcBorders>
              <w:top w:val="nil"/>
              <w:left w:val="nil"/>
              <w:bottom w:val="nil"/>
              <w:right w:val="nil"/>
            </w:tcBorders>
          </w:tcPr>
          <w:p w14:paraId="2E13BAC5" w14:textId="77777777" w:rsidR="00564C66" w:rsidRPr="00FD0D8E" w:rsidRDefault="00564C66" w:rsidP="00C74EB6">
            <w:pPr>
              <w:autoSpaceDE w:val="0"/>
              <w:autoSpaceDN w:val="0"/>
              <w:adjustRightInd w:val="0"/>
              <w:jc w:val="center"/>
              <w:rPr>
                <w:kern w:val="0"/>
                <w:szCs w:val="21"/>
              </w:rPr>
            </w:pPr>
            <w:r w:rsidRPr="00FD0D8E">
              <w:rPr>
                <w:kern w:val="0"/>
                <w:szCs w:val="21"/>
              </w:rPr>
              <w:t>-0.100</w:t>
            </w:r>
            <w:r w:rsidRPr="00FD0D8E">
              <w:rPr>
                <w:kern w:val="0"/>
                <w:szCs w:val="21"/>
                <w:vertAlign w:val="superscript"/>
              </w:rPr>
              <w:t>***</w:t>
            </w:r>
          </w:p>
        </w:tc>
        <w:tc>
          <w:tcPr>
            <w:tcW w:w="1004" w:type="pct"/>
            <w:tcBorders>
              <w:top w:val="nil"/>
              <w:left w:val="nil"/>
              <w:bottom w:val="nil"/>
              <w:right w:val="nil"/>
            </w:tcBorders>
          </w:tcPr>
          <w:p w14:paraId="45F0D4A2" w14:textId="77777777" w:rsidR="00564C66" w:rsidRPr="00FD0D8E" w:rsidRDefault="00564C66" w:rsidP="00C74EB6">
            <w:pPr>
              <w:autoSpaceDE w:val="0"/>
              <w:autoSpaceDN w:val="0"/>
              <w:adjustRightInd w:val="0"/>
              <w:jc w:val="center"/>
              <w:rPr>
                <w:kern w:val="0"/>
                <w:szCs w:val="21"/>
              </w:rPr>
            </w:pPr>
            <w:r w:rsidRPr="00FD0D8E">
              <w:rPr>
                <w:kern w:val="0"/>
                <w:szCs w:val="21"/>
              </w:rPr>
              <w:t>-0.069</w:t>
            </w:r>
            <w:r w:rsidRPr="00FD0D8E">
              <w:rPr>
                <w:kern w:val="0"/>
                <w:szCs w:val="21"/>
                <w:vertAlign w:val="superscript"/>
              </w:rPr>
              <w:t>***</w:t>
            </w:r>
          </w:p>
        </w:tc>
      </w:tr>
      <w:tr w:rsidR="00564C66" w:rsidRPr="00FD0D8E" w14:paraId="76051D1F" w14:textId="77777777" w:rsidTr="00D85207">
        <w:tc>
          <w:tcPr>
            <w:tcW w:w="1196" w:type="pct"/>
            <w:tcBorders>
              <w:top w:val="nil"/>
              <w:left w:val="nil"/>
              <w:bottom w:val="nil"/>
              <w:right w:val="nil"/>
            </w:tcBorders>
          </w:tcPr>
          <w:p w14:paraId="5AE72EE9"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71FF7636" w14:textId="77777777" w:rsidR="00564C66" w:rsidRPr="00FD0D8E" w:rsidRDefault="00564C66" w:rsidP="00C74EB6">
            <w:pPr>
              <w:autoSpaceDE w:val="0"/>
              <w:autoSpaceDN w:val="0"/>
              <w:adjustRightInd w:val="0"/>
              <w:jc w:val="center"/>
              <w:rPr>
                <w:kern w:val="0"/>
                <w:szCs w:val="21"/>
              </w:rPr>
            </w:pPr>
            <w:r w:rsidRPr="00FD0D8E">
              <w:rPr>
                <w:kern w:val="0"/>
                <w:szCs w:val="21"/>
              </w:rPr>
              <w:t>(0.020)</w:t>
            </w:r>
          </w:p>
        </w:tc>
        <w:tc>
          <w:tcPr>
            <w:tcW w:w="908" w:type="pct"/>
            <w:tcBorders>
              <w:top w:val="nil"/>
              <w:left w:val="nil"/>
              <w:bottom w:val="nil"/>
              <w:right w:val="nil"/>
            </w:tcBorders>
          </w:tcPr>
          <w:p w14:paraId="7066E016" w14:textId="77777777" w:rsidR="00564C66" w:rsidRPr="00FD0D8E" w:rsidRDefault="00564C66" w:rsidP="00C74EB6">
            <w:pPr>
              <w:autoSpaceDE w:val="0"/>
              <w:autoSpaceDN w:val="0"/>
              <w:adjustRightInd w:val="0"/>
              <w:jc w:val="center"/>
              <w:rPr>
                <w:kern w:val="0"/>
                <w:szCs w:val="21"/>
              </w:rPr>
            </w:pPr>
            <w:r w:rsidRPr="00FD0D8E">
              <w:rPr>
                <w:kern w:val="0"/>
                <w:szCs w:val="21"/>
              </w:rPr>
              <w:t>(0.018)</w:t>
            </w:r>
          </w:p>
        </w:tc>
        <w:tc>
          <w:tcPr>
            <w:tcW w:w="1003" w:type="pct"/>
            <w:tcBorders>
              <w:top w:val="nil"/>
              <w:left w:val="nil"/>
              <w:bottom w:val="nil"/>
              <w:right w:val="nil"/>
            </w:tcBorders>
          </w:tcPr>
          <w:p w14:paraId="35AFB08B" w14:textId="77777777" w:rsidR="00564C66" w:rsidRPr="00FD0D8E" w:rsidRDefault="00564C66" w:rsidP="00C74EB6">
            <w:pPr>
              <w:autoSpaceDE w:val="0"/>
              <w:autoSpaceDN w:val="0"/>
              <w:adjustRightInd w:val="0"/>
              <w:jc w:val="center"/>
              <w:rPr>
                <w:kern w:val="0"/>
                <w:szCs w:val="21"/>
              </w:rPr>
            </w:pPr>
            <w:r w:rsidRPr="00FD0D8E">
              <w:rPr>
                <w:kern w:val="0"/>
                <w:szCs w:val="21"/>
              </w:rPr>
              <w:t>(0.018)</w:t>
            </w:r>
          </w:p>
        </w:tc>
        <w:tc>
          <w:tcPr>
            <w:tcW w:w="1004" w:type="pct"/>
            <w:tcBorders>
              <w:top w:val="nil"/>
              <w:left w:val="nil"/>
              <w:bottom w:val="nil"/>
              <w:right w:val="nil"/>
            </w:tcBorders>
          </w:tcPr>
          <w:p w14:paraId="30148469" w14:textId="77777777" w:rsidR="00564C66" w:rsidRPr="00FD0D8E" w:rsidRDefault="00564C66" w:rsidP="00C74EB6">
            <w:pPr>
              <w:autoSpaceDE w:val="0"/>
              <w:autoSpaceDN w:val="0"/>
              <w:adjustRightInd w:val="0"/>
              <w:jc w:val="center"/>
              <w:rPr>
                <w:kern w:val="0"/>
                <w:szCs w:val="21"/>
              </w:rPr>
            </w:pPr>
            <w:r w:rsidRPr="00FD0D8E">
              <w:rPr>
                <w:kern w:val="0"/>
                <w:szCs w:val="21"/>
              </w:rPr>
              <w:t>(0.020)</w:t>
            </w:r>
          </w:p>
        </w:tc>
      </w:tr>
      <w:tr w:rsidR="00564C66" w:rsidRPr="00FD0D8E" w14:paraId="03BB102A" w14:textId="77777777" w:rsidTr="00D85207">
        <w:tc>
          <w:tcPr>
            <w:tcW w:w="1196" w:type="pct"/>
            <w:tcBorders>
              <w:top w:val="nil"/>
              <w:left w:val="nil"/>
              <w:bottom w:val="nil"/>
              <w:right w:val="nil"/>
            </w:tcBorders>
          </w:tcPr>
          <w:p w14:paraId="3D3B173D" w14:textId="77777777" w:rsidR="00564C66" w:rsidRPr="00FD0D8E" w:rsidRDefault="00564C66" w:rsidP="00C74EB6">
            <w:pPr>
              <w:autoSpaceDE w:val="0"/>
              <w:autoSpaceDN w:val="0"/>
              <w:adjustRightInd w:val="0"/>
              <w:rPr>
                <w:kern w:val="0"/>
                <w:szCs w:val="21"/>
              </w:rPr>
            </w:pPr>
            <w:r w:rsidRPr="00FD0D8E">
              <w:rPr>
                <w:kern w:val="0"/>
                <w:szCs w:val="21"/>
              </w:rPr>
              <w:t>SOE</w:t>
            </w:r>
          </w:p>
        </w:tc>
        <w:tc>
          <w:tcPr>
            <w:tcW w:w="890" w:type="pct"/>
            <w:tcBorders>
              <w:top w:val="nil"/>
              <w:left w:val="nil"/>
              <w:bottom w:val="nil"/>
              <w:right w:val="nil"/>
            </w:tcBorders>
          </w:tcPr>
          <w:p w14:paraId="1EF74512" w14:textId="77777777" w:rsidR="00564C66" w:rsidRPr="00FD0D8E" w:rsidRDefault="00564C66" w:rsidP="00C74EB6">
            <w:pPr>
              <w:autoSpaceDE w:val="0"/>
              <w:autoSpaceDN w:val="0"/>
              <w:adjustRightInd w:val="0"/>
              <w:jc w:val="center"/>
              <w:rPr>
                <w:kern w:val="0"/>
                <w:szCs w:val="21"/>
              </w:rPr>
            </w:pPr>
            <w:r w:rsidRPr="00FD0D8E">
              <w:rPr>
                <w:kern w:val="0"/>
                <w:szCs w:val="21"/>
              </w:rPr>
              <w:t>0.027</w:t>
            </w:r>
            <w:r w:rsidRPr="00FD0D8E">
              <w:rPr>
                <w:kern w:val="0"/>
                <w:szCs w:val="21"/>
                <w:vertAlign w:val="superscript"/>
              </w:rPr>
              <w:t>***</w:t>
            </w:r>
          </w:p>
        </w:tc>
        <w:tc>
          <w:tcPr>
            <w:tcW w:w="908" w:type="pct"/>
            <w:tcBorders>
              <w:top w:val="nil"/>
              <w:left w:val="nil"/>
              <w:bottom w:val="nil"/>
              <w:right w:val="nil"/>
            </w:tcBorders>
          </w:tcPr>
          <w:p w14:paraId="0F218913" w14:textId="77777777" w:rsidR="00564C66" w:rsidRPr="00FD0D8E" w:rsidRDefault="00564C66" w:rsidP="00C74EB6">
            <w:pPr>
              <w:autoSpaceDE w:val="0"/>
              <w:autoSpaceDN w:val="0"/>
              <w:adjustRightInd w:val="0"/>
              <w:jc w:val="center"/>
              <w:rPr>
                <w:kern w:val="0"/>
                <w:szCs w:val="21"/>
              </w:rPr>
            </w:pPr>
            <w:r w:rsidRPr="00FD0D8E">
              <w:rPr>
                <w:kern w:val="0"/>
                <w:szCs w:val="21"/>
              </w:rPr>
              <w:t>0.013</w:t>
            </w:r>
            <w:r w:rsidRPr="00FD0D8E">
              <w:rPr>
                <w:kern w:val="0"/>
                <w:szCs w:val="21"/>
                <w:vertAlign w:val="superscript"/>
              </w:rPr>
              <w:t>**</w:t>
            </w:r>
          </w:p>
        </w:tc>
        <w:tc>
          <w:tcPr>
            <w:tcW w:w="1003" w:type="pct"/>
            <w:tcBorders>
              <w:top w:val="nil"/>
              <w:left w:val="nil"/>
              <w:bottom w:val="nil"/>
              <w:right w:val="nil"/>
            </w:tcBorders>
          </w:tcPr>
          <w:p w14:paraId="149466F6" w14:textId="77777777" w:rsidR="00564C66" w:rsidRPr="00FD0D8E" w:rsidRDefault="00564C66" w:rsidP="00C74EB6">
            <w:pPr>
              <w:autoSpaceDE w:val="0"/>
              <w:autoSpaceDN w:val="0"/>
              <w:adjustRightInd w:val="0"/>
              <w:jc w:val="center"/>
              <w:rPr>
                <w:kern w:val="0"/>
                <w:szCs w:val="21"/>
              </w:rPr>
            </w:pPr>
            <w:r w:rsidRPr="00FD0D8E">
              <w:rPr>
                <w:kern w:val="0"/>
                <w:szCs w:val="21"/>
              </w:rPr>
              <w:t>0.022</w:t>
            </w:r>
            <w:r w:rsidRPr="00FD0D8E">
              <w:rPr>
                <w:kern w:val="0"/>
                <w:szCs w:val="21"/>
                <w:vertAlign w:val="superscript"/>
              </w:rPr>
              <w:t>***</w:t>
            </w:r>
          </w:p>
        </w:tc>
        <w:tc>
          <w:tcPr>
            <w:tcW w:w="1004" w:type="pct"/>
            <w:tcBorders>
              <w:top w:val="nil"/>
              <w:left w:val="nil"/>
              <w:bottom w:val="nil"/>
              <w:right w:val="nil"/>
            </w:tcBorders>
          </w:tcPr>
          <w:p w14:paraId="1C3EA2AB" w14:textId="77777777" w:rsidR="00564C66" w:rsidRPr="00FD0D8E" w:rsidRDefault="00564C66"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r>
      <w:tr w:rsidR="00564C66" w:rsidRPr="00FD0D8E" w14:paraId="0C0E5A91" w14:textId="77777777" w:rsidTr="00D85207">
        <w:tc>
          <w:tcPr>
            <w:tcW w:w="1196" w:type="pct"/>
            <w:tcBorders>
              <w:top w:val="nil"/>
              <w:left w:val="nil"/>
              <w:right w:val="nil"/>
            </w:tcBorders>
          </w:tcPr>
          <w:p w14:paraId="3A67CCF0" w14:textId="77777777" w:rsidR="00564C66" w:rsidRPr="00FD0D8E" w:rsidRDefault="00564C66" w:rsidP="00C74EB6">
            <w:pPr>
              <w:autoSpaceDE w:val="0"/>
              <w:autoSpaceDN w:val="0"/>
              <w:adjustRightInd w:val="0"/>
              <w:rPr>
                <w:kern w:val="0"/>
                <w:szCs w:val="21"/>
              </w:rPr>
            </w:pPr>
          </w:p>
        </w:tc>
        <w:tc>
          <w:tcPr>
            <w:tcW w:w="890" w:type="pct"/>
            <w:tcBorders>
              <w:top w:val="nil"/>
              <w:left w:val="nil"/>
              <w:right w:val="nil"/>
            </w:tcBorders>
          </w:tcPr>
          <w:p w14:paraId="3B2DD713"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c>
          <w:tcPr>
            <w:tcW w:w="908" w:type="pct"/>
            <w:tcBorders>
              <w:top w:val="nil"/>
              <w:left w:val="nil"/>
              <w:right w:val="nil"/>
            </w:tcBorders>
          </w:tcPr>
          <w:p w14:paraId="68A0BD1B"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c>
          <w:tcPr>
            <w:tcW w:w="1003" w:type="pct"/>
            <w:tcBorders>
              <w:top w:val="nil"/>
              <w:left w:val="nil"/>
              <w:right w:val="nil"/>
            </w:tcBorders>
          </w:tcPr>
          <w:p w14:paraId="7983A067"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c>
          <w:tcPr>
            <w:tcW w:w="1004" w:type="pct"/>
            <w:tcBorders>
              <w:top w:val="nil"/>
              <w:left w:val="nil"/>
              <w:right w:val="nil"/>
            </w:tcBorders>
          </w:tcPr>
          <w:p w14:paraId="49AD8953"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r>
      <w:tr w:rsidR="00564C66" w:rsidRPr="00FD0D8E" w14:paraId="134D1CB1" w14:textId="77777777" w:rsidTr="00D85207">
        <w:tc>
          <w:tcPr>
            <w:tcW w:w="1196" w:type="pct"/>
            <w:tcBorders>
              <w:top w:val="nil"/>
              <w:left w:val="nil"/>
              <w:bottom w:val="nil"/>
              <w:right w:val="nil"/>
            </w:tcBorders>
          </w:tcPr>
          <w:p w14:paraId="1DB52DB7" w14:textId="77777777" w:rsidR="00564C66" w:rsidRPr="00FD0D8E" w:rsidRDefault="00564C66" w:rsidP="00C74EB6">
            <w:pPr>
              <w:autoSpaceDE w:val="0"/>
              <w:autoSpaceDN w:val="0"/>
              <w:adjustRightInd w:val="0"/>
              <w:rPr>
                <w:kern w:val="0"/>
                <w:szCs w:val="21"/>
              </w:rPr>
            </w:pPr>
            <w:r w:rsidRPr="00FD0D8E">
              <w:rPr>
                <w:kern w:val="0"/>
                <w:szCs w:val="21"/>
              </w:rPr>
              <w:t>Size</w:t>
            </w:r>
          </w:p>
        </w:tc>
        <w:tc>
          <w:tcPr>
            <w:tcW w:w="890" w:type="pct"/>
            <w:tcBorders>
              <w:top w:val="nil"/>
              <w:left w:val="nil"/>
              <w:bottom w:val="nil"/>
              <w:right w:val="nil"/>
            </w:tcBorders>
          </w:tcPr>
          <w:p w14:paraId="4AA7926E" w14:textId="77777777" w:rsidR="00564C66" w:rsidRPr="00FD0D8E" w:rsidRDefault="00564C66" w:rsidP="00C74EB6">
            <w:pPr>
              <w:autoSpaceDE w:val="0"/>
              <w:autoSpaceDN w:val="0"/>
              <w:adjustRightInd w:val="0"/>
              <w:jc w:val="center"/>
              <w:rPr>
                <w:kern w:val="0"/>
                <w:szCs w:val="21"/>
              </w:rPr>
            </w:pPr>
            <w:r w:rsidRPr="00FD0D8E">
              <w:rPr>
                <w:kern w:val="0"/>
                <w:szCs w:val="21"/>
              </w:rPr>
              <w:t>0.018</w:t>
            </w:r>
            <w:r w:rsidRPr="00FD0D8E">
              <w:rPr>
                <w:kern w:val="0"/>
                <w:szCs w:val="21"/>
                <w:vertAlign w:val="superscript"/>
              </w:rPr>
              <w:t>***</w:t>
            </w:r>
          </w:p>
        </w:tc>
        <w:tc>
          <w:tcPr>
            <w:tcW w:w="908" w:type="pct"/>
            <w:tcBorders>
              <w:top w:val="nil"/>
              <w:left w:val="nil"/>
              <w:bottom w:val="nil"/>
              <w:right w:val="nil"/>
            </w:tcBorders>
          </w:tcPr>
          <w:p w14:paraId="19A974B5" w14:textId="77777777" w:rsidR="00564C66" w:rsidRPr="00FD0D8E" w:rsidRDefault="00564C66" w:rsidP="00C74EB6">
            <w:pPr>
              <w:autoSpaceDE w:val="0"/>
              <w:autoSpaceDN w:val="0"/>
              <w:adjustRightInd w:val="0"/>
              <w:jc w:val="center"/>
              <w:rPr>
                <w:kern w:val="0"/>
                <w:szCs w:val="21"/>
              </w:rPr>
            </w:pPr>
            <w:r w:rsidRPr="00FD0D8E">
              <w:rPr>
                <w:kern w:val="0"/>
                <w:szCs w:val="21"/>
              </w:rPr>
              <w:t>0.025</w:t>
            </w:r>
            <w:r w:rsidRPr="00FD0D8E">
              <w:rPr>
                <w:kern w:val="0"/>
                <w:szCs w:val="21"/>
                <w:vertAlign w:val="superscript"/>
              </w:rPr>
              <w:t>***</w:t>
            </w:r>
          </w:p>
        </w:tc>
        <w:tc>
          <w:tcPr>
            <w:tcW w:w="1003" w:type="pct"/>
            <w:tcBorders>
              <w:top w:val="nil"/>
              <w:left w:val="nil"/>
              <w:bottom w:val="nil"/>
              <w:right w:val="nil"/>
            </w:tcBorders>
          </w:tcPr>
          <w:p w14:paraId="14EF0911" w14:textId="77777777" w:rsidR="00564C66" w:rsidRPr="00FD0D8E" w:rsidRDefault="00564C66" w:rsidP="00C74EB6">
            <w:pPr>
              <w:autoSpaceDE w:val="0"/>
              <w:autoSpaceDN w:val="0"/>
              <w:adjustRightInd w:val="0"/>
              <w:jc w:val="center"/>
              <w:rPr>
                <w:kern w:val="0"/>
                <w:szCs w:val="21"/>
              </w:rPr>
            </w:pPr>
            <w:r w:rsidRPr="00FD0D8E">
              <w:rPr>
                <w:kern w:val="0"/>
                <w:szCs w:val="21"/>
              </w:rPr>
              <w:t>0.006</w:t>
            </w:r>
          </w:p>
        </w:tc>
        <w:tc>
          <w:tcPr>
            <w:tcW w:w="1004" w:type="pct"/>
            <w:tcBorders>
              <w:top w:val="nil"/>
              <w:left w:val="nil"/>
              <w:bottom w:val="nil"/>
              <w:right w:val="nil"/>
            </w:tcBorders>
          </w:tcPr>
          <w:p w14:paraId="313B8554" w14:textId="77777777" w:rsidR="00564C66" w:rsidRPr="00FD0D8E" w:rsidRDefault="00564C66" w:rsidP="00C74EB6">
            <w:pPr>
              <w:autoSpaceDE w:val="0"/>
              <w:autoSpaceDN w:val="0"/>
              <w:adjustRightInd w:val="0"/>
              <w:jc w:val="center"/>
              <w:rPr>
                <w:kern w:val="0"/>
                <w:szCs w:val="21"/>
              </w:rPr>
            </w:pPr>
            <w:r w:rsidRPr="00FD0D8E">
              <w:rPr>
                <w:kern w:val="0"/>
                <w:szCs w:val="21"/>
              </w:rPr>
              <w:t>0.034</w:t>
            </w:r>
            <w:r w:rsidRPr="00FD0D8E">
              <w:rPr>
                <w:kern w:val="0"/>
                <w:szCs w:val="21"/>
                <w:vertAlign w:val="superscript"/>
              </w:rPr>
              <w:t>***</w:t>
            </w:r>
          </w:p>
        </w:tc>
      </w:tr>
      <w:tr w:rsidR="00564C66" w:rsidRPr="00FD0D8E" w14:paraId="598B1057" w14:textId="77777777" w:rsidTr="00D85207">
        <w:tc>
          <w:tcPr>
            <w:tcW w:w="1196" w:type="pct"/>
            <w:tcBorders>
              <w:top w:val="nil"/>
              <w:left w:val="nil"/>
              <w:bottom w:val="nil"/>
              <w:right w:val="nil"/>
            </w:tcBorders>
          </w:tcPr>
          <w:p w14:paraId="10525E5D" w14:textId="77777777" w:rsidR="00564C66" w:rsidRPr="00FD0D8E" w:rsidRDefault="00564C66" w:rsidP="00C74EB6">
            <w:pPr>
              <w:autoSpaceDE w:val="0"/>
              <w:autoSpaceDN w:val="0"/>
              <w:adjustRightInd w:val="0"/>
              <w:rPr>
                <w:kern w:val="0"/>
                <w:szCs w:val="21"/>
              </w:rPr>
            </w:pPr>
          </w:p>
        </w:tc>
        <w:tc>
          <w:tcPr>
            <w:tcW w:w="890" w:type="pct"/>
            <w:tcBorders>
              <w:top w:val="nil"/>
              <w:left w:val="nil"/>
              <w:bottom w:val="nil"/>
              <w:right w:val="nil"/>
            </w:tcBorders>
          </w:tcPr>
          <w:p w14:paraId="42FAC1C5"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908" w:type="pct"/>
            <w:tcBorders>
              <w:top w:val="nil"/>
              <w:left w:val="nil"/>
              <w:bottom w:val="nil"/>
              <w:right w:val="nil"/>
            </w:tcBorders>
          </w:tcPr>
          <w:p w14:paraId="28E86DF2"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1003" w:type="pct"/>
            <w:tcBorders>
              <w:top w:val="nil"/>
              <w:left w:val="nil"/>
              <w:bottom w:val="nil"/>
              <w:right w:val="nil"/>
            </w:tcBorders>
          </w:tcPr>
          <w:p w14:paraId="77CEAC69"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c>
          <w:tcPr>
            <w:tcW w:w="1004" w:type="pct"/>
            <w:tcBorders>
              <w:top w:val="nil"/>
              <w:left w:val="nil"/>
              <w:bottom w:val="nil"/>
              <w:right w:val="nil"/>
            </w:tcBorders>
          </w:tcPr>
          <w:p w14:paraId="4EB92DA2" w14:textId="77777777" w:rsidR="00564C66" w:rsidRPr="00FD0D8E" w:rsidRDefault="00564C66" w:rsidP="00C74EB6">
            <w:pPr>
              <w:autoSpaceDE w:val="0"/>
              <w:autoSpaceDN w:val="0"/>
              <w:adjustRightInd w:val="0"/>
              <w:jc w:val="center"/>
              <w:rPr>
                <w:kern w:val="0"/>
                <w:szCs w:val="21"/>
              </w:rPr>
            </w:pPr>
            <w:r w:rsidRPr="00FD0D8E">
              <w:rPr>
                <w:kern w:val="0"/>
                <w:szCs w:val="21"/>
              </w:rPr>
              <w:t>(0.007)</w:t>
            </w:r>
          </w:p>
        </w:tc>
      </w:tr>
      <w:tr w:rsidR="00564C66" w:rsidRPr="00FD0D8E" w14:paraId="5009B6B7" w14:textId="77777777" w:rsidTr="00D85207">
        <w:tc>
          <w:tcPr>
            <w:tcW w:w="1196" w:type="pct"/>
            <w:tcBorders>
              <w:left w:val="nil"/>
              <w:bottom w:val="nil"/>
              <w:right w:val="nil"/>
            </w:tcBorders>
            <w:vAlign w:val="center"/>
          </w:tcPr>
          <w:p w14:paraId="46FED097" w14:textId="6969E4EE" w:rsidR="00564C66" w:rsidRPr="00FD0D8E" w:rsidRDefault="00564C66" w:rsidP="00C74EB6">
            <w:pPr>
              <w:autoSpaceDE w:val="0"/>
              <w:autoSpaceDN w:val="0"/>
              <w:adjustRightInd w:val="0"/>
              <w:rPr>
                <w:kern w:val="0"/>
                <w:szCs w:val="21"/>
              </w:rPr>
            </w:pPr>
            <w:r w:rsidRPr="00FD0D8E">
              <w:rPr>
                <w:kern w:val="0"/>
                <w:szCs w:val="21"/>
              </w:rPr>
              <w:t>行业</w:t>
            </w:r>
            <w:r w:rsidRPr="00FD0D8E">
              <w:rPr>
                <w:kern w:val="0"/>
                <w:szCs w:val="21"/>
              </w:rPr>
              <w:t>FE</w:t>
            </w:r>
          </w:p>
        </w:tc>
        <w:tc>
          <w:tcPr>
            <w:tcW w:w="890" w:type="pct"/>
            <w:tcBorders>
              <w:left w:val="nil"/>
              <w:bottom w:val="nil"/>
              <w:right w:val="nil"/>
            </w:tcBorders>
          </w:tcPr>
          <w:p w14:paraId="38951BC7" w14:textId="1E807A3F"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08" w:type="pct"/>
            <w:tcBorders>
              <w:left w:val="nil"/>
              <w:bottom w:val="nil"/>
              <w:right w:val="nil"/>
            </w:tcBorders>
          </w:tcPr>
          <w:p w14:paraId="4B5782D9" w14:textId="41DE790F"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1003" w:type="pct"/>
            <w:tcBorders>
              <w:left w:val="nil"/>
              <w:bottom w:val="nil"/>
              <w:right w:val="nil"/>
            </w:tcBorders>
          </w:tcPr>
          <w:p w14:paraId="7743ABB3" w14:textId="0ED71ACE"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1004" w:type="pct"/>
            <w:tcBorders>
              <w:left w:val="nil"/>
              <w:bottom w:val="nil"/>
              <w:right w:val="nil"/>
            </w:tcBorders>
          </w:tcPr>
          <w:p w14:paraId="7A1EEF4E" w14:textId="6D2C08F4"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r>
      <w:tr w:rsidR="00564C66" w:rsidRPr="00FD0D8E" w14:paraId="1A74F82B" w14:textId="77777777" w:rsidTr="00D85207">
        <w:tc>
          <w:tcPr>
            <w:tcW w:w="1196" w:type="pct"/>
            <w:tcBorders>
              <w:top w:val="nil"/>
              <w:left w:val="nil"/>
              <w:bottom w:val="nil"/>
              <w:right w:val="nil"/>
            </w:tcBorders>
            <w:vAlign w:val="center"/>
          </w:tcPr>
          <w:p w14:paraId="7FB9403D" w14:textId="75D33DBB" w:rsidR="00564C66" w:rsidRPr="00FD0D8E" w:rsidRDefault="00564C66" w:rsidP="00C74EB6">
            <w:pPr>
              <w:autoSpaceDE w:val="0"/>
              <w:autoSpaceDN w:val="0"/>
              <w:adjustRightInd w:val="0"/>
              <w:rPr>
                <w:kern w:val="0"/>
                <w:szCs w:val="21"/>
              </w:rPr>
            </w:pPr>
            <w:r w:rsidRPr="00FD0D8E">
              <w:rPr>
                <w:kern w:val="0"/>
                <w:szCs w:val="21"/>
              </w:rPr>
              <w:t>年份</w:t>
            </w:r>
            <w:r w:rsidRPr="00FD0D8E">
              <w:rPr>
                <w:kern w:val="0"/>
                <w:szCs w:val="21"/>
              </w:rPr>
              <w:t>FE</w:t>
            </w:r>
          </w:p>
        </w:tc>
        <w:tc>
          <w:tcPr>
            <w:tcW w:w="890" w:type="pct"/>
            <w:tcBorders>
              <w:top w:val="nil"/>
              <w:left w:val="nil"/>
              <w:bottom w:val="nil"/>
              <w:right w:val="nil"/>
            </w:tcBorders>
          </w:tcPr>
          <w:p w14:paraId="00E250BC" w14:textId="43F42CE3"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908" w:type="pct"/>
            <w:tcBorders>
              <w:top w:val="nil"/>
              <w:left w:val="nil"/>
              <w:bottom w:val="nil"/>
              <w:right w:val="nil"/>
            </w:tcBorders>
          </w:tcPr>
          <w:p w14:paraId="053FF76B" w14:textId="096AE758"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1003" w:type="pct"/>
            <w:tcBorders>
              <w:top w:val="nil"/>
              <w:left w:val="nil"/>
              <w:bottom w:val="nil"/>
              <w:right w:val="nil"/>
            </w:tcBorders>
          </w:tcPr>
          <w:p w14:paraId="0203836A" w14:textId="6539DD81"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c>
          <w:tcPr>
            <w:tcW w:w="1004" w:type="pct"/>
            <w:tcBorders>
              <w:top w:val="nil"/>
              <w:left w:val="nil"/>
              <w:bottom w:val="nil"/>
              <w:right w:val="nil"/>
            </w:tcBorders>
          </w:tcPr>
          <w:p w14:paraId="5BD539AE" w14:textId="77F38317" w:rsidR="00564C66" w:rsidRPr="00FD0D8E" w:rsidRDefault="00564C66" w:rsidP="00C74EB6">
            <w:pPr>
              <w:autoSpaceDE w:val="0"/>
              <w:autoSpaceDN w:val="0"/>
              <w:adjustRightInd w:val="0"/>
              <w:jc w:val="center"/>
              <w:rPr>
                <w:kern w:val="0"/>
                <w:szCs w:val="21"/>
              </w:rPr>
            </w:pPr>
            <w:r w:rsidRPr="00FD0D8E">
              <w:rPr>
                <w:rFonts w:hint="eastAsia"/>
                <w:kern w:val="0"/>
                <w:szCs w:val="21"/>
              </w:rPr>
              <w:t>控制</w:t>
            </w:r>
          </w:p>
        </w:tc>
      </w:tr>
      <w:tr w:rsidR="00564C66" w:rsidRPr="00FD0D8E" w14:paraId="4C793957" w14:textId="77777777" w:rsidTr="00D85207">
        <w:tc>
          <w:tcPr>
            <w:tcW w:w="1196" w:type="pct"/>
            <w:tcBorders>
              <w:top w:val="nil"/>
              <w:left w:val="nil"/>
              <w:bottom w:val="nil"/>
              <w:right w:val="nil"/>
            </w:tcBorders>
          </w:tcPr>
          <w:p w14:paraId="14615B12" w14:textId="722490AD" w:rsidR="00564C66" w:rsidRPr="00FD0D8E" w:rsidRDefault="00564C66" w:rsidP="00C74EB6">
            <w:pPr>
              <w:autoSpaceDE w:val="0"/>
              <w:autoSpaceDN w:val="0"/>
              <w:adjustRightInd w:val="0"/>
              <w:rPr>
                <w:kern w:val="0"/>
                <w:szCs w:val="21"/>
              </w:rPr>
            </w:pPr>
            <w:r w:rsidRPr="00FD0D8E">
              <w:rPr>
                <w:kern w:val="0"/>
                <w:szCs w:val="21"/>
              </w:rPr>
              <w:t>N</w:t>
            </w:r>
          </w:p>
        </w:tc>
        <w:tc>
          <w:tcPr>
            <w:tcW w:w="890" w:type="pct"/>
            <w:tcBorders>
              <w:top w:val="nil"/>
              <w:left w:val="nil"/>
              <w:bottom w:val="nil"/>
              <w:right w:val="nil"/>
            </w:tcBorders>
          </w:tcPr>
          <w:p w14:paraId="75EF8605" w14:textId="7FCF2884" w:rsidR="00564C66" w:rsidRPr="00FD0D8E" w:rsidRDefault="00564C66" w:rsidP="00C74EB6">
            <w:pPr>
              <w:autoSpaceDE w:val="0"/>
              <w:autoSpaceDN w:val="0"/>
              <w:adjustRightInd w:val="0"/>
              <w:jc w:val="center"/>
              <w:rPr>
                <w:kern w:val="0"/>
                <w:szCs w:val="21"/>
              </w:rPr>
            </w:pPr>
            <w:r w:rsidRPr="00FD0D8E">
              <w:rPr>
                <w:kern w:val="0"/>
                <w:szCs w:val="21"/>
              </w:rPr>
              <w:t>11016</w:t>
            </w:r>
          </w:p>
        </w:tc>
        <w:tc>
          <w:tcPr>
            <w:tcW w:w="908" w:type="pct"/>
            <w:tcBorders>
              <w:top w:val="nil"/>
              <w:left w:val="nil"/>
              <w:bottom w:val="nil"/>
              <w:right w:val="nil"/>
            </w:tcBorders>
          </w:tcPr>
          <w:p w14:paraId="00F56EC6" w14:textId="495250E8" w:rsidR="00564C66" w:rsidRPr="00FD0D8E" w:rsidRDefault="00564C66" w:rsidP="00C74EB6">
            <w:pPr>
              <w:autoSpaceDE w:val="0"/>
              <w:autoSpaceDN w:val="0"/>
              <w:adjustRightInd w:val="0"/>
              <w:jc w:val="center"/>
              <w:rPr>
                <w:kern w:val="0"/>
                <w:szCs w:val="21"/>
              </w:rPr>
            </w:pPr>
            <w:r w:rsidRPr="00FD0D8E">
              <w:rPr>
                <w:kern w:val="0"/>
                <w:szCs w:val="21"/>
              </w:rPr>
              <w:t>97</w:t>
            </w:r>
            <w:r w:rsidRPr="00FD0D8E">
              <w:rPr>
                <w:rFonts w:hint="eastAsia"/>
                <w:kern w:val="0"/>
                <w:szCs w:val="21"/>
              </w:rPr>
              <w:t>99</w:t>
            </w:r>
          </w:p>
        </w:tc>
        <w:tc>
          <w:tcPr>
            <w:tcW w:w="1003" w:type="pct"/>
            <w:tcBorders>
              <w:top w:val="nil"/>
              <w:left w:val="nil"/>
              <w:bottom w:val="nil"/>
              <w:right w:val="nil"/>
            </w:tcBorders>
          </w:tcPr>
          <w:p w14:paraId="62A74645" w14:textId="75F69EFB" w:rsidR="00564C66" w:rsidRPr="00FD0D8E" w:rsidRDefault="00564C66" w:rsidP="00C74EB6">
            <w:pPr>
              <w:autoSpaceDE w:val="0"/>
              <w:autoSpaceDN w:val="0"/>
              <w:adjustRightInd w:val="0"/>
              <w:jc w:val="center"/>
              <w:rPr>
                <w:kern w:val="0"/>
                <w:szCs w:val="21"/>
              </w:rPr>
            </w:pPr>
            <w:r w:rsidRPr="00FD0D8E">
              <w:rPr>
                <w:kern w:val="0"/>
                <w:szCs w:val="21"/>
              </w:rPr>
              <w:t>10</w:t>
            </w:r>
            <w:r w:rsidRPr="00FD0D8E">
              <w:rPr>
                <w:rFonts w:hint="eastAsia"/>
                <w:kern w:val="0"/>
                <w:szCs w:val="21"/>
              </w:rPr>
              <w:t>482</w:t>
            </w:r>
          </w:p>
        </w:tc>
        <w:tc>
          <w:tcPr>
            <w:tcW w:w="1004" w:type="pct"/>
            <w:tcBorders>
              <w:top w:val="nil"/>
              <w:left w:val="nil"/>
              <w:bottom w:val="nil"/>
              <w:right w:val="nil"/>
            </w:tcBorders>
          </w:tcPr>
          <w:p w14:paraId="463FA294" w14:textId="113E0710" w:rsidR="00564C66" w:rsidRPr="00FD0D8E" w:rsidRDefault="00564C66" w:rsidP="00C74EB6">
            <w:pPr>
              <w:autoSpaceDE w:val="0"/>
              <w:autoSpaceDN w:val="0"/>
              <w:adjustRightInd w:val="0"/>
              <w:jc w:val="center"/>
              <w:rPr>
                <w:kern w:val="0"/>
                <w:szCs w:val="21"/>
              </w:rPr>
            </w:pPr>
            <w:r w:rsidRPr="00FD0D8E">
              <w:rPr>
                <w:kern w:val="0"/>
                <w:szCs w:val="21"/>
              </w:rPr>
              <w:t>10333</w:t>
            </w:r>
          </w:p>
        </w:tc>
      </w:tr>
      <w:tr w:rsidR="00564C66" w:rsidRPr="00FD0D8E" w14:paraId="6FEB2FFA" w14:textId="77777777" w:rsidTr="00D85207">
        <w:tc>
          <w:tcPr>
            <w:tcW w:w="1196" w:type="pct"/>
            <w:tcBorders>
              <w:top w:val="nil"/>
              <w:left w:val="nil"/>
              <w:bottom w:val="nil"/>
              <w:right w:val="nil"/>
            </w:tcBorders>
            <w:vAlign w:val="center"/>
          </w:tcPr>
          <w:p w14:paraId="1FB3685E" w14:textId="282892F5" w:rsidR="00564C66" w:rsidRPr="00FD0D8E" w:rsidRDefault="00D23E39" w:rsidP="00C74EB6">
            <w:pPr>
              <w:autoSpaceDE w:val="0"/>
              <w:autoSpaceDN w:val="0"/>
              <w:adjustRightInd w:val="0"/>
              <w:rPr>
                <w:kern w:val="0"/>
                <w:szCs w:val="21"/>
              </w:rPr>
            </w:pPr>
            <w:r w:rsidRPr="00FD0D8E">
              <w:rPr>
                <w:kern w:val="0"/>
                <w:szCs w:val="21"/>
              </w:rPr>
              <w:t>Pseudo R²</w:t>
            </w:r>
          </w:p>
        </w:tc>
        <w:tc>
          <w:tcPr>
            <w:tcW w:w="890" w:type="pct"/>
            <w:tcBorders>
              <w:top w:val="nil"/>
              <w:left w:val="nil"/>
              <w:bottom w:val="nil"/>
              <w:right w:val="nil"/>
            </w:tcBorders>
          </w:tcPr>
          <w:p w14:paraId="40B7A87A" w14:textId="2A960165" w:rsidR="00564C66" w:rsidRPr="00FD0D8E" w:rsidRDefault="00661B1E" w:rsidP="00C74EB6">
            <w:pPr>
              <w:autoSpaceDE w:val="0"/>
              <w:autoSpaceDN w:val="0"/>
              <w:adjustRightInd w:val="0"/>
              <w:jc w:val="center"/>
              <w:rPr>
                <w:kern w:val="0"/>
                <w:szCs w:val="21"/>
              </w:rPr>
            </w:pPr>
            <w:r w:rsidRPr="00FD0D8E">
              <w:rPr>
                <w:rFonts w:hint="eastAsia"/>
                <w:kern w:val="0"/>
                <w:szCs w:val="21"/>
              </w:rPr>
              <w:t>0.25</w:t>
            </w:r>
          </w:p>
        </w:tc>
        <w:tc>
          <w:tcPr>
            <w:tcW w:w="908" w:type="pct"/>
            <w:tcBorders>
              <w:top w:val="nil"/>
              <w:left w:val="nil"/>
              <w:bottom w:val="nil"/>
              <w:right w:val="nil"/>
            </w:tcBorders>
          </w:tcPr>
          <w:p w14:paraId="60C7315A" w14:textId="5F09F99D" w:rsidR="00564C66" w:rsidRPr="00FD0D8E" w:rsidRDefault="00661B1E" w:rsidP="00C74EB6">
            <w:pPr>
              <w:autoSpaceDE w:val="0"/>
              <w:autoSpaceDN w:val="0"/>
              <w:adjustRightInd w:val="0"/>
              <w:jc w:val="center"/>
              <w:rPr>
                <w:kern w:val="0"/>
                <w:szCs w:val="21"/>
              </w:rPr>
            </w:pPr>
            <w:r w:rsidRPr="00FD0D8E">
              <w:rPr>
                <w:rFonts w:hint="eastAsia"/>
                <w:kern w:val="0"/>
                <w:szCs w:val="21"/>
              </w:rPr>
              <w:t>0.21</w:t>
            </w:r>
          </w:p>
        </w:tc>
        <w:tc>
          <w:tcPr>
            <w:tcW w:w="1003" w:type="pct"/>
            <w:tcBorders>
              <w:top w:val="nil"/>
              <w:left w:val="nil"/>
              <w:bottom w:val="nil"/>
              <w:right w:val="nil"/>
            </w:tcBorders>
          </w:tcPr>
          <w:p w14:paraId="54BD2C26" w14:textId="7204B940" w:rsidR="00564C66" w:rsidRPr="00FD0D8E" w:rsidRDefault="00661B1E" w:rsidP="00C74EB6">
            <w:pPr>
              <w:autoSpaceDE w:val="0"/>
              <w:autoSpaceDN w:val="0"/>
              <w:adjustRightInd w:val="0"/>
              <w:jc w:val="center"/>
              <w:rPr>
                <w:kern w:val="0"/>
                <w:szCs w:val="21"/>
              </w:rPr>
            </w:pPr>
            <w:r w:rsidRPr="00FD0D8E">
              <w:rPr>
                <w:rFonts w:hint="eastAsia"/>
                <w:kern w:val="0"/>
                <w:szCs w:val="21"/>
              </w:rPr>
              <w:t>0.20</w:t>
            </w:r>
          </w:p>
        </w:tc>
        <w:tc>
          <w:tcPr>
            <w:tcW w:w="1004" w:type="pct"/>
            <w:tcBorders>
              <w:top w:val="nil"/>
              <w:left w:val="nil"/>
              <w:bottom w:val="nil"/>
              <w:right w:val="nil"/>
            </w:tcBorders>
          </w:tcPr>
          <w:p w14:paraId="7853A191" w14:textId="5097F967" w:rsidR="00564C66" w:rsidRPr="00FD0D8E" w:rsidRDefault="00661B1E" w:rsidP="00C74EB6">
            <w:pPr>
              <w:autoSpaceDE w:val="0"/>
              <w:autoSpaceDN w:val="0"/>
              <w:adjustRightInd w:val="0"/>
              <w:jc w:val="center"/>
              <w:rPr>
                <w:kern w:val="0"/>
                <w:szCs w:val="21"/>
              </w:rPr>
            </w:pPr>
            <w:r w:rsidRPr="00FD0D8E">
              <w:rPr>
                <w:rFonts w:hint="eastAsia"/>
                <w:kern w:val="0"/>
                <w:szCs w:val="21"/>
              </w:rPr>
              <w:t>0.25</w:t>
            </w:r>
          </w:p>
        </w:tc>
      </w:tr>
      <w:tr w:rsidR="009D0FC5" w:rsidRPr="00FD0D8E" w14:paraId="3B7F2254" w14:textId="77777777" w:rsidTr="00D85207">
        <w:tc>
          <w:tcPr>
            <w:tcW w:w="1196" w:type="pct"/>
            <w:tcBorders>
              <w:top w:val="nil"/>
              <w:left w:val="nil"/>
              <w:bottom w:val="single" w:sz="4" w:space="0" w:color="auto"/>
              <w:right w:val="nil"/>
            </w:tcBorders>
            <w:vAlign w:val="center"/>
          </w:tcPr>
          <w:p w14:paraId="7C8794C2" w14:textId="6E698190" w:rsidR="009D0FC5" w:rsidRPr="00FD0D8E" w:rsidRDefault="009D0FC5" w:rsidP="00C74EB6">
            <w:pPr>
              <w:autoSpaceDE w:val="0"/>
              <w:autoSpaceDN w:val="0"/>
              <w:adjustRightInd w:val="0"/>
              <w:rPr>
                <w:kern w:val="0"/>
                <w:szCs w:val="21"/>
              </w:rPr>
            </w:pPr>
            <w:r w:rsidRPr="00FD0D8E">
              <w:rPr>
                <w:rFonts w:hint="eastAsia"/>
                <w:kern w:val="0"/>
                <w:szCs w:val="21"/>
              </w:rPr>
              <w:t>组</w:t>
            </w:r>
            <w:r w:rsidR="00D23E39" w:rsidRPr="00FD0D8E">
              <w:rPr>
                <w:rFonts w:hint="eastAsia"/>
                <w:kern w:val="0"/>
                <w:szCs w:val="21"/>
              </w:rPr>
              <w:t>间</w:t>
            </w:r>
            <w:r w:rsidRPr="00FD0D8E">
              <w:rPr>
                <w:rFonts w:hint="eastAsia"/>
                <w:kern w:val="0"/>
                <w:szCs w:val="21"/>
              </w:rPr>
              <w:t>系数差异</w:t>
            </w:r>
            <w:r w:rsidRPr="00FD0D8E">
              <w:rPr>
                <w:rFonts w:hint="eastAsia"/>
                <w:kern w:val="0"/>
                <w:szCs w:val="21"/>
              </w:rPr>
              <w:t>P</w:t>
            </w:r>
            <w:r w:rsidRPr="00FD0D8E">
              <w:rPr>
                <w:rFonts w:hint="eastAsia"/>
                <w:kern w:val="0"/>
                <w:szCs w:val="21"/>
              </w:rPr>
              <w:t>值</w:t>
            </w:r>
          </w:p>
        </w:tc>
        <w:tc>
          <w:tcPr>
            <w:tcW w:w="1797" w:type="pct"/>
            <w:gridSpan w:val="2"/>
            <w:tcBorders>
              <w:top w:val="nil"/>
              <w:left w:val="nil"/>
              <w:bottom w:val="single" w:sz="4" w:space="0" w:color="auto"/>
              <w:right w:val="nil"/>
            </w:tcBorders>
            <w:vAlign w:val="center"/>
          </w:tcPr>
          <w:p w14:paraId="7F322CA7" w14:textId="0FCE6300" w:rsidR="009D0FC5" w:rsidRPr="00FD0D8E" w:rsidRDefault="009D0FC5" w:rsidP="00C74EB6">
            <w:pPr>
              <w:autoSpaceDE w:val="0"/>
              <w:autoSpaceDN w:val="0"/>
              <w:adjustRightInd w:val="0"/>
              <w:jc w:val="center"/>
              <w:rPr>
                <w:kern w:val="0"/>
                <w:szCs w:val="21"/>
              </w:rPr>
            </w:pPr>
            <w:r w:rsidRPr="00FD0D8E">
              <w:rPr>
                <w:rFonts w:hint="eastAsia"/>
                <w:kern w:val="0"/>
                <w:szCs w:val="21"/>
              </w:rPr>
              <w:t>0.0407</w:t>
            </w:r>
            <w:r w:rsidRPr="00FD0D8E">
              <w:rPr>
                <w:rFonts w:hint="eastAsia"/>
                <w:kern w:val="0"/>
                <w:szCs w:val="21"/>
                <w:vertAlign w:val="superscript"/>
              </w:rPr>
              <w:t>**</w:t>
            </w:r>
          </w:p>
        </w:tc>
        <w:tc>
          <w:tcPr>
            <w:tcW w:w="2007" w:type="pct"/>
            <w:gridSpan w:val="2"/>
            <w:tcBorders>
              <w:top w:val="nil"/>
              <w:left w:val="nil"/>
              <w:bottom w:val="single" w:sz="4" w:space="0" w:color="auto"/>
              <w:right w:val="nil"/>
            </w:tcBorders>
          </w:tcPr>
          <w:p w14:paraId="57F70B73" w14:textId="69DC679E" w:rsidR="009D0FC5" w:rsidRPr="00FD0D8E" w:rsidRDefault="009D0FC5" w:rsidP="00C74EB6">
            <w:pPr>
              <w:autoSpaceDE w:val="0"/>
              <w:autoSpaceDN w:val="0"/>
              <w:adjustRightInd w:val="0"/>
              <w:jc w:val="center"/>
              <w:rPr>
                <w:kern w:val="0"/>
                <w:szCs w:val="21"/>
              </w:rPr>
            </w:pPr>
            <w:r w:rsidRPr="00FD0D8E">
              <w:rPr>
                <w:rFonts w:hint="eastAsia"/>
                <w:kern w:val="0"/>
                <w:szCs w:val="21"/>
              </w:rPr>
              <w:t>0.0004</w:t>
            </w:r>
            <w:r w:rsidRPr="00FD0D8E">
              <w:rPr>
                <w:rFonts w:hint="eastAsia"/>
                <w:kern w:val="0"/>
                <w:szCs w:val="21"/>
                <w:vertAlign w:val="superscript"/>
              </w:rPr>
              <w:t>***</w:t>
            </w:r>
          </w:p>
        </w:tc>
      </w:tr>
    </w:tbl>
    <w:p w14:paraId="028E943D" w14:textId="38234FD4" w:rsidR="00630D2B" w:rsidRPr="00086241" w:rsidRDefault="00630D2B" w:rsidP="00630D2B">
      <w:pPr>
        <w:autoSpaceDE w:val="0"/>
        <w:autoSpaceDN w:val="0"/>
        <w:adjustRightInd w:val="0"/>
        <w:ind w:firstLine="360"/>
        <w:rPr>
          <w:kern w:val="0"/>
          <w:sz w:val="18"/>
          <w:szCs w:val="18"/>
        </w:rPr>
      </w:pPr>
      <w:r w:rsidRPr="00086241">
        <w:rPr>
          <w:rFonts w:hint="eastAsia"/>
          <w:kern w:val="0"/>
          <w:sz w:val="18"/>
          <w:szCs w:val="18"/>
        </w:rPr>
        <w:t>注：表内报告的是估计结果的边际效应；括号内代表聚类稳健标准误；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r w:rsidR="007B6F0F" w:rsidRPr="00086241">
        <w:rPr>
          <w:rFonts w:hint="eastAsia"/>
          <w:kern w:val="0"/>
          <w:sz w:val="18"/>
          <w:szCs w:val="18"/>
        </w:rPr>
        <w:t>。</w:t>
      </w:r>
    </w:p>
    <w:p w14:paraId="1DC46D93" w14:textId="77777777" w:rsidR="008844AB" w:rsidRPr="00086241" w:rsidRDefault="008844AB" w:rsidP="008844AB">
      <w:pPr>
        <w:ind w:firstLine="480"/>
      </w:pPr>
    </w:p>
    <w:p w14:paraId="594AE02C" w14:textId="77777777" w:rsidR="008844AB" w:rsidRPr="00086241" w:rsidRDefault="008844AB" w:rsidP="008844AB">
      <w:pPr>
        <w:ind w:firstLine="480"/>
      </w:pPr>
    </w:p>
    <w:p w14:paraId="50F4C3FB" w14:textId="0F745660" w:rsidR="005D4A4B" w:rsidRPr="00086241" w:rsidRDefault="005D4A4B" w:rsidP="006A2E4F">
      <w:pPr>
        <w:spacing w:line="360" w:lineRule="auto"/>
        <w:ind w:firstLineChars="200" w:firstLine="420"/>
      </w:pPr>
    </w:p>
    <w:p w14:paraId="7DE274B9" w14:textId="3C55B67D" w:rsidR="00383462" w:rsidRPr="00C74EB6" w:rsidRDefault="00F72A2E" w:rsidP="00C74EB6">
      <w:pPr>
        <w:pStyle w:val="2"/>
      </w:pPr>
      <w:bookmarkStart w:id="142" w:name="_Toc191420762"/>
      <w:bookmarkStart w:id="143" w:name="_Toc191574132"/>
      <w:bookmarkStart w:id="144" w:name="_Toc198287003"/>
      <w:r w:rsidRPr="00C74EB6">
        <w:rPr>
          <w:rFonts w:hint="eastAsia"/>
        </w:rPr>
        <w:lastRenderedPageBreak/>
        <w:t>稳健性检验</w:t>
      </w:r>
      <w:bookmarkEnd w:id="142"/>
      <w:bookmarkEnd w:id="143"/>
      <w:bookmarkEnd w:id="144"/>
    </w:p>
    <w:p w14:paraId="34A56911" w14:textId="7721CB14" w:rsidR="00C45901" w:rsidRPr="00C74EB6" w:rsidRDefault="00C45901" w:rsidP="00C74EB6">
      <w:pPr>
        <w:pStyle w:val="3"/>
      </w:pPr>
      <w:bookmarkStart w:id="145" w:name="_Toc191420763"/>
      <w:bookmarkStart w:id="146" w:name="_Toc191574133"/>
      <w:bookmarkStart w:id="147" w:name="_Toc198287004"/>
      <w:r w:rsidRPr="00C74EB6">
        <w:rPr>
          <w:rFonts w:hint="eastAsia"/>
        </w:rPr>
        <w:t>替换组织资本</w:t>
      </w:r>
      <w:bookmarkEnd w:id="145"/>
      <w:bookmarkEnd w:id="146"/>
      <w:bookmarkEnd w:id="147"/>
    </w:p>
    <w:p w14:paraId="1BB69544" w14:textId="33CC8CB2" w:rsidR="007D12A5" w:rsidRPr="00C74EB6" w:rsidRDefault="00C45901" w:rsidP="00C45901">
      <w:pPr>
        <w:spacing w:line="360" w:lineRule="auto"/>
        <w:ind w:firstLineChars="200" w:firstLine="480"/>
        <w:jc w:val="left"/>
        <w:rPr>
          <w:kern w:val="0"/>
          <w:sz w:val="24"/>
        </w:rPr>
      </w:pPr>
      <w:r w:rsidRPr="00C74EB6">
        <w:rPr>
          <w:rFonts w:hint="eastAsia"/>
          <w:sz w:val="24"/>
        </w:rPr>
        <w:t>考虑到组织资本的测算依赖折旧率</w:t>
      </w:r>
      <w:r w:rsidR="007D12A5" w:rsidRPr="00C74EB6">
        <w:rPr>
          <w:kern w:val="0"/>
          <w:sz w:val="24"/>
        </w:rPr>
        <w:t>σ</w:t>
      </w:r>
      <w:r w:rsidRPr="00C74EB6">
        <w:rPr>
          <w:rFonts w:hint="eastAsia"/>
          <w:sz w:val="24"/>
        </w:rPr>
        <w:t>、</w:t>
      </w:r>
      <w:r w:rsidRPr="00C74EB6">
        <w:rPr>
          <w:rFonts w:hint="eastAsia"/>
          <w:sz w:val="24"/>
        </w:rPr>
        <w:t>SG&amp;A</w:t>
      </w:r>
      <w:r w:rsidRPr="00C74EB6">
        <w:rPr>
          <w:rFonts w:hint="eastAsia"/>
          <w:sz w:val="24"/>
        </w:rPr>
        <w:t>费用增长率</w:t>
      </w:r>
      <w:r w:rsidRPr="00C74EB6">
        <w:rPr>
          <w:rFonts w:hint="eastAsia"/>
          <w:sz w:val="24"/>
        </w:rPr>
        <w:t>g</w:t>
      </w:r>
      <w:r w:rsidRPr="00C74EB6">
        <w:rPr>
          <w:rFonts w:hint="eastAsia"/>
          <w:sz w:val="24"/>
        </w:rPr>
        <w:t>两大重要参数，本文选取多个</w:t>
      </w:r>
      <w:r w:rsidRPr="00C74EB6">
        <w:rPr>
          <w:kern w:val="0"/>
          <w:sz w:val="24"/>
        </w:rPr>
        <w:t>σ</w:t>
      </w:r>
      <w:r w:rsidRPr="00C74EB6">
        <w:rPr>
          <w:rFonts w:hint="eastAsia"/>
          <w:kern w:val="0"/>
          <w:sz w:val="24"/>
        </w:rPr>
        <w:t>和</w:t>
      </w:r>
      <w:r w:rsidRPr="00C74EB6">
        <w:rPr>
          <w:rFonts w:hint="eastAsia"/>
          <w:kern w:val="0"/>
          <w:sz w:val="24"/>
        </w:rPr>
        <w:t>g</w:t>
      </w:r>
      <w:r w:rsidRPr="00C74EB6">
        <w:rPr>
          <w:rFonts w:hint="eastAsia"/>
          <w:kern w:val="0"/>
          <w:sz w:val="24"/>
        </w:rPr>
        <w:t>测量组织资本</w:t>
      </w:r>
      <w:r w:rsidR="007D12A5" w:rsidRPr="00C74EB6">
        <w:rPr>
          <w:rFonts w:hint="eastAsia"/>
          <w:kern w:val="0"/>
          <w:sz w:val="24"/>
        </w:rPr>
        <w:t>，得到</w:t>
      </w:r>
      <w:r w:rsidR="007F210E" w:rsidRPr="00C74EB6">
        <w:rPr>
          <w:rFonts w:hint="eastAsia"/>
          <w:kern w:val="0"/>
          <w:sz w:val="24"/>
        </w:rPr>
        <w:t>OC</w:t>
      </w:r>
      <w:r w:rsidR="007D12A5" w:rsidRPr="00C74EB6">
        <w:rPr>
          <w:rFonts w:hint="eastAsia"/>
          <w:kern w:val="0"/>
          <w:sz w:val="24"/>
        </w:rPr>
        <w:t>1</w:t>
      </w:r>
      <w:r w:rsidR="007F210E" w:rsidRPr="00C74EB6">
        <w:rPr>
          <w:rFonts w:hint="eastAsia"/>
          <w:kern w:val="0"/>
          <w:sz w:val="24"/>
        </w:rPr>
        <w:t>-OC5</w:t>
      </w:r>
      <w:r w:rsidR="007D12A5" w:rsidRPr="00C74EB6">
        <w:rPr>
          <w:rFonts w:hint="eastAsia"/>
          <w:kern w:val="0"/>
          <w:sz w:val="24"/>
        </w:rPr>
        <w:t>个替代变量</w:t>
      </w:r>
      <w:r w:rsidRPr="00C74EB6">
        <w:rPr>
          <w:rFonts w:hint="eastAsia"/>
          <w:kern w:val="0"/>
          <w:sz w:val="24"/>
        </w:rPr>
        <w:t>。</w:t>
      </w:r>
    </w:p>
    <w:p w14:paraId="0DE2C27B" w14:textId="5502932C" w:rsidR="007D12A5" w:rsidRPr="00C74EB6" w:rsidRDefault="007D12A5" w:rsidP="00C45901">
      <w:pPr>
        <w:spacing w:line="360" w:lineRule="auto"/>
        <w:ind w:firstLineChars="200" w:firstLine="480"/>
        <w:jc w:val="left"/>
        <w:rPr>
          <w:sz w:val="24"/>
        </w:rPr>
      </w:pPr>
      <w:r w:rsidRPr="00C74EB6">
        <w:rPr>
          <w:rFonts w:hint="eastAsia"/>
          <w:sz w:val="24"/>
        </w:rPr>
        <w:t>g</w:t>
      </w:r>
      <w:r w:rsidRPr="00C74EB6">
        <w:rPr>
          <w:rFonts w:hint="eastAsia"/>
          <w:sz w:val="24"/>
        </w:rPr>
        <w:t>为</w:t>
      </w:r>
      <w:r w:rsidRPr="00C74EB6">
        <w:rPr>
          <w:rFonts w:hint="eastAsia"/>
          <w:sz w:val="24"/>
        </w:rPr>
        <w:t>SG&amp;A</w:t>
      </w:r>
      <w:r w:rsidRPr="00C74EB6">
        <w:rPr>
          <w:rFonts w:hint="eastAsia"/>
          <w:sz w:val="24"/>
        </w:rPr>
        <w:t>费用增长率：</w:t>
      </w:r>
      <w:r w:rsidRPr="00C74EB6">
        <w:rPr>
          <w:rFonts w:hint="eastAsia"/>
          <w:sz w:val="24"/>
        </w:rPr>
        <w:t>1</w:t>
      </w:r>
      <w:r w:rsidRPr="00C74EB6">
        <w:rPr>
          <w:rFonts w:hint="eastAsia"/>
          <w:sz w:val="24"/>
        </w:rPr>
        <w:t>）</w:t>
      </w:r>
      <w:r w:rsidRPr="00C74EB6">
        <w:rPr>
          <w:rFonts w:hint="eastAsia"/>
          <w:sz w:val="24"/>
        </w:rPr>
        <w:t xml:space="preserve">g1 </w:t>
      </w:r>
      <w:r w:rsidRPr="00C74EB6">
        <w:rPr>
          <w:rFonts w:hint="eastAsia"/>
          <w:sz w:val="24"/>
        </w:rPr>
        <w:t>：公司前五年（若少于五年用全部年份）</w:t>
      </w:r>
      <w:r w:rsidRPr="00C74EB6">
        <w:rPr>
          <w:rFonts w:hint="eastAsia"/>
          <w:sz w:val="24"/>
        </w:rPr>
        <w:t>SG&amp;A</w:t>
      </w:r>
      <w:r w:rsidRPr="00C74EB6">
        <w:rPr>
          <w:rFonts w:hint="eastAsia"/>
          <w:sz w:val="24"/>
        </w:rPr>
        <w:t>算术平均增长率；</w:t>
      </w:r>
      <w:r w:rsidRPr="00C74EB6">
        <w:rPr>
          <w:rFonts w:hint="eastAsia"/>
          <w:sz w:val="24"/>
        </w:rPr>
        <w:t>2</w:t>
      </w:r>
      <w:r w:rsidRPr="00C74EB6">
        <w:rPr>
          <w:rFonts w:hint="eastAsia"/>
          <w:sz w:val="24"/>
        </w:rPr>
        <w:t>）</w:t>
      </w:r>
      <w:r w:rsidRPr="00C74EB6">
        <w:rPr>
          <w:rFonts w:hint="eastAsia"/>
          <w:sz w:val="24"/>
        </w:rPr>
        <w:t>g2=19.84%</w:t>
      </w:r>
      <w:r w:rsidRPr="00C74EB6">
        <w:rPr>
          <w:rFonts w:hint="eastAsia"/>
          <w:sz w:val="24"/>
        </w:rPr>
        <w:t>，参考程冕（</w:t>
      </w:r>
      <w:r w:rsidRPr="00C74EB6">
        <w:rPr>
          <w:rFonts w:hint="eastAsia"/>
          <w:sz w:val="24"/>
        </w:rPr>
        <w:t>2019</w:t>
      </w:r>
      <w:r w:rsidRPr="00C74EB6">
        <w:rPr>
          <w:rFonts w:hint="eastAsia"/>
          <w:sz w:val="24"/>
        </w:rPr>
        <w:t>）；</w:t>
      </w:r>
      <w:r w:rsidRPr="00C74EB6">
        <w:rPr>
          <w:rFonts w:hint="eastAsia"/>
          <w:sz w:val="24"/>
        </w:rPr>
        <w:t>3</w:t>
      </w:r>
      <w:r w:rsidRPr="00C74EB6">
        <w:rPr>
          <w:rFonts w:hint="eastAsia"/>
          <w:sz w:val="24"/>
        </w:rPr>
        <w:t>）</w:t>
      </w:r>
      <w:r w:rsidRPr="00C74EB6">
        <w:rPr>
          <w:rFonts w:hint="eastAsia"/>
          <w:sz w:val="24"/>
        </w:rPr>
        <w:t>g3=18.00%</w:t>
      </w:r>
      <w:r w:rsidRPr="00C74EB6">
        <w:rPr>
          <w:rFonts w:hint="eastAsia"/>
          <w:sz w:val="24"/>
        </w:rPr>
        <w:t>，参考</w:t>
      </w:r>
      <w:r w:rsidRPr="00C74EB6">
        <w:rPr>
          <w:rFonts w:hint="eastAsia"/>
          <w:sz w:val="24"/>
        </w:rPr>
        <w:t>Cheng</w:t>
      </w:r>
      <w:r w:rsidRPr="00C74EB6">
        <w:rPr>
          <w:rFonts w:hint="eastAsia"/>
          <w:sz w:val="24"/>
        </w:rPr>
        <w:t>（</w:t>
      </w:r>
      <w:r w:rsidRPr="00C74EB6">
        <w:rPr>
          <w:rFonts w:hint="eastAsia"/>
          <w:sz w:val="24"/>
        </w:rPr>
        <w:t>2022</w:t>
      </w:r>
      <w:r w:rsidRPr="00C74EB6">
        <w:rPr>
          <w:rFonts w:hint="eastAsia"/>
          <w:sz w:val="24"/>
        </w:rPr>
        <w:t>）。替换的变量</w:t>
      </w:r>
      <w:r w:rsidRPr="00C74EB6">
        <w:rPr>
          <w:rFonts w:hint="eastAsia"/>
          <w:sz w:val="24"/>
        </w:rPr>
        <w:t>OC1</w:t>
      </w:r>
      <w:r w:rsidRPr="00C74EB6">
        <w:rPr>
          <w:rFonts w:hint="eastAsia"/>
          <w:sz w:val="24"/>
        </w:rPr>
        <w:t>和</w:t>
      </w:r>
      <w:r w:rsidRPr="00C74EB6">
        <w:rPr>
          <w:rFonts w:hint="eastAsia"/>
          <w:sz w:val="24"/>
        </w:rPr>
        <w:t>OC2</w:t>
      </w:r>
      <w:r w:rsidRPr="00C74EB6">
        <w:rPr>
          <w:rFonts w:hint="eastAsia"/>
          <w:sz w:val="24"/>
        </w:rPr>
        <w:t>使用</w:t>
      </w:r>
      <w:r w:rsidRPr="00C74EB6">
        <w:rPr>
          <w:rFonts w:hint="eastAsia"/>
          <w:sz w:val="24"/>
        </w:rPr>
        <w:t>g1</w:t>
      </w:r>
      <w:r w:rsidRPr="00C74EB6">
        <w:rPr>
          <w:rFonts w:hint="eastAsia"/>
          <w:sz w:val="24"/>
        </w:rPr>
        <w:t>计算，</w:t>
      </w:r>
      <w:r w:rsidRPr="00C74EB6">
        <w:rPr>
          <w:rFonts w:hint="eastAsia"/>
          <w:sz w:val="24"/>
        </w:rPr>
        <w:t>OC3</w:t>
      </w:r>
      <w:r w:rsidRPr="00C74EB6">
        <w:rPr>
          <w:rFonts w:hint="eastAsia"/>
          <w:sz w:val="24"/>
        </w:rPr>
        <w:t>和</w:t>
      </w:r>
      <w:r w:rsidRPr="00C74EB6">
        <w:rPr>
          <w:rFonts w:hint="eastAsia"/>
          <w:sz w:val="24"/>
        </w:rPr>
        <w:t>OC4</w:t>
      </w:r>
      <w:r w:rsidRPr="00C74EB6">
        <w:rPr>
          <w:rFonts w:hint="eastAsia"/>
          <w:sz w:val="24"/>
        </w:rPr>
        <w:t>使用</w:t>
      </w:r>
      <w:r w:rsidRPr="00C74EB6">
        <w:rPr>
          <w:rFonts w:hint="eastAsia"/>
          <w:sz w:val="24"/>
        </w:rPr>
        <w:t>g2</w:t>
      </w:r>
      <w:r w:rsidRPr="00C74EB6">
        <w:rPr>
          <w:rFonts w:hint="eastAsia"/>
          <w:sz w:val="24"/>
        </w:rPr>
        <w:t>计算，</w:t>
      </w:r>
      <w:r w:rsidRPr="00C74EB6">
        <w:rPr>
          <w:rFonts w:hint="eastAsia"/>
          <w:sz w:val="24"/>
        </w:rPr>
        <w:t>OC5</w:t>
      </w:r>
      <w:r w:rsidRPr="00C74EB6">
        <w:rPr>
          <w:rFonts w:hint="eastAsia"/>
          <w:sz w:val="24"/>
        </w:rPr>
        <w:t>使用</w:t>
      </w:r>
      <w:r w:rsidRPr="00C74EB6">
        <w:rPr>
          <w:rFonts w:hint="eastAsia"/>
          <w:sz w:val="24"/>
        </w:rPr>
        <w:t>g3</w:t>
      </w:r>
      <w:r w:rsidRPr="00C74EB6">
        <w:rPr>
          <w:rFonts w:hint="eastAsia"/>
          <w:sz w:val="24"/>
        </w:rPr>
        <w:t>计算。</w:t>
      </w:r>
    </w:p>
    <w:p w14:paraId="11C96530" w14:textId="432C5798" w:rsidR="007D12A5" w:rsidRPr="00C74EB6" w:rsidRDefault="007D12A5" w:rsidP="00C45901">
      <w:pPr>
        <w:spacing w:line="360" w:lineRule="auto"/>
        <w:ind w:firstLineChars="200" w:firstLine="480"/>
        <w:jc w:val="left"/>
        <w:rPr>
          <w:sz w:val="24"/>
        </w:rPr>
      </w:pPr>
      <w:r w:rsidRPr="00C74EB6">
        <w:rPr>
          <w:kern w:val="0"/>
          <w:sz w:val="24"/>
        </w:rPr>
        <w:t>σ</w:t>
      </w:r>
      <w:r w:rsidRPr="00C74EB6">
        <w:rPr>
          <w:rFonts w:hint="eastAsia"/>
          <w:sz w:val="24"/>
        </w:rPr>
        <w:t>为组织资本的折旧率：</w:t>
      </w:r>
      <w:r w:rsidRPr="00C74EB6">
        <w:rPr>
          <w:rFonts w:hint="eastAsia"/>
          <w:sz w:val="24"/>
        </w:rPr>
        <w:t>1</w:t>
      </w:r>
      <w:r w:rsidRPr="00C74EB6">
        <w:rPr>
          <w:rFonts w:hint="eastAsia"/>
          <w:sz w:val="24"/>
        </w:rPr>
        <w:t>）：</w:t>
      </w:r>
      <w:r w:rsidRPr="00C74EB6">
        <w:rPr>
          <w:kern w:val="0"/>
          <w:sz w:val="24"/>
        </w:rPr>
        <w:t>σ</w:t>
      </w:r>
      <w:r w:rsidRPr="00C74EB6">
        <w:rPr>
          <w:rFonts w:hint="eastAsia"/>
          <w:sz w:val="24"/>
        </w:rPr>
        <w:t>1=26</w:t>
      </w:r>
      <w:r w:rsidR="004F391E">
        <w:rPr>
          <w:rFonts w:hint="eastAsia"/>
          <w:sz w:val="24"/>
        </w:rPr>
        <w:t>.</w:t>
      </w:r>
      <w:r w:rsidRPr="00C74EB6">
        <w:rPr>
          <w:rFonts w:hint="eastAsia"/>
          <w:sz w:val="24"/>
        </w:rPr>
        <w:t>37</w:t>
      </w:r>
      <w:r w:rsidR="004F391E">
        <w:rPr>
          <w:rFonts w:hint="eastAsia"/>
          <w:sz w:val="24"/>
        </w:rPr>
        <w:t>%</w:t>
      </w:r>
      <w:r w:rsidRPr="00C74EB6">
        <w:rPr>
          <w:rFonts w:hint="eastAsia"/>
          <w:sz w:val="24"/>
        </w:rPr>
        <w:t>，参考</w:t>
      </w:r>
      <w:proofErr w:type="gramStart"/>
      <w:r w:rsidRPr="00C74EB6">
        <w:rPr>
          <w:rFonts w:hint="eastAsia"/>
          <w:sz w:val="24"/>
        </w:rPr>
        <w:t>许永洪等</w:t>
      </w:r>
      <w:proofErr w:type="gramEnd"/>
      <w:r w:rsidRPr="00C74EB6">
        <w:rPr>
          <w:rFonts w:hint="eastAsia"/>
          <w:sz w:val="24"/>
        </w:rPr>
        <w:t>（</w:t>
      </w:r>
      <w:r w:rsidRPr="00C74EB6">
        <w:rPr>
          <w:rFonts w:hint="eastAsia"/>
          <w:sz w:val="24"/>
        </w:rPr>
        <w:t>2023</w:t>
      </w:r>
      <w:r w:rsidRPr="00C74EB6">
        <w:rPr>
          <w:rFonts w:hint="eastAsia"/>
          <w:sz w:val="24"/>
        </w:rPr>
        <w:t>）计算的中国市场生产者的整体研发折旧率；</w:t>
      </w:r>
      <w:r w:rsidRPr="00C74EB6">
        <w:rPr>
          <w:rFonts w:hint="eastAsia"/>
          <w:sz w:val="24"/>
        </w:rPr>
        <w:t>2</w:t>
      </w:r>
      <w:r w:rsidRPr="00C74EB6">
        <w:rPr>
          <w:rFonts w:hint="eastAsia"/>
          <w:sz w:val="24"/>
        </w:rPr>
        <w:t>）</w:t>
      </w:r>
      <w:r w:rsidRPr="00C74EB6">
        <w:rPr>
          <w:kern w:val="0"/>
          <w:sz w:val="24"/>
        </w:rPr>
        <w:t>σ</w:t>
      </w:r>
      <w:r w:rsidRPr="00C74EB6">
        <w:rPr>
          <w:rFonts w:hint="eastAsia"/>
          <w:sz w:val="24"/>
        </w:rPr>
        <w:t>2=12%</w:t>
      </w:r>
      <w:r w:rsidRPr="00C74EB6">
        <w:rPr>
          <w:rFonts w:hint="eastAsia"/>
          <w:sz w:val="24"/>
        </w:rPr>
        <w:t>，参考杨俊仙和周洁（</w:t>
      </w:r>
      <w:r w:rsidRPr="00C74EB6">
        <w:rPr>
          <w:rFonts w:hint="eastAsia"/>
          <w:sz w:val="24"/>
        </w:rPr>
        <w:t>2016</w:t>
      </w:r>
      <w:r w:rsidRPr="00C74EB6">
        <w:rPr>
          <w:rFonts w:hint="eastAsia"/>
          <w:sz w:val="24"/>
        </w:rPr>
        <w:t>）。替换的变量</w:t>
      </w:r>
      <w:r w:rsidRPr="00C74EB6">
        <w:rPr>
          <w:rFonts w:hint="eastAsia"/>
          <w:sz w:val="24"/>
        </w:rPr>
        <w:t>OC1</w:t>
      </w:r>
      <w:r w:rsidRPr="00C74EB6">
        <w:rPr>
          <w:rFonts w:hint="eastAsia"/>
          <w:sz w:val="24"/>
        </w:rPr>
        <w:t>、</w:t>
      </w:r>
      <w:r w:rsidRPr="00C74EB6">
        <w:rPr>
          <w:rFonts w:hint="eastAsia"/>
          <w:sz w:val="24"/>
        </w:rPr>
        <w:t>OC3</w:t>
      </w:r>
      <w:r w:rsidRPr="00C74EB6">
        <w:rPr>
          <w:rFonts w:hint="eastAsia"/>
          <w:sz w:val="24"/>
        </w:rPr>
        <w:t>和</w:t>
      </w:r>
      <w:r w:rsidRPr="00C74EB6">
        <w:rPr>
          <w:rFonts w:hint="eastAsia"/>
          <w:sz w:val="24"/>
        </w:rPr>
        <w:t>OC5</w:t>
      </w:r>
      <w:r w:rsidRPr="00C74EB6">
        <w:rPr>
          <w:rFonts w:hint="eastAsia"/>
          <w:sz w:val="24"/>
        </w:rPr>
        <w:t>使用</w:t>
      </w:r>
      <w:r w:rsidRPr="00C74EB6">
        <w:rPr>
          <w:kern w:val="0"/>
          <w:sz w:val="24"/>
        </w:rPr>
        <w:t>σ</w:t>
      </w:r>
      <w:r w:rsidRPr="00C74EB6">
        <w:rPr>
          <w:rFonts w:hint="eastAsia"/>
          <w:sz w:val="24"/>
        </w:rPr>
        <w:t>1</w:t>
      </w:r>
      <w:r w:rsidRPr="00C74EB6">
        <w:rPr>
          <w:rFonts w:hint="eastAsia"/>
          <w:sz w:val="24"/>
        </w:rPr>
        <w:t>计算，</w:t>
      </w:r>
      <w:r w:rsidRPr="00C74EB6">
        <w:rPr>
          <w:rFonts w:hint="eastAsia"/>
          <w:sz w:val="24"/>
        </w:rPr>
        <w:t>OC2</w:t>
      </w:r>
      <w:r w:rsidRPr="00C74EB6">
        <w:rPr>
          <w:rFonts w:hint="eastAsia"/>
          <w:sz w:val="24"/>
        </w:rPr>
        <w:t>和</w:t>
      </w:r>
      <w:r w:rsidRPr="00C74EB6">
        <w:rPr>
          <w:rFonts w:hint="eastAsia"/>
          <w:sz w:val="24"/>
        </w:rPr>
        <w:t>OC4</w:t>
      </w:r>
      <w:r w:rsidRPr="00C74EB6">
        <w:rPr>
          <w:rFonts w:hint="eastAsia"/>
          <w:sz w:val="24"/>
        </w:rPr>
        <w:t>使用</w:t>
      </w:r>
      <w:r w:rsidRPr="00C74EB6">
        <w:rPr>
          <w:kern w:val="0"/>
          <w:sz w:val="24"/>
        </w:rPr>
        <w:t>σ</w:t>
      </w:r>
      <w:r w:rsidRPr="00C74EB6">
        <w:rPr>
          <w:rFonts w:hint="eastAsia"/>
          <w:sz w:val="24"/>
        </w:rPr>
        <w:t>2</w:t>
      </w:r>
      <w:r w:rsidRPr="00C74EB6">
        <w:rPr>
          <w:rFonts w:hint="eastAsia"/>
          <w:sz w:val="24"/>
        </w:rPr>
        <w:t>计算。</w:t>
      </w:r>
    </w:p>
    <w:p w14:paraId="48DB415B" w14:textId="0DE5977F" w:rsidR="00C45901" w:rsidRPr="00C74EB6" w:rsidRDefault="00C45901" w:rsidP="00C45901">
      <w:pPr>
        <w:spacing w:line="360" w:lineRule="auto"/>
        <w:ind w:firstLineChars="200" w:firstLine="480"/>
        <w:jc w:val="left"/>
        <w:rPr>
          <w:kern w:val="0"/>
          <w:sz w:val="24"/>
        </w:rPr>
      </w:pPr>
      <w:r w:rsidRPr="00C74EB6">
        <w:rPr>
          <w:rFonts w:hint="eastAsia"/>
          <w:kern w:val="0"/>
          <w:sz w:val="24"/>
        </w:rPr>
        <w:t>如</w:t>
      </w:r>
      <w:r w:rsidR="004B772F" w:rsidRPr="00C74EB6">
        <w:rPr>
          <w:kern w:val="0"/>
          <w:sz w:val="24"/>
        </w:rPr>
        <w:fldChar w:fldCharType="begin"/>
      </w:r>
      <w:r w:rsidR="004B772F" w:rsidRPr="00C74EB6">
        <w:rPr>
          <w:kern w:val="0"/>
          <w:sz w:val="24"/>
        </w:rPr>
        <w:instrText xml:space="preserve"> </w:instrText>
      </w:r>
      <w:r w:rsidR="004B772F" w:rsidRPr="00C74EB6">
        <w:rPr>
          <w:rFonts w:hint="eastAsia"/>
          <w:kern w:val="0"/>
          <w:sz w:val="24"/>
        </w:rPr>
        <w:instrText>REF _Ref190769342 \h</w:instrText>
      </w:r>
      <w:r w:rsidR="004B772F" w:rsidRPr="00C74EB6">
        <w:rPr>
          <w:kern w:val="0"/>
          <w:sz w:val="24"/>
        </w:rPr>
        <w:instrText xml:space="preserve">  \* MERGEFORMAT </w:instrText>
      </w:r>
      <w:r w:rsidR="004B772F" w:rsidRPr="00C74EB6">
        <w:rPr>
          <w:kern w:val="0"/>
          <w:sz w:val="24"/>
        </w:rPr>
      </w:r>
      <w:r w:rsidR="004B772F" w:rsidRPr="00C74EB6">
        <w:rPr>
          <w:kern w:val="0"/>
          <w:sz w:val="24"/>
        </w:rPr>
        <w:fldChar w:fldCharType="separate"/>
      </w:r>
      <w:r w:rsidR="00AF2180" w:rsidRPr="00AF2180">
        <w:rPr>
          <w:rFonts w:hint="eastAsia"/>
          <w:kern w:val="0"/>
          <w:sz w:val="24"/>
        </w:rPr>
        <w:t>表</w:t>
      </w:r>
      <w:r w:rsidR="00AF2180" w:rsidRPr="00AF2180">
        <w:rPr>
          <w:rFonts w:hint="eastAsia"/>
          <w:kern w:val="0"/>
          <w:sz w:val="24"/>
        </w:rPr>
        <w:t xml:space="preserve"> </w:t>
      </w:r>
      <w:r w:rsidR="00AF2180" w:rsidRPr="00AF2180">
        <w:rPr>
          <w:kern w:val="0"/>
          <w:sz w:val="24"/>
        </w:rPr>
        <w:t>12</w:t>
      </w:r>
      <w:r w:rsidR="004B772F" w:rsidRPr="00C74EB6">
        <w:rPr>
          <w:kern w:val="0"/>
          <w:sz w:val="24"/>
        </w:rPr>
        <w:fldChar w:fldCharType="end"/>
      </w:r>
      <w:r w:rsidRPr="00C74EB6">
        <w:rPr>
          <w:rFonts w:hint="eastAsia"/>
          <w:kern w:val="0"/>
          <w:sz w:val="24"/>
        </w:rPr>
        <w:t>所示，不同计算方式下组织资本均能显著</w:t>
      </w:r>
      <w:r w:rsidR="00370FED" w:rsidRPr="00C74EB6">
        <w:rPr>
          <w:rFonts w:hint="eastAsia"/>
          <w:kern w:val="0"/>
          <w:sz w:val="24"/>
        </w:rPr>
        <w:t>提升</w:t>
      </w:r>
      <w:r w:rsidRPr="00C74EB6">
        <w:rPr>
          <w:rFonts w:hint="eastAsia"/>
          <w:kern w:val="0"/>
          <w:sz w:val="24"/>
        </w:rPr>
        <w:t>董</w:t>
      </w:r>
      <w:proofErr w:type="gramStart"/>
      <w:r w:rsidRPr="00C74EB6">
        <w:rPr>
          <w:rFonts w:hint="eastAsia"/>
          <w:kern w:val="0"/>
          <w:sz w:val="24"/>
        </w:rPr>
        <w:t>监高责任</w:t>
      </w:r>
      <w:proofErr w:type="gramEnd"/>
      <w:r w:rsidRPr="00C74EB6">
        <w:rPr>
          <w:rFonts w:hint="eastAsia"/>
          <w:kern w:val="0"/>
          <w:sz w:val="24"/>
        </w:rPr>
        <w:t>险的</w:t>
      </w:r>
      <w:r w:rsidR="00D473F8" w:rsidRPr="00C74EB6">
        <w:rPr>
          <w:rFonts w:hint="eastAsia"/>
          <w:kern w:val="0"/>
          <w:sz w:val="24"/>
        </w:rPr>
        <w:t>投保意向</w:t>
      </w:r>
      <w:r w:rsidRPr="00C74EB6">
        <w:rPr>
          <w:rFonts w:hint="eastAsia"/>
          <w:kern w:val="0"/>
          <w:sz w:val="24"/>
        </w:rPr>
        <w:t>，且边际效应基本在</w:t>
      </w:r>
      <w:r w:rsidRPr="00C74EB6">
        <w:rPr>
          <w:rFonts w:hint="eastAsia"/>
          <w:kern w:val="0"/>
          <w:sz w:val="24"/>
        </w:rPr>
        <w:t>10%</w:t>
      </w:r>
      <w:r w:rsidRPr="00C74EB6">
        <w:rPr>
          <w:rFonts w:hint="eastAsia"/>
          <w:kern w:val="0"/>
          <w:sz w:val="24"/>
        </w:rPr>
        <w:t>左右，与</w:t>
      </w:r>
      <w:proofErr w:type="gramStart"/>
      <w:r w:rsidRPr="00C74EB6">
        <w:rPr>
          <w:rFonts w:hint="eastAsia"/>
          <w:kern w:val="0"/>
          <w:sz w:val="24"/>
        </w:rPr>
        <w:t>原结果</w:t>
      </w:r>
      <w:proofErr w:type="gramEnd"/>
      <w:r w:rsidRPr="00C74EB6">
        <w:rPr>
          <w:rFonts w:hint="eastAsia"/>
          <w:kern w:val="0"/>
          <w:sz w:val="24"/>
        </w:rPr>
        <w:t>保持一致。</w:t>
      </w:r>
    </w:p>
    <w:p w14:paraId="7624DD0B" w14:textId="712D9DC3" w:rsidR="00D60469" w:rsidRPr="00C74EB6" w:rsidRDefault="00D60469" w:rsidP="00D60469">
      <w:pPr>
        <w:spacing w:line="360" w:lineRule="auto"/>
        <w:ind w:firstLineChars="200" w:firstLine="480"/>
        <w:jc w:val="left"/>
        <w:rPr>
          <w:sz w:val="24"/>
        </w:rPr>
      </w:pPr>
      <w:r w:rsidRPr="00C74EB6">
        <w:rPr>
          <w:rFonts w:hint="eastAsia"/>
          <w:sz w:val="24"/>
        </w:rPr>
        <w:t>考虑到不同行业</w:t>
      </w:r>
      <w:r w:rsidRPr="00C74EB6">
        <w:rPr>
          <w:rFonts w:hint="eastAsia"/>
          <w:sz w:val="24"/>
        </w:rPr>
        <w:t>SG&amp;A</w:t>
      </w:r>
      <w:r w:rsidRPr="00C74EB6">
        <w:rPr>
          <w:rFonts w:hint="eastAsia"/>
          <w:sz w:val="24"/>
        </w:rPr>
        <w:t>费用投入到组织资本的比重有差异，且不同行业</w:t>
      </w:r>
      <w:r w:rsidRPr="00C74EB6">
        <w:rPr>
          <w:rFonts w:hint="eastAsia"/>
          <w:sz w:val="24"/>
        </w:rPr>
        <w:t>SG&amp;A</w:t>
      </w:r>
      <w:r w:rsidRPr="00C74EB6">
        <w:rPr>
          <w:rFonts w:hint="eastAsia"/>
          <w:sz w:val="24"/>
        </w:rPr>
        <w:t>费用的会计处理方法不同，参考</w:t>
      </w:r>
      <w:r w:rsidRPr="00C74EB6">
        <w:rPr>
          <w:rFonts w:hint="eastAsia"/>
          <w:sz w:val="24"/>
        </w:rPr>
        <w:t>Francis</w:t>
      </w:r>
      <w:r w:rsidRPr="00C74EB6">
        <w:rPr>
          <w:rFonts w:hint="eastAsia"/>
          <w:sz w:val="24"/>
        </w:rPr>
        <w:t>等（</w:t>
      </w:r>
      <w:r w:rsidRPr="00C74EB6">
        <w:rPr>
          <w:rFonts w:hint="eastAsia"/>
          <w:sz w:val="24"/>
        </w:rPr>
        <w:t>2021</w:t>
      </w:r>
      <w:r w:rsidRPr="00C74EB6">
        <w:rPr>
          <w:rFonts w:hint="eastAsia"/>
          <w:sz w:val="24"/>
        </w:rPr>
        <w:t>）、</w:t>
      </w:r>
      <w:r w:rsidRPr="00C74EB6">
        <w:rPr>
          <w:rFonts w:hint="eastAsia"/>
          <w:sz w:val="24"/>
        </w:rPr>
        <w:t>Li</w:t>
      </w:r>
      <w:r w:rsidRPr="00C74EB6">
        <w:rPr>
          <w:rFonts w:hint="eastAsia"/>
          <w:sz w:val="24"/>
        </w:rPr>
        <w:t>等（</w:t>
      </w:r>
      <w:r w:rsidRPr="00C74EB6">
        <w:rPr>
          <w:rFonts w:hint="eastAsia"/>
          <w:sz w:val="24"/>
        </w:rPr>
        <w:t>2018</w:t>
      </w:r>
      <w:r w:rsidRPr="00C74EB6">
        <w:rPr>
          <w:rFonts w:hint="eastAsia"/>
          <w:sz w:val="24"/>
        </w:rPr>
        <w:t>）、</w:t>
      </w:r>
      <w:r w:rsidR="00026DC9" w:rsidRPr="00C74EB6">
        <w:rPr>
          <w:sz w:val="24"/>
        </w:rPr>
        <w:t>Eisfeldt</w:t>
      </w:r>
      <w:r w:rsidRPr="00C74EB6">
        <w:rPr>
          <w:sz w:val="24"/>
        </w:rPr>
        <w:t xml:space="preserve"> </w:t>
      </w:r>
      <w:r w:rsidRPr="00C74EB6">
        <w:rPr>
          <w:sz w:val="24"/>
        </w:rPr>
        <w:t>和</w:t>
      </w:r>
      <w:r w:rsidRPr="00C74EB6">
        <w:rPr>
          <w:sz w:val="24"/>
        </w:rPr>
        <w:t>Papanikolaou</w:t>
      </w:r>
      <w:r w:rsidRPr="00C74EB6">
        <w:rPr>
          <w:rFonts w:hint="eastAsia"/>
          <w:sz w:val="24"/>
        </w:rPr>
        <w:t>（</w:t>
      </w:r>
      <w:r w:rsidRPr="00C74EB6">
        <w:rPr>
          <w:sz w:val="24"/>
        </w:rPr>
        <w:t>2013</w:t>
      </w:r>
      <w:r w:rsidRPr="00C74EB6">
        <w:rPr>
          <w:rFonts w:hint="eastAsia"/>
          <w:sz w:val="24"/>
        </w:rPr>
        <w:t>），本文使用以下两种方法减轻这种顾虑：</w:t>
      </w:r>
      <w:r w:rsidRPr="00C74EB6">
        <w:rPr>
          <w:rFonts w:hint="eastAsia"/>
          <w:sz w:val="24"/>
        </w:rPr>
        <w:t>1</w:t>
      </w:r>
      <w:r w:rsidRPr="00C74EB6">
        <w:rPr>
          <w:rFonts w:hint="eastAsia"/>
          <w:sz w:val="24"/>
        </w:rPr>
        <w:t>）本文先分</w:t>
      </w:r>
      <w:r w:rsidR="00EB79E3">
        <w:rPr>
          <w:rFonts w:hint="eastAsia"/>
          <w:sz w:val="24"/>
        </w:rPr>
        <w:t>年份和</w:t>
      </w:r>
      <w:r w:rsidRPr="00C74EB6">
        <w:rPr>
          <w:rFonts w:hint="eastAsia"/>
          <w:sz w:val="24"/>
        </w:rPr>
        <w:t>行业将组织资本排序，计算的排名用于重新衡量组织资本（</w:t>
      </w:r>
      <w:proofErr w:type="spellStart"/>
      <w:r w:rsidR="00D9560C" w:rsidRPr="00C74EB6">
        <w:rPr>
          <w:kern w:val="0"/>
          <w:sz w:val="24"/>
        </w:rPr>
        <w:t>OC</w:t>
      </w:r>
      <w:r w:rsidRPr="00C74EB6">
        <w:rPr>
          <w:kern w:val="0"/>
          <w:sz w:val="24"/>
        </w:rPr>
        <w:t>_</w:t>
      </w:r>
      <w:r w:rsidRPr="00C74EB6">
        <w:rPr>
          <w:rFonts w:hint="eastAsia"/>
          <w:kern w:val="0"/>
          <w:sz w:val="24"/>
        </w:rPr>
        <w:t>Indusrank</w:t>
      </w:r>
      <w:proofErr w:type="spellEnd"/>
      <w:r w:rsidRPr="00C74EB6">
        <w:rPr>
          <w:rFonts w:hint="eastAsia"/>
          <w:sz w:val="24"/>
        </w:rPr>
        <w:t>）；</w:t>
      </w:r>
      <w:r w:rsidRPr="00C74EB6">
        <w:rPr>
          <w:rFonts w:hint="eastAsia"/>
          <w:sz w:val="24"/>
        </w:rPr>
        <w:t>2</w:t>
      </w:r>
      <w:r w:rsidRPr="00C74EB6">
        <w:rPr>
          <w:rFonts w:hint="eastAsia"/>
          <w:sz w:val="24"/>
        </w:rPr>
        <w:t>）使用不同年份各行业中位数调整组织资本比例，即求各行业中位数，并将其从组织资本比例中减去（</w:t>
      </w:r>
      <w:proofErr w:type="spellStart"/>
      <w:r w:rsidR="00D9560C" w:rsidRPr="00C74EB6">
        <w:rPr>
          <w:rFonts w:hint="eastAsia"/>
          <w:sz w:val="24"/>
        </w:rPr>
        <w:t>OC</w:t>
      </w:r>
      <w:r w:rsidRPr="00C74EB6">
        <w:rPr>
          <w:kern w:val="0"/>
          <w:sz w:val="24"/>
        </w:rPr>
        <w:t>_adjust</w:t>
      </w:r>
      <w:proofErr w:type="spellEnd"/>
      <w:r w:rsidRPr="00C74EB6">
        <w:rPr>
          <w:rFonts w:hint="eastAsia"/>
          <w:sz w:val="24"/>
        </w:rPr>
        <w:t>）。</w:t>
      </w:r>
      <w:r w:rsidR="004B772F" w:rsidRPr="00C74EB6">
        <w:rPr>
          <w:sz w:val="24"/>
        </w:rPr>
        <w:fldChar w:fldCharType="begin"/>
      </w:r>
      <w:r w:rsidR="004B772F" w:rsidRPr="00C74EB6">
        <w:rPr>
          <w:sz w:val="24"/>
        </w:rPr>
        <w:instrText xml:space="preserve"> </w:instrText>
      </w:r>
      <w:r w:rsidR="004B772F" w:rsidRPr="00C74EB6">
        <w:rPr>
          <w:rFonts w:hint="eastAsia"/>
          <w:sz w:val="24"/>
        </w:rPr>
        <w:instrText>REF _Ref190769363 \h</w:instrText>
      </w:r>
      <w:r w:rsidR="004B772F" w:rsidRPr="00C74EB6">
        <w:rPr>
          <w:sz w:val="24"/>
        </w:rPr>
        <w:instrText xml:space="preserve">  \* MERGEFORMAT </w:instrText>
      </w:r>
      <w:r w:rsidR="004B772F" w:rsidRPr="00C74EB6">
        <w:rPr>
          <w:sz w:val="24"/>
        </w:rPr>
      </w:r>
      <w:r w:rsidR="004B772F"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13</w:t>
      </w:r>
      <w:r w:rsidR="004B772F" w:rsidRPr="00C74EB6">
        <w:rPr>
          <w:sz w:val="24"/>
        </w:rPr>
        <w:fldChar w:fldCharType="end"/>
      </w:r>
      <w:r w:rsidRPr="00C74EB6">
        <w:rPr>
          <w:rFonts w:hint="eastAsia"/>
          <w:sz w:val="24"/>
        </w:rPr>
        <w:t>列（</w:t>
      </w:r>
      <w:r w:rsidRPr="00C74EB6">
        <w:rPr>
          <w:rFonts w:hint="eastAsia"/>
          <w:sz w:val="24"/>
        </w:rPr>
        <w:t>1</w:t>
      </w:r>
      <w:r w:rsidRPr="00C74EB6">
        <w:rPr>
          <w:rFonts w:hint="eastAsia"/>
          <w:sz w:val="24"/>
        </w:rPr>
        <w:t>）</w:t>
      </w:r>
      <w:r w:rsidRPr="00C74EB6">
        <w:rPr>
          <w:rFonts w:hint="eastAsia"/>
          <w:sz w:val="24"/>
        </w:rPr>
        <w:t>-</w:t>
      </w:r>
      <w:r w:rsidRPr="00C74EB6">
        <w:rPr>
          <w:rFonts w:hint="eastAsia"/>
          <w:sz w:val="24"/>
        </w:rPr>
        <w:t>（</w:t>
      </w:r>
      <w:r w:rsidRPr="00C74EB6">
        <w:rPr>
          <w:rFonts w:hint="eastAsia"/>
          <w:sz w:val="24"/>
        </w:rPr>
        <w:t>2</w:t>
      </w:r>
      <w:r w:rsidRPr="00C74EB6">
        <w:rPr>
          <w:rFonts w:hint="eastAsia"/>
          <w:sz w:val="24"/>
        </w:rPr>
        <w:t>）显示组织资本显著正向</w:t>
      </w:r>
      <w:r w:rsidR="00370FED" w:rsidRPr="00C74EB6">
        <w:rPr>
          <w:rFonts w:hint="eastAsia"/>
          <w:sz w:val="24"/>
        </w:rPr>
        <w:t>提升</w:t>
      </w:r>
      <w:r w:rsidR="00D473F8" w:rsidRPr="00C74EB6">
        <w:rPr>
          <w:rFonts w:hint="eastAsia"/>
          <w:sz w:val="24"/>
        </w:rPr>
        <w:t>投保意向</w:t>
      </w:r>
      <w:r w:rsidRPr="00C74EB6">
        <w:rPr>
          <w:rFonts w:hint="eastAsia"/>
          <w:sz w:val="24"/>
        </w:rPr>
        <w:t>。</w:t>
      </w:r>
    </w:p>
    <w:p w14:paraId="7F40EEE5" w14:textId="3A95C940" w:rsidR="00D60469" w:rsidRPr="00C74EB6" w:rsidRDefault="00D60469" w:rsidP="00D60469">
      <w:pPr>
        <w:spacing w:line="360" w:lineRule="auto"/>
        <w:ind w:firstLineChars="200" w:firstLine="480"/>
        <w:rPr>
          <w:sz w:val="24"/>
        </w:rPr>
      </w:pPr>
      <w:r w:rsidRPr="00C74EB6">
        <w:rPr>
          <w:rFonts w:hint="eastAsia"/>
          <w:sz w:val="24"/>
        </w:rPr>
        <w:t>考虑到不同企业的组织资本投入习惯或规律等不同，参考</w:t>
      </w:r>
      <w:r w:rsidRPr="00C74EB6">
        <w:rPr>
          <w:rFonts w:hint="eastAsia"/>
          <w:sz w:val="24"/>
        </w:rPr>
        <w:t>Eisfeldt</w:t>
      </w:r>
      <w:r w:rsidRPr="00C74EB6">
        <w:rPr>
          <w:rFonts w:hint="eastAsia"/>
          <w:sz w:val="24"/>
        </w:rPr>
        <w:t>和</w:t>
      </w:r>
      <w:r w:rsidRPr="00C74EB6">
        <w:rPr>
          <w:rFonts w:hint="eastAsia"/>
          <w:sz w:val="24"/>
        </w:rPr>
        <w:t>Papanikolaou</w:t>
      </w:r>
      <w:r w:rsidRPr="00C74EB6">
        <w:rPr>
          <w:rFonts w:hint="eastAsia"/>
          <w:sz w:val="24"/>
        </w:rPr>
        <w:t>（</w:t>
      </w:r>
      <w:r w:rsidRPr="00C74EB6">
        <w:rPr>
          <w:rFonts w:hint="eastAsia"/>
          <w:sz w:val="24"/>
        </w:rPr>
        <w:t>2013</w:t>
      </w:r>
      <w:r w:rsidRPr="00C74EB6">
        <w:rPr>
          <w:rFonts w:hint="eastAsia"/>
          <w:sz w:val="24"/>
        </w:rPr>
        <w:t>）、程冕等（</w:t>
      </w:r>
      <w:r w:rsidRPr="00C74EB6">
        <w:rPr>
          <w:rFonts w:hint="eastAsia"/>
          <w:sz w:val="24"/>
        </w:rPr>
        <w:t>2019</w:t>
      </w:r>
      <w:r w:rsidRPr="00C74EB6">
        <w:rPr>
          <w:rFonts w:hint="eastAsia"/>
          <w:sz w:val="24"/>
        </w:rPr>
        <w:t>），本文</w:t>
      </w:r>
      <w:r w:rsidR="00C45901" w:rsidRPr="00C74EB6">
        <w:rPr>
          <w:rFonts w:hint="eastAsia"/>
          <w:sz w:val="24"/>
        </w:rPr>
        <w:t>按不同年份</w:t>
      </w:r>
      <w:r w:rsidRPr="00C74EB6">
        <w:rPr>
          <w:rFonts w:hint="eastAsia"/>
          <w:sz w:val="24"/>
        </w:rPr>
        <w:t>将企业组织资本排序后分为五组，</w:t>
      </w:r>
      <w:proofErr w:type="gramStart"/>
      <w:r w:rsidRPr="00C74EB6">
        <w:rPr>
          <w:rFonts w:hint="eastAsia"/>
          <w:sz w:val="24"/>
        </w:rPr>
        <w:t>分别赋</w:t>
      </w:r>
      <w:r w:rsidR="00370FED" w:rsidRPr="00C74EB6">
        <w:rPr>
          <w:rFonts w:hint="eastAsia"/>
          <w:sz w:val="24"/>
        </w:rPr>
        <w:t>分</w:t>
      </w:r>
      <w:proofErr w:type="gramEnd"/>
      <w:r w:rsidR="00370FED" w:rsidRPr="00C74EB6">
        <w:rPr>
          <w:rFonts w:hint="eastAsia"/>
          <w:sz w:val="24"/>
        </w:rPr>
        <w:t>5-1</w:t>
      </w:r>
      <w:r w:rsidR="00370FED" w:rsidRPr="00C74EB6">
        <w:rPr>
          <w:rFonts w:hint="eastAsia"/>
          <w:sz w:val="24"/>
        </w:rPr>
        <w:t>分，</w:t>
      </w:r>
      <w:r w:rsidRPr="00C74EB6">
        <w:rPr>
          <w:rFonts w:hint="eastAsia"/>
          <w:sz w:val="24"/>
        </w:rPr>
        <w:t>作为组织资本的另一定量测量（</w:t>
      </w:r>
      <w:proofErr w:type="spellStart"/>
      <w:r w:rsidR="00D9560C" w:rsidRPr="00C74EB6">
        <w:rPr>
          <w:rFonts w:hint="eastAsia"/>
          <w:sz w:val="24"/>
        </w:rPr>
        <w:t>OC</w:t>
      </w:r>
      <w:r w:rsidRPr="00C74EB6">
        <w:rPr>
          <w:kern w:val="0"/>
          <w:sz w:val="24"/>
        </w:rPr>
        <w:t>_</w:t>
      </w:r>
      <w:r w:rsidRPr="00C74EB6">
        <w:rPr>
          <w:rFonts w:hint="eastAsia"/>
          <w:kern w:val="0"/>
          <w:sz w:val="24"/>
        </w:rPr>
        <w:t>idrank</w:t>
      </w:r>
      <w:proofErr w:type="spellEnd"/>
      <w:r w:rsidRPr="00C74EB6">
        <w:rPr>
          <w:rFonts w:hint="eastAsia"/>
          <w:sz w:val="24"/>
        </w:rPr>
        <w:t>）；</w:t>
      </w:r>
      <w:r w:rsidR="004B772F" w:rsidRPr="00C74EB6">
        <w:rPr>
          <w:sz w:val="24"/>
        </w:rPr>
        <w:fldChar w:fldCharType="begin"/>
      </w:r>
      <w:r w:rsidR="004B772F" w:rsidRPr="00C74EB6">
        <w:rPr>
          <w:sz w:val="24"/>
        </w:rPr>
        <w:instrText xml:space="preserve"> </w:instrText>
      </w:r>
      <w:r w:rsidR="004B772F" w:rsidRPr="00C74EB6">
        <w:rPr>
          <w:rFonts w:hint="eastAsia"/>
          <w:sz w:val="24"/>
        </w:rPr>
        <w:instrText>REF _Ref190769363 \h</w:instrText>
      </w:r>
      <w:r w:rsidR="004B772F" w:rsidRPr="00C74EB6">
        <w:rPr>
          <w:sz w:val="24"/>
        </w:rPr>
        <w:instrText xml:space="preserve">  \* MERGEFORMAT </w:instrText>
      </w:r>
      <w:r w:rsidR="004B772F" w:rsidRPr="00C74EB6">
        <w:rPr>
          <w:sz w:val="24"/>
        </w:rPr>
      </w:r>
      <w:r w:rsidR="004B772F" w:rsidRPr="00C74EB6">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13</w:t>
      </w:r>
      <w:r w:rsidR="004B772F" w:rsidRPr="00C74EB6">
        <w:rPr>
          <w:sz w:val="24"/>
        </w:rPr>
        <w:fldChar w:fldCharType="end"/>
      </w:r>
      <w:r w:rsidRPr="00C74EB6">
        <w:rPr>
          <w:rFonts w:hint="eastAsia"/>
          <w:sz w:val="24"/>
        </w:rPr>
        <w:t>列（</w:t>
      </w:r>
      <w:r w:rsidRPr="00C74EB6">
        <w:rPr>
          <w:rFonts w:hint="eastAsia"/>
          <w:sz w:val="24"/>
        </w:rPr>
        <w:t>3</w:t>
      </w:r>
      <w:r w:rsidRPr="00C74EB6">
        <w:rPr>
          <w:rFonts w:hint="eastAsia"/>
          <w:sz w:val="24"/>
        </w:rPr>
        <w:t>）显示，组织资本仍显著</w:t>
      </w:r>
      <w:r w:rsidR="00370FED" w:rsidRPr="00C74EB6">
        <w:rPr>
          <w:rFonts w:hint="eastAsia"/>
          <w:sz w:val="24"/>
        </w:rPr>
        <w:t>提升</w:t>
      </w:r>
      <w:r w:rsidR="008E596C" w:rsidRPr="00C74EB6">
        <w:rPr>
          <w:rFonts w:hint="eastAsia"/>
          <w:sz w:val="24"/>
        </w:rPr>
        <w:t>促进</w:t>
      </w:r>
      <w:r w:rsidR="00D473F8" w:rsidRPr="00C74EB6">
        <w:rPr>
          <w:rFonts w:hint="eastAsia"/>
          <w:sz w:val="24"/>
        </w:rPr>
        <w:t>投保意向</w:t>
      </w:r>
      <w:r w:rsidRPr="00C74EB6">
        <w:rPr>
          <w:rFonts w:hint="eastAsia"/>
          <w:sz w:val="24"/>
        </w:rPr>
        <w:t>。</w:t>
      </w:r>
    </w:p>
    <w:p w14:paraId="5FF227B9" w14:textId="77777777" w:rsidR="00D60469" w:rsidRPr="00C74EB6" w:rsidRDefault="00D60469" w:rsidP="00C45901">
      <w:pPr>
        <w:spacing w:line="360" w:lineRule="auto"/>
        <w:ind w:firstLine="480"/>
        <w:jc w:val="left"/>
        <w:rPr>
          <w:sz w:val="24"/>
        </w:rPr>
      </w:pPr>
    </w:p>
    <w:p w14:paraId="2E708234" w14:textId="77777777" w:rsidR="00C45901" w:rsidRDefault="00C45901" w:rsidP="00C45901">
      <w:pPr>
        <w:spacing w:line="360" w:lineRule="auto"/>
        <w:ind w:firstLine="480"/>
        <w:jc w:val="left"/>
        <w:rPr>
          <w:sz w:val="24"/>
        </w:rPr>
      </w:pPr>
    </w:p>
    <w:p w14:paraId="031D4278" w14:textId="77777777" w:rsidR="00C45901" w:rsidRDefault="00C45901" w:rsidP="00C45901">
      <w:pPr>
        <w:spacing w:line="360" w:lineRule="auto"/>
        <w:ind w:firstLine="480"/>
        <w:jc w:val="left"/>
        <w:rPr>
          <w:sz w:val="24"/>
        </w:rPr>
      </w:pPr>
    </w:p>
    <w:p w14:paraId="20E4004D" w14:textId="77777777" w:rsidR="004F391E" w:rsidRDefault="004F391E" w:rsidP="00C45901">
      <w:pPr>
        <w:spacing w:line="360" w:lineRule="auto"/>
        <w:ind w:firstLine="480"/>
        <w:jc w:val="left"/>
        <w:rPr>
          <w:sz w:val="24"/>
        </w:rPr>
      </w:pPr>
    </w:p>
    <w:p w14:paraId="4A9A6377" w14:textId="77777777" w:rsidR="00C45901" w:rsidRDefault="00C45901" w:rsidP="00C45901">
      <w:pPr>
        <w:spacing w:line="360" w:lineRule="auto"/>
        <w:ind w:firstLine="480"/>
        <w:jc w:val="left"/>
        <w:rPr>
          <w:sz w:val="24"/>
        </w:rPr>
      </w:pPr>
    </w:p>
    <w:p w14:paraId="70610278" w14:textId="77777777" w:rsidR="00C45901" w:rsidRDefault="00C45901" w:rsidP="00C45901">
      <w:pPr>
        <w:pStyle w:val="af5"/>
        <w:spacing w:line="360" w:lineRule="auto"/>
        <w:ind w:firstLine="482"/>
        <w:rPr>
          <w:rFonts w:ascii="Times New Roman" w:hAnsi="Times New Roman"/>
        </w:rPr>
      </w:pPr>
      <w:bookmarkStart w:id="148" w:name="_Ref185447669"/>
    </w:p>
    <w:p w14:paraId="4BAF119B" w14:textId="43084023" w:rsidR="00C45901" w:rsidRPr="00734874" w:rsidRDefault="00734874" w:rsidP="00734874">
      <w:pPr>
        <w:pStyle w:val="af5"/>
        <w:ind w:firstLine="482"/>
        <w:rPr>
          <w:rFonts w:ascii="Times New Roman" w:hAnsi="Times New Roman"/>
        </w:rPr>
      </w:pPr>
      <w:bookmarkStart w:id="149" w:name="_Ref190769342"/>
      <w:bookmarkEnd w:id="148"/>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12</w:t>
      </w:r>
      <w:r w:rsidRPr="00734874">
        <w:rPr>
          <w:rFonts w:ascii="Times New Roman" w:hAnsi="Times New Roman" w:hint="eastAsia"/>
        </w:rPr>
        <w:fldChar w:fldCharType="end"/>
      </w:r>
      <w:bookmarkEnd w:id="149"/>
      <w:r w:rsidR="00C45901" w:rsidRPr="00734874">
        <w:rPr>
          <w:rFonts w:ascii="Times New Roman" w:hAnsi="Times New Roman" w:hint="eastAsia"/>
        </w:rPr>
        <w:t>：调整计算组织资本的参数进行稳健性检验</w:t>
      </w:r>
    </w:p>
    <w:tbl>
      <w:tblPr>
        <w:tblW w:w="5000" w:type="pct"/>
        <w:tblLook w:val="0000" w:firstRow="0" w:lastRow="0" w:firstColumn="0" w:lastColumn="0" w:noHBand="0" w:noVBand="0"/>
      </w:tblPr>
      <w:tblGrid>
        <w:gridCol w:w="1336"/>
        <w:gridCol w:w="1394"/>
        <w:gridCol w:w="1394"/>
        <w:gridCol w:w="1394"/>
        <w:gridCol w:w="1394"/>
        <w:gridCol w:w="1394"/>
      </w:tblGrid>
      <w:tr w:rsidR="00C45901" w:rsidRPr="00FD0D8E" w14:paraId="5DD23ABB" w14:textId="77777777" w:rsidTr="005A5608">
        <w:tc>
          <w:tcPr>
            <w:tcW w:w="804" w:type="pct"/>
            <w:tcBorders>
              <w:top w:val="single" w:sz="4" w:space="0" w:color="auto"/>
              <w:left w:val="nil"/>
              <w:bottom w:val="nil"/>
              <w:right w:val="nil"/>
            </w:tcBorders>
          </w:tcPr>
          <w:p w14:paraId="16433C48" w14:textId="77777777" w:rsidR="00C45901" w:rsidRPr="00FD0D8E" w:rsidRDefault="00C45901" w:rsidP="00C74EB6">
            <w:pPr>
              <w:autoSpaceDE w:val="0"/>
              <w:autoSpaceDN w:val="0"/>
              <w:adjustRightInd w:val="0"/>
              <w:rPr>
                <w:kern w:val="0"/>
                <w:szCs w:val="21"/>
              </w:rPr>
            </w:pPr>
            <w:r w:rsidRPr="00FD0D8E">
              <w:rPr>
                <w:kern w:val="0"/>
                <w:szCs w:val="21"/>
              </w:rPr>
              <w:t>DO</w:t>
            </w:r>
            <w:r w:rsidRPr="00FD0D8E">
              <w:rPr>
                <w:kern w:val="0"/>
                <w:szCs w:val="21"/>
                <w:vertAlign w:val="subscript"/>
              </w:rPr>
              <w:t>t+1</w:t>
            </w:r>
          </w:p>
        </w:tc>
        <w:tc>
          <w:tcPr>
            <w:tcW w:w="839" w:type="pct"/>
            <w:tcBorders>
              <w:top w:val="single" w:sz="4" w:space="0" w:color="auto"/>
              <w:left w:val="nil"/>
              <w:bottom w:val="nil"/>
              <w:right w:val="nil"/>
            </w:tcBorders>
          </w:tcPr>
          <w:p w14:paraId="2C6C48E2" w14:textId="77777777" w:rsidR="00C45901" w:rsidRPr="00FD0D8E" w:rsidRDefault="00C45901" w:rsidP="00C74EB6">
            <w:pPr>
              <w:autoSpaceDE w:val="0"/>
              <w:autoSpaceDN w:val="0"/>
              <w:adjustRightInd w:val="0"/>
              <w:jc w:val="center"/>
              <w:rPr>
                <w:kern w:val="0"/>
                <w:szCs w:val="21"/>
              </w:rPr>
            </w:pPr>
            <w:r w:rsidRPr="00FD0D8E">
              <w:rPr>
                <w:kern w:val="0"/>
                <w:szCs w:val="21"/>
              </w:rPr>
              <w:t>(1)</w:t>
            </w:r>
          </w:p>
        </w:tc>
        <w:tc>
          <w:tcPr>
            <w:tcW w:w="839" w:type="pct"/>
            <w:tcBorders>
              <w:top w:val="single" w:sz="4" w:space="0" w:color="auto"/>
              <w:left w:val="nil"/>
              <w:bottom w:val="nil"/>
              <w:right w:val="nil"/>
            </w:tcBorders>
          </w:tcPr>
          <w:p w14:paraId="5134DED1" w14:textId="77777777" w:rsidR="00C45901" w:rsidRPr="00FD0D8E" w:rsidRDefault="00C45901" w:rsidP="00C74EB6">
            <w:pPr>
              <w:autoSpaceDE w:val="0"/>
              <w:autoSpaceDN w:val="0"/>
              <w:adjustRightInd w:val="0"/>
              <w:jc w:val="center"/>
              <w:rPr>
                <w:kern w:val="0"/>
                <w:szCs w:val="21"/>
              </w:rPr>
            </w:pPr>
            <w:r w:rsidRPr="00FD0D8E">
              <w:rPr>
                <w:kern w:val="0"/>
                <w:szCs w:val="21"/>
              </w:rPr>
              <w:t>(2)</w:t>
            </w:r>
          </w:p>
        </w:tc>
        <w:tc>
          <w:tcPr>
            <w:tcW w:w="839" w:type="pct"/>
            <w:tcBorders>
              <w:top w:val="single" w:sz="4" w:space="0" w:color="auto"/>
              <w:left w:val="nil"/>
              <w:bottom w:val="nil"/>
              <w:right w:val="nil"/>
            </w:tcBorders>
          </w:tcPr>
          <w:p w14:paraId="7454D429" w14:textId="77777777" w:rsidR="00C45901" w:rsidRPr="00FD0D8E" w:rsidRDefault="00C45901" w:rsidP="00C74EB6">
            <w:pPr>
              <w:autoSpaceDE w:val="0"/>
              <w:autoSpaceDN w:val="0"/>
              <w:adjustRightInd w:val="0"/>
              <w:jc w:val="center"/>
              <w:rPr>
                <w:kern w:val="0"/>
                <w:szCs w:val="21"/>
              </w:rPr>
            </w:pPr>
            <w:r w:rsidRPr="00FD0D8E">
              <w:rPr>
                <w:kern w:val="0"/>
                <w:szCs w:val="21"/>
              </w:rPr>
              <w:t>(3)</w:t>
            </w:r>
          </w:p>
        </w:tc>
        <w:tc>
          <w:tcPr>
            <w:tcW w:w="839" w:type="pct"/>
            <w:tcBorders>
              <w:top w:val="single" w:sz="4" w:space="0" w:color="auto"/>
              <w:left w:val="nil"/>
              <w:bottom w:val="nil"/>
              <w:right w:val="nil"/>
            </w:tcBorders>
          </w:tcPr>
          <w:p w14:paraId="755C19BC" w14:textId="77777777" w:rsidR="00C45901" w:rsidRPr="00FD0D8E" w:rsidRDefault="00C45901" w:rsidP="00C74EB6">
            <w:pPr>
              <w:autoSpaceDE w:val="0"/>
              <w:autoSpaceDN w:val="0"/>
              <w:adjustRightInd w:val="0"/>
              <w:jc w:val="center"/>
              <w:rPr>
                <w:kern w:val="0"/>
                <w:szCs w:val="21"/>
              </w:rPr>
            </w:pPr>
            <w:r w:rsidRPr="00FD0D8E">
              <w:rPr>
                <w:kern w:val="0"/>
                <w:szCs w:val="21"/>
              </w:rPr>
              <w:t>(4)</w:t>
            </w:r>
          </w:p>
        </w:tc>
        <w:tc>
          <w:tcPr>
            <w:tcW w:w="839" w:type="pct"/>
            <w:tcBorders>
              <w:top w:val="single" w:sz="4" w:space="0" w:color="auto"/>
              <w:left w:val="nil"/>
              <w:bottom w:val="nil"/>
              <w:right w:val="nil"/>
            </w:tcBorders>
          </w:tcPr>
          <w:p w14:paraId="6954306A" w14:textId="77777777" w:rsidR="00C45901" w:rsidRPr="00FD0D8E" w:rsidRDefault="00C45901" w:rsidP="00C74EB6">
            <w:pPr>
              <w:autoSpaceDE w:val="0"/>
              <w:autoSpaceDN w:val="0"/>
              <w:adjustRightInd w:val="0"/>
              <w:jc w:val="center"/>
              <w:rPr>
                <w:kern w:val="0"/>
                <w:szCs w:val="21"/>
              </w:rPr>
            </w:pPr>
            <w:r w:rsidRPr="00FD0D8E">
              <w:rPr>
                <w:kern w:val="0"/>
                <w:szCs w:val="21"/>
              </w:rPr>
              <w:t>(5)</w:t>
            </w:r>
          </w:p>
        </w:tc>
      </w:tr>
      <w:tr w:rsidR="00C45901" w:rsidRPr="00FD0D8E" w14:paraId="7CABBDE3" w14:textId="77777777" w:rsidTr="005A5608">
        <w:tc>
          <w:tcPr>
            <w:tcW w:w="804" w:type="pct"/>
            <w:tcBorders>
              <w:top w:val="single" w:sz="4" w:space="0" w:color="auto"/>
              <w:left w:val="nil"/>
              <w:bottom w:val="nil"/>
              <w:right w:val="nil"/>
            </w:tcBorders>
          </w:tcPr>
          <w:p w14:paraId="3C411995" w14:textId="276EFF29" w:rsidR="00C45901" w:rsidRPr="00FD0D8E" w:rsidRDefault="00D473F8" w:rsidP="00C74EB6">
            <w:pPr>
              <w:autoSpaceDE w:val="0"/>
              <w:autoSpaceDN w:val="0"/>
              <w:adjustRightInd w:val="0"/>
              <w:rPr>
                <w:kern w:val="0"/>
                <w:szCs w:val="21"/>
              </w:rPr>
            </w:pPr>
            <w:r w:rsidRPr="00FD0D8E">
              <w:rPr>
                <w:kern w:val="0"/>
                <w:szCs w:val="21"/>
              </w:rPr>
              <w:t>OC</w:t>
            </w:r>
            <w:r w:rsidR="00C45901" w:rsidRPr="00FD0D8E">
              <w:rPr>
                <w:kern w:val="0"/>
                <w:szCs w:val="21"/>
              </w:rPr>
              <w:t>1</w:t>
            </w:r>
          </w:p>
        </w:tc>
        <w:tc>
          <w:tcPr>
            <w:tcW w:w="839" w:type="pct"/>
            <w:tcBorders>
              <w:top w:val="single" w:sz="4" w:space="0" w:color="auto"/>
              <w:left w:val="nil"/>
              <w:bottom w:val="nil"/>
              <w:right w:val="nil"/>
            </w:tcBorders>
          </w:tcPr>
          <w:p w14:paraId="287F2F6A" w14:textId="77777777" w:rsidR="00C45901" w:rsidRPr="00FD0D8E" w:rsidRDefault="00C45901" w:rsidP="00C74EB6">
            <w:pPr>
              <w:autoSpaceDE w:val="0"/>
              <w:autoSpaceDN w:val="0"/>
              <w:adjustRightInd w:val="0"/>
              <w:jc w:val="center"/>
              <w:rPr>
                <w:kern w:val="0"/>
                <w:szCs w:val="21"/>
              </w:rPr>
            </w:pPr>
            <w:r w:rsidRPr="00FD0D8E">
              <w:rPr>
                <w:kern w:val="0"/>
                <w:szCs w:val="21"/>
              </w:rPr>
              <w:t>0.101</w:t>
            </w:r>
            <w:r w:rsidRPr="00FD0D8E">
              <w:rPr>
                <w:kern w:val="0"/>
                <w:szCs w:val="21"/>
                <w:vertAlign w:val="superscript"/>
              </w:rPr>
              <w:t>***</w:t>
            </w:r>
          </w:p>
        </w:tc>
        <w:tc>
          <w:tcPr>
            <w:tcW w:w="839" w:type="pct"/>
            <w:tcBorders>
              <w:top w:val="single" w:sz="4" w:space="0" w:color="auto"/>
              <w:left w:val="nil"/>
              <w:bottom w:val="nil"/>
              <w:right w:val="nil"/>
            </w:tcBorders>
          </w:tcPr>
          <w:p w14:paraId="324AB785" w14:textId="77777777" w:rsidR="00C45901" w:rsidRPr="00FD0D8E" w:rsidRDefault="00C45901" w:rsidP="00C74EB6">
            <w:pPr>
              <w:autoSpaceDE w:val="0"/>
              <w:autoSpaceDN w:val="0"/>
              <w:adjustRightInd w:val="0"/>
              <w:jc w:val="center"/>
              <w:rPr>
                <w:kern w:val="0"/>
                <w:szCs w:val="21"/>
              </w:rPr>
            </w:pPr>
          </w:p>
        </w:tc>
        <w:tc>
          <w:tcPr>
            <w:tcW w:w="839" w:type="pct"/>
            <w:tcBorders>
              <w:top w:val="single" w:sz="4" w:space="0" w:color="auto"/>
              <w:left w:val="nil"/>
              <w:bottom w:val="nil"/>
              <w:right w:val="nil"/>
            </w:tcBorders>
          </w:tcPr>
          <w:p w14:paraId="776F4420" w14:textId="77777777" w:rsidR="00C45901" w:rsidRPr="00FD0D8E" w:rsidRDefault="00C45901" w:rsidP="00C74EB6">
            <w:pPr>
              <w:autoSpaceDE w:val="0"/>
              <w:autoSpaceDN w:val="0"/>
              <w:adjustRightInd w:val="0"/>
              <w:jc w:val="center"/>
              <w:rPr>
                <w:kern w:val="0"/>
                <w:szCs w:val="21"/>
              </w:rPr>
            </w:pPr>
          </w:p>
        </w:tc>
        <w:tc>
          <w:tcPr>
            <w:tcW w:w="839" w:type="pct"/>
            <w:tcBorders>
              <w:top w:val="single" w:sz="4" w:space="0" w:color="auto"/>
              <w:left w:val="nil"/>
              <w:bottom w:val="nil"/>
              <w:right w:val="nil"/>
            </w:tcBorders>
          </w:tcPr>
          <w:p w14:paraId="02958587" w14:textId="77777777" w:rsidR="00C45901" w:rsidRPr="00FD0D8E" w:rsidRDefault="00C45901" w:rsidP="00C74EB6">
            <w:pPr>
              <w:autoSpaceDE w:val="0"/>
              <w:autoSpaceDN w:val="0"/>
              <w:adjustRightInd w:val="0"/>
              <w:jc w:val="center"/>
              <w:rPr>
                <w:kern w:val="0"/>
                <w:szCs w:val="21"/>
              </w:rPr>
            </w:pPr>
          </w:p>
        </w:tc>
        <w:tc>
          <w:tcPr>
            <w:tcW w:w="839" w:type="pct"/>
            <w:tcBorders>
              <w:top w:val="single" w:sz="4" w:space="0" w:color="auto"/>
              <w:left w:val="nil"/>
              <w:bottom w:val="nil"/>
              <w:right w:val="nil"/>
            </w:tcBorders>
          </w:tcPr>
          <w:p w14:paraId="3D302FEF" w14:textId="77777777" w:rsidR="00C45901" w:rsidRPr="00FD0D8E" w:rsidRDefault="00C45901" w:rsidP="00C74EB6">
            <w:pPr>
              <w:autoSpaceDE w:val="0"/>
              <w:autoSpaceDN w:val="0"/>
              <w:adjustRightInd w:val="0"/>
              <w:jc w:val="center"/>
              <w:rPr>
                <w:kern w:val="0"/>
                <w:szCs w:val="21"/>
              </w:rPr>
            </w:pPr>
          </w:p>
        </w:tc>
      </w:tr>
      <w:tr w:rsidR="00C45901" w:rsidRPr="00FD0D8E" w14:paraId="1D9FA88B" w14:textId="77777777" w:rsidTr="005A5608">
        <w:tc>
          <w:tcPr>
            <w:tcW w:w="804" w:type="pct"/>
            <w:tcBorders>
              <w:top w:val="nil"/>
              <w:left w:val="nil"/>
              <w:bottom w:val="nil"/>
              <w:right w:val="nil"/>
            </w:tcBorders>
          </w:tcPr>
          <w:p w14:paraId="63A0AB0B"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25CEAF52" w14:textId="77777777" w:rsidR="00C45901" w:rsidRPr="00FD0D8E" w:rsidRDefault="00C45901" w:rsidP="00C74EB6">
            <w:pPr>
              <w:autoSpaceDE w:val="0"/>
              <w:autoSpaceDN w:val="0"/>
              <w:adjustRightInd w:val="0"/>
              <w:jc w:val="center"/>
              <w:rPr>
                <w:kern w:val="0"/>
                <w:szCs w:val="21"/>
              </w:rPr>
            </w:pPr>
            <w:r w:rsidRPr="00FD0D8E">
              <w:rPr>
                <w:kern w:val="0"/>
                <w:szCs w:val="21"/>
              </w:rPr>
              <w:t>(0.026)</w:t>
            </w:r>
          </w:p>
        </w:tc>
        <w:tc>
          <w:tcPr>
            <w:tcW w:w="839" w:type="pct"/>
            <w:tcBorders>
              <w:top w:val="nil"/>
              <w:left w:val="nil"/>
              <w:bottom w:val="nil"/>
              <w:right w:val="nil"/>
            </w:tcBorders>
          </w:tcPr>
          <w:p w14:paraId="0528ACF7"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048040D9"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47447263"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27E52A97" w14:textId="77777777" w:rsidR="00C45901" w:rsidRPr="00FD0D8E" w:rsidRDefault="00C45901" w:rsidP="00C74EB6">
            <w:pPr>
              <w:autoSpaceDE w:val="0"/>
              <w:autoSpaceDN w:val="0"/>
              <w:adjustRightInd w:val="0"/>
              <w:jc w:val="center"/>
              <w:rPr>
                <w:kern w:val="0"/>
                <w:szCs w:val="21"/>
              </w:rPr>
            </w:pPr>
          </w:p>
        </w:tc>
      </w:tr>
      <w:tr w:rsidR="00C45901" w:rsidRPr="00FD0D8E" w14:paraId="0ECCE1B2" w14:textId="77777777" w:rsidTr="005A5608">
        <w:tc>
          <w:tcPr>
            <w:tcW w:w="804" w:type="pct"/>
            <w:tcBorders>
              <w:top w:val="nil"/>
              <w:left w:val="nil"/>
              <w:bottom w:val="nil"/>
              <w:right w:val="nil"/>
            </w:tcBorders>
          </w:tcPr>
          <w:p w14:paraId="11118D21" w14:textId="6716558D" w:rsidR="00C45901" w:rsidRPr="00FD0D8E" w:rsidRDefault="00D473F8" w:rsidP="00C74EB6">
            <w:pPr>
              <w:autoSpaceDE w:val="0"/>
              <w:autoSpaceDN w:val="0"/>
              <w:adjustRightInd w:val="0"/>
              <w:rPr>
                <w:kern w:val="0"/>
                <w:szCs w:val="21"/>
              </w:rPr>
            </w:pPr>
            <w:r w:rsidRPr="00FD0D8E">
              <w:rPr>
                <w:kern w:val="0"/>
                <w:szCs w:val="21"/>
              </w:rPr>
              <w:t>OC</w:t>
            </w:r>
            <w:r w:rsidR="00C45901" w:rsidRPr="00FD0D8E">
              <w:rPr>
                <w:kern w:val="0"/>
                <w:szCs w:val="21"/>
              </w:rPr>
              <w:t>2</w:t>
            </w:r>
          </w:p>
        </w:tc>
        <w:tc>
          <w:tcPr>
            <w:tcW w:w="839" w:type="pct"/>
            <w:tcBorders>
              <w:top w:val="nil"/>
              <w:left w:val="nil"/>
              <w:bottom w:val="nil"/>
              <w:right w:val="nil"/>
            </w:tcBorders>
          </w:tcPr>
          <w:p w14:paraId="695FDA0B"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1D3CB489" w14:textId="77777777" w:rsidR="00C45901" w:rsidRPr="00FD0D8E" w:rsidRDefault="00C45901" w:rsidP="00C74EB6">
            <w:pPr>
              <w:autoSpaceDE w:val="0"/>
              <w:autoSpaceDN w:val="0"/>
              <w:adjustRightInd w:val="0"/>
              <w:jc w:val="center"/>
              <w:rPr>
                <w:kern w:val="0"/>
                <w:szCs w:val="21"/>
              </w:rPr>
            </w:pPr>
            <w:r w:rsidRPr="00FD0D8E">
              <w:rPr>
                <w:kern w:val="0"/>
                <w:szCs w:val="21"/>
              </w:rPr>
              <w:t>0.094</w:t>
            </w:r>
            <w:r w:rsidRPr="00FD0D8E">
              <w:rPr>
                <w:kern w:val="0"/>
                <w:szCs w:val="21"/>
                <w:vertAlign w:val="superscript"/>
              </w:rPr>
              <w:t>***</w:t>
            </w:r>
          </w:p>
        </w:tc>
        <w:tc>
          <w:tcPr>
            <w:tcW w:w="839" w:type="pct"/>
            <w:tcBorders>
              <w:top w:val="nil"/>
              <w:left w:val="nil"/>
              <w:bottom w:val="nil"/>
              <w:right w:val="nil"/>
            </w:tcBorders>
          </w:tcPr>
          <w:p w14:paraId="3CE6ABC2"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78580FF5"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65692C14" w14:textId="77777777" w:rsidR="00C45901" w:rsidRPr="00FD0D8E" w:rsidRDefault="00C45901" w:rsidP="00C74EB6">
            <w:pPr>
              <w:autoSpaceDE w:val="0"/>
              <w:autoSpaceDN w:val="0"/>
              <w:adjustRightInd w:val="0"/>
              <w:jc w:val="center"/>
              <w:rPr>
                <w:kern w:val="0"/>
                <w:szCs w:val="21"/>
              </w:rPr>
            </w:pPr>
          </w:p>
        </w:tc>
      </w:tr>
      <w:tr w:rsidR="00C45901" w:rsidRPr="00FD0D8E" w14:paraId="694A78B3" w14:textId="77777777" w:rsidTr="005A5608">
        <w:tc>
          <w:tcPr>
            <w:tcW w:w="804" w:type="pct"/>
            <w:tcBorders>
              <w:top w:val="nil"/>
              <w:left w:val="nil"/>
              <w:bottom w:val="nil"/>
              <w:right w:val="nil"/>
            </w:tcBorders>
          </w:tcPr>
          <w:p w14:paraId="64FB28C0"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12574BB5"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3A001F31" w14:textId="77777777" w:rsidR="00C45901" w:rsidRPr="00FD0D8E" w:rsidRDefault="00C45901" w:rsidP="00C74EB6">
            <w:pPr>
              <w:autoSpaceDE w:val="0"/>
              <w:autoSpaceDN w:val="0"/>
              <w:adjustRightInd w:val="0"/>
              <w:jc w:val="center"/>
              <w:rPr>
                <w:kern w:val="0"/>
                <w:szCs w:val="21"/>
              </w:rPr>
            </w:pPr>
            <w:r w:rsidRPr="00FD0D8E">
              <w:rPr>
                <w:kern w:val="0"/>
                <w:szCs w:val="21"/>
              </w:rPr>
              <w:t>(0.018)</w:t>
            </w:r>
          </w:p>
        </w:tc>
        <w:tc>
          <w:tcPr>
            <w:tcW w:w="839" w:type="pct"/>
            <w:tcBorders>
              <w:top w:val="nil"/>
              <w:left w:val="nil"/>
              <w:bottom w:val="nil"/>
              <w:right w:val="nil"/>
            </w:tcBorders>
          </w:tcPr>
          <w:p w14:paraId="31B97CBC"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33F2FB49"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0B9EE1D6" w14:textId="77777777" w:rsidR="00C45901" w:rsidRPr="00FD0D8E" w:rsidRDefault="00C45901" w:rsidP="00C74EB6">
            <w:pPr>
              <w:autoSpaceDE w:val="0"/>
              <w:autoSpaceDN w:val="0"/>
              <w:adjustRightInd w:val="0"/>
              <w:jc w:val="center"/>
              <w:rPr>
                <w:kern w:val="0"/>
                <w:szCs w:val="21"/>
              </w:rPr>
            </w:pPr>
          </w:p>
        </w:tc>
      </w:tr>
      <w:tr w:rsidR="00C45901" w:rsidRPr="00FD0D8E" w14:paraId="52755AC4" w14:textId="77777777" w:rsidTr="005A5608">
        <w:tc>
          <w:tcPr>
            <w:tcW w:w="804" w:type="pct"/>
            <w:tcBorders>
              <w:top w:val="nil"/>
              <w:left w:val="nil"/>
              <w:bottom w:val="nil"/>
              <w:right w:val="nil"/>
            </w:tcBorders>
          </w:tcPr>
          <w:p w14:paraId="69056070" w14:textId="5DB0586B" w:rsidR="00C45901" w:rsidRPr="00FD0D8E" w:rsidRDefault="00D473F8" w:rsidP="00C74EB6">
            <w:pPr>
              <w:autoSpaceDE w:val="0"/>
              <w:autoSpaceDN w:val="0"/>
              <w:adjustRightInd w:val="0"/>
              <w:rPr>
                <w:kern w:val="0"/>
                <w:szCs w:val="21"/>
              </w:rPr>
            </w:pPr>
            <w:r w:rsidRPr="00FD0D8E">
              <w:rPr>
                <w:kern w:val="0"/>
                <w:szCs w:val="21"/>
              </w:rPr>
              <w:t>OC</w:t>
            </w:r>
            <w:r w:rsidR="00C45901" w:rsidRPr="00FD0D8E">
              <w:rPr>
                <w:kern w:val="0"/>
                <w:szCs w:val="21"/>
              </w:rPr>
              <w:t>3</w:t>
            </w:r>
          </w:p>
        </w:tc>
        <w:tc>
          <w:tcPr>
            <w:tcW w:w="839" w:type="pct"/>
            <w:tcBorders>
              <w:top w:val="nil"/>
              <w:left w:val="nil"/>
              <w:bottom w:val="nil"/>
              <w:right w:val="nil"/>
            </w:tcBorders>
          </w:tcPr>
          <w:p w14:paraId="0E519ABB"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6BA9BCF1"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69C24E8D" w14:textId="77777777" w:rsidR="00C45901" w:rsidRPr="00FD0D8E" w:rsidRDefault="00C45901" w:rsidP="00C74EB6">
            <w:pPr>
              <w:autoSpaceDE w:val="0"/>
              <w:autoSpaceDN w:val="0"/>
              <w:adjustRightInd w:val="0"/>
              <w:jc w:val="center"/>
              <w:rPr>
                <w:kern w:val="0"/>
                <w:szCs w:val="21"/>
              </w:rPr>
            </w:pPr>
            <w:r w:rsidRPr="00FD0D8E">
              <w:rPr>
                <w:kern w:val="0"/>
                <w:szCs w:val="21"/>
              </w:rPr>
              <w:t>0.102</w:t>
            </w:r>
            <w:r w:rsidRPr="00FD0D8E">
              <w:rPr>
                <w:kern w:val="0"/>
                <w:szCs w:val="21"/>
                <w:vertAlign w:val="superscript"/>
              </w:rPr>
              <w:t>***</w:t>
            </w:r>
          </w:p>
        </w:tc>
        <w:tc>
          <w:tcPr>
            <w:tcW w:w="839" w:type="pct"/>
            <w:tcBorders>
              <w:top w:val="nil"/>
              <w:left w:val="nil"/>
              <w:bottom w:val="nil"/>
              <w:right w:val="nil"/>
            </w:tcBorders>
          </w:tcPr>
          <w:p w14:paraId="5E4C71BB"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35B3EC19" w14:textId="77777777" w:rsidR="00C45901" w:rsidRPr="00FD0D8E" w:rsidRDefault="00C45901" w:rsidP="00C74EB6">
            <w:pPr>
              <w:autoSpaceDE w:val="0"/>
              <w:autoSpaceDN w:val="0"/>
              <w:adjustRightInd w:val="0"/>
              <w:jc w:val="center"/>
              <w:rPr>
                <w:kern w:val="0"/>
                <w:szCs w:val="21"/>
              </w:rPr>
            </w:pPr>
          </w:p>
        </w:tc>
      </w:tr>
      <w:tr w:rsidR="00C45901" w:rsidRPr="00FD0D8E" w14:paraId="7A2C8022" w14:textId="77777777" w:rsidTr="005A5608">
        <w:tc>
          <w:tcPr>
            <w:tcW w:w="804" w:type="pct"/>
            <w:tcBorders>
              <w:top w:val="nil"/>
              <w:left w:val="nil"/>
              <w:bottom w:val="nil"/>
              <w:right w:val="nil"/>
            </w:tcBorders>
          </w:tcPr>
          <w:p w14:paraId="7B27E951"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452EB9A4"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2C94B41A"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5FCE1605" w14:textId="77777777" w:rsidR="00C45901" w:rsidRPr="00FD0D8E" w:rsidRDefault="00C45901" w:rsidP="00C74EB6">
            <w:pPr>
              <w:autoSpaceDE w:val="0"/>
              <w:autoSpaceDN w:val="0"/>
              <w:adjustRightInd w:val="0"/>
              <w:jc w:val="center"/>
              <w:rPr>
                <w:kern w:val="0"/>
                <w:szCs w:val="21"/>
              </w:rPr>
            </w:pPr>
            <w:r w:rsidRPr="00FD0D8E">
              <w:rPr>
                <w:kern w:val="0"/>
                <w:szCs w:val="21"/>
              </w:rPr>
              <w:t>(0.027)</w:t>
            </w:r>
          </w:p>
        </w:tc>
        <w:tc>
          <w:tcPr>
            <w:tcW w:w="839" w:type="pct"/>
            <w:tcBorders>
              <w:top w:val="nil"/>
              <w:left w:val="nil"/>
              <w:bottom w:val="nil"/>
              <w:right w:val="nil"/>
            </w:tcBorders>
          </w:tcPr>
          <w:p w14:paraId="002FB016"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4082EF8B" w14:textId="77777777" w:rsidR="00C45901" w:rsidRPr="00FD0D8E" w:rsidRDefault="00C45901" w:rsidP="00C74EB6">
            <w:pPr>
              <w:autoSpaceDE w:val="0"/>
              <w:autoSpaceDN w:val="0"/>
              <w:adjustRightInd w:val="0"/>
              <w:jc w:val="center"/>
              <w:rPr>
                <w:kern w:val="0"/>
                <w:szCs w:val="21"/>
              </w:rPr>
            </w:pPr>
          </w:p>
        </w:tc>
      </w:tr>
      <w:tr w:rsidR="00C45901" w:rsidRPr="00FD0D8E" w14:paraId="3BE22829" w14:textId="77777777" w:rsidTr="005A5608">
        <w:tc>
          <w:tcPr>
            <w:tcW w:w="804" w:type="pct"/>
            <w:tcBorders>
              <w:top w:val="nil"/>
              <w:left w:val="nil"/>
              <w:bottom w:val="nil"/>
              <w:right w:val="nil"/>
            </w:tcBorders>
          </w:tcPr>
          <w:p w14:paraId="183CA25F" w14:textId="27DE5B70" w:rsidR="00C45901" w:rsidRPr="00FD0D8E" w:rsidRDefault="00D473F8" w:rsidP="00C74EB6">
            <w:pPr>
              <w:autoSpaceDE w:val="0"/>
              <w:autoSpaceDN w:val="0"/>
              <w:adjustRightInd w:val="0"/>
              <w:rPr>
                <w:kern w:val="0"/>
                <w:szCs w:val="21"/>
              </w:rPr>
            </w:pPr>
            <w:r w:rsidRPr="00FD0D8E">
              <w:rPr>
                <w:kern w:val="0"/>
                <w:szCs w:val="21"/>
              </w:rPr>
              <w:t>OC</w:t>
            </w:r>
            <w:r w:rsidR="00C45901" w:rsidRPr="00FD0D8E">
              <w:rPr>
                <w:kern w:val="0"/>
                <w:szCs w:val="21"/>
              </w:rPr>
              <w:t>4</w:t>
            </w:r>
          </w:p>
        </w:tc>
        <w:tc>
          <w:tcPr>
            <w:tcW w:w="839" w:type="pct"/>
            <w:tcBorders>
              <w:top w:val="nil"/>
              <w:left w:val="nil"/>
              <w:bottom w:val="nil"/>
              <w:right w:val="nil"/>
            </w:tcBorders>
          </w:tcPr>
          <w:p w14:paraId="692DE077"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200919C9"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182F04B8"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5ED4D25F" w14:textId="77777777" w:rsidR="00C45901" w:rsidRPr="00FD0D8E" w:rsidRDefault="00C45901" w:rsidP="00C74EB6">
            <w:pPr>
              <w:autoSpaceDE w:val="0"/>
              <w:autoSpaceDN w:val="0"/>
              <w:adjustRightInd w:val="0"/>
              <w:jc w:val="center"/>
              <w:rPr>
                <w:kern w:val="0"/>
                <w:szCs w:val="21"/>
              </w:rPr>
            </w:pPr>
            <w:r w:rsidRPr="00FD0D8E">
              <w:rPr>
                <w:kern w:val="0"/>
                <w:szCs w:val="21"/>
              </w:rPr>
              <w:t>0.101</w:t>
            </w:r>
            <w:r w:rsidRPr="00FD0D8E">
              <w:rPr>
                <w:kern w:val="0"/>
                <w:szCs w:val="21"/>
                <w:vertAlign w:val="superscript"/>
              </w:rPr>
              <w:t>***</w:t>
            </w:r>
          </w:p>
        </w:tc>
        <w:tc>
          <w:tcPr>
            <w:tcW w:w="839" w:type="pct"/>
            <w:tcBorders>
              <w:top w:val="nil"/>
              <w:left w:val="nil"/>
              <w:bottom w:val="nil"/>
              <w:right w:val="nil"/>
            </w:tcBorders>
          </w:tcPr>
          <w:p w14:paraId="259763F3" w14:textId="77777777" w:rsidR="00C45901" w:rsidRPr="00FD0D8E" w:rsidRDefault="00C45901" w:rsidP="00C74EB6">
            <w:pPr>
              <w:autoSpaceDE w:val="0"/>
              <w:autoSpaceDN w:val="0"/>
              <w:adjustRightInd w:val="0"/>
              <w:jc w:val="center"/>
              <w:rPr>
                <w:kern w:val="0"/>
                <w:szCs w:val="21"/>
              </w:rPr>
            </w:pPr>
          </w:p>
        </w:tc>
      </w:tr>
      <w:tr w:rsidR="00C45901" w:rsidRPr="00FD0D8E" w14:paraId="423F6352" w14:textId="77777777" w:rsidTr="005A5608">
        <w:tc>
          <w:tcPr>
            <w:tcW w:w="804" w:type="pct"/>
            <w:tcBorders>
              <w:top w:val="nil"/>
              <w:left w:val="nil"/>
              <w:bottom w:val="nil"/>
              <w:right w:val="nil"/>
            </w:tcBorders>
          </w:tcPr>
          <w:p w14:paraId="6E2B804A"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15E57718"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1F168FE3"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3F9ACBD6"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308A9873" w14:textId="77777777" w:rsidR="00C45901" w:rsidRPr="00FD0D8E" w:rsidRDefault="00C45901" w:rsidP="00C74EB6">
            <w:pPr>
              <w:autoSpaceDE w:val="0"/>
              <w:autoSpaceDN w:val="0"/>
              <w:adjustRightInd w:val="0"/>
              <w:jc w:val="center"/>
              <w:rPr>
                <w:kern w:val="0"/>
                <w:szCs w:val="21"/>
              </w:rPr>
            </w:pPr>
            <w:r w:rsidRPr="00FD0D8E">
              <w:rPr>
                <w:kern w:val="0"/>
                <w:szCs w:val="21"/>
              </w:rPr>
              <w:t>(0.025)</w:t>
            </w:r>
          </w:p>
        </w:tc>
        <w:tc>
          <w:tcPr>
            <w:tcW w:w="839" w:type="pct"/>
            <w:tcBorders>
              <w:top w:val="nil"/>
              <w:left w:val="nil"/>
              <w:bottom w:val="nil"/>
              <w:right w:val="nil"/>
            </w:tcBorders>
          </w:tcPr>
          <w:p w14:paraId="50074719" w14:textId="77777777" w:rsidR="00C45901" w:rsidRPr="00FD0D8E" w:rsidRDefault="00C45901" w:rsidP="00C74EB6">
            <w:pPr>
              <w:autoSpaceDE w:val="0"/>
              <w:autoSpaceDN w:val="0"/>
              <w:adjustRightInd w:val="0"/>
              <w:jc w:val="center"/>
              <w:rPr>
                <w:kern w:val="0"/>
                <w:szCs w:val="21"/>
              </w:rPr>
            </w:pPr>
          </w:p>
        </w:tc>
      </w:tr>
      <w:tr w:rsidR="00C45901" w:rsidRPr="00FD0D8E" w14:paraId="30C23646" w14:textId="77777777" w:rsidTr="005A5608">
        <w:tc>
          <w:tcPr>
            <w:tcW w:w="804" w:type="pct"/>
            <w:tcBorders>
              <w:top w:val="nil"/>
              <w:left w:val="nil"/>
              <w:bottom w:val="nil"/>
              <w:right w:val="nil"/>
            </w:tcBorders>
          </w:tcPr>
          <w:p w14:paraId="14D22772" w14:textId="315477AA" w:rsidR="00C45901" w:rsidRPr="00FD0D8E" w:rsidRDefault="00D473F8" w:rsidP="00C74EB6">
            <w:pPr>
              <w:autoSpaceDE w:val="0"/>
              <w:autoSpaceDN w:val="0"/>
              <w:adjustRightInd w:val="0"/>
              <w:rPr>
                <w:kern w:val="0"/>
                <w:szCs w:val="21"/>
              </w:rPr>
            </w:pPr>
            <w:r w:rsidRPr="00FD0D8E">
              <w:rPr>
                <w:kern w:val="0"/>
                <w:szCs w:val="21"/>
              </w:rPr>
              <w:t>OC</w:t>
            </w:r>
            <w:r w:rsidR="00C45901" w:rsidRPr="00FD0D8E">
              <w:rPr>
                <w:kern w:val="0"/>
                <w:szCs w:val="21"/>
              </w:rPr>
              <w:t>5</w:t>
            </w:r>
          </w:p>
        </w:tc>
        <w:tc>
          <w:tcPr>
            <w:tcW w:w="839" w:type="pct"/>
            <w:tcBorders>
              <w:top w:val="nil"/>
              <w:left w:val="nil"/>
              <w:bottom w:val="nil"/>
              <w:right w:val="nil"/>
            </w:tcBorders>
          </w:tcPr>
          <w:p w14:paraId="5D3FEE0B"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789C0D96"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15C21B6C"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52A2AF50"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462C68ED" w14:textId="77777777" w:rsidR="00C45901" w:rsidRPr="00FD0D8E" w:rsidRDefault="00C45901" w:rsidP="00C74EB6">
            <w:pPr>
              <w:autoSpaceDE w:val="0"/>
              <w:autoSpaceDN w:val="0"/>
              <w:adjustRightInd w:val="0"/>
              <w:jc w:val="center"/>
              <w:rPr>
                <w:kern w:val="0"/>
                <w:szCs w:val="21"/>
              </w:rPr>
            </w:pPr>
            <w:r w:rsidRPr="00FD0D8E">
              <w:rPr>
                <w:kern w:val="0"/>
                <w:szCs w:val="21"/>
              </w:rPr>
              <w:t>0.102</w:t>
            </w:r>
            <w:r w:rsidRPr="00FD0D8E">
              <w:rPr>
                <w:kern w:val="0"/>
                <w:szCs w:val="21"/>
                <w:vertAlign w:val="superscript"/>
              </w:rPr>
              <w:t>***</w:t>
            </w:r>
          </w:p>
        </w:tc>
      </w:tr>
      <w:tr w:rsidR="00C45901" w:rsidRPr="00FD0D8E" w14:paraId="16EB9B68" w14:textId="77777777" w:rsidTr="005A5608">
        <w:tc>
          <w:tcPr>
            <w:tcW w:w="804" w:type="pct"/>
            <w:tcBorders>
              <w:top w:val="nil"/>
              <w:left w:val="nil"/>
              <w:bottom w:val="nil"/>
              <w:right w:val="nil"/>
            </w:tcBorders>
          </w:tcPr>
          <w:p w14:paraId="25A8DDAB"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5A4CB27A"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4B67C57E"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67103E13"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752A4DCB" w14:textId="77777777" w:rsidR="00C45901" w:rsidRPr="00FD0D8E" w:rsidRDefault="00C45901" w:rsidP="00C74EB6">
            <w:pPr>
              <w:autoSpaceDE w:val="0"/>
              <w:autoSpaceDN w:val="0"/>
              <w:adjustRightInd w:val="0"/>
              <w:jc w:val="center"/>
              <w:rPr>
                <w:kern w:val="0"/>
                <w:szCs w:val="21"/>
              </w:rPr>
            </w:pPr>
          </w:p>
        </w:tc>
        <w:tc>
          <w:tcPr>
            <w:tcW w:w="839" w:type="pct"/>
            <w:tcBorders>
              <w:top w:val="nil"/>
              <w:left w:val="nil"/>
              <w:bottom w:val="nil"/>
              <w:right w:val="nil"/>
            </w:tcBorders>
          </w:tcPr>
          <w:p w14:paraId="72F75E5A" w14:textId="77777777" w:rsidR="00C45901" w:rsidRPr="00FD0D8E" w:rsidRDefault="00C45901" w:rsidP="00C74EB6">
            <w:pPr>
              <w:autoSpaceDE w:val="0"/>
              <w:autoSpaceDN w:val="0"/>
              <w:adjustRightInd w:val="0"/>
              <w:jc w:val="center"/>
              <w:rPr>
                <w:kern w:val="0"/>
                <w:szCs w:val="21"/>
              </w:rPr>
            </w:pPr>
            <w:r w:rsidRPr="00FD0D8E">
              <w:rPr>
                <w:kern w:val="0"/>
                <w:szCs w:val="21"/>
              </w:rPr>
              <w:t>(0.027)</w:t>
            </w:r>
          </w:p>
        </w:tc>
      </w:tr>
      <w:tr w:rsidR="00C45901" w:rsidRPr="00FD0D8E" w14:paraId="64819810" w14:textId="77777777" w:rsidTr="005A5608">
        <w:tc>
          <w:tcPr>
            <w:tcW w:w="804" w:type="pct"/>
            <w:tcBorders>
              <w:top w:val="nil"/>
              <w:left w:val="nil"/>
              <w:bottom w:val="nil"/>
              <w:right w:val="nil"/>
            </w:tcBorders>
          </w:tcPr>
          <w:p w14:paraId="67B5B03B" w14:textId="77777777" w:rsidR="00C45901" w:rsidRPr="00FD0D8E" w:rsidRDefault="00C45901" w:rsidP="00C74EB6">
            <w:pPr>
              <w:autoSpaceDE w:val="0"/>
              <w:autoSpaceDN w:val="0"/>
              <w:adjustRightInd w:val="0"/>
              <w:rPr>
                <w:kern w:val="0"/>
                <w:szCs w:val="21"/>
              </w:rPr>
            </w:pPr>
            <w:r w:rsidRPr="00FD0D8E">
              <w:rPr>
                <w:kern w:val="0"/>
                <w:szCs w:val="21"/>
              </w:rPr>
              <w:t>BH</w:t>
            </w:r>
          </w:p>
        </w:tc>
        <w:tc>
          <w:tcPr>
            <w:tcW w:w="839" w:type="pct"/>
            <w:tcBorders>
              <w:top w:val="nil"/>
              <w:left w:val="nil"/>
              <w:bottom w:val="nil"/>
              <w:right w:val="nil"/>
            </w:tcBorders>
          </w:tcPr>
          <w:p w14:paraId="4036C444" w14:textId="77777777" w:rsidR="00C45901" w:rsidRPr="00FD0D8E" w:rsidRDefault="00C45901"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c>
          <w:tcPr>
            <w:tcW w:w="839" w:type="pct"/>
            <w:tcBorders>
              <w:top w:val="nil"/>
              <w:left w:val="nil"/>
              <w:bottom w:val="nil"/>
              <w:right w:val="nil"/>
            </w:tcBorders>
          </w:tcPr>
          <w:p w14:paraId="10142FB6" w14:textId="77777777" w:rsidR="00C45901" w:rsidRPr="00FD0D8E" w:rsidRDefault="00C45901"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c>
          <w:tcPr>
            <w:tcW w:w="839" w:type="pct"/>
            <w:tcBorders>
              <w:top w:val="nil"/>
              <w:left w:val="nil"/>
              <w:bottom w:val="nil"/>
              <w:right w:val="nil"/>
            </w:tcBorders>
          </w:tcPr>
          <w:p w14:paraId="717705C6" w14:textId="77777777" w:rsidR="00C45901" w:rsidRPr="00FD0D8E" w:rsidRDefault="00C45901"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c>
          <w:tcPr>
            <w:tcW w:w="839" w:type="pct"/>
            <w:tcBorders>
              <w:top w:val="nil"/>
              <w:left w:val="nil"/>
              <w:bottom w:val="nil"/>
              <w:right w:val="nil"/>
            </w:tcBorders>
          </w:tcPr>
          <w:p w14:paraId="7E2560A8" w14:textId="77777777" w:rsidR="00C45901" w:rsidRPr="00FD0D8E" w:rsidRDefault="00C45901"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c>
          <w:tcPr>
            <w:tcW w:w="839" w:type="pct"/>
            <w:tcBorders>
              <w:top w:val="nil"/>
              <w:left w:val="nil"/>
              <w:bottom w:val="nil"/>
              <w:right w:val="nil"/>
            </w:tcBorders>
          </w:tcPr>
          <w:p w14:paraId="7AFA043D" w14:textId="77777777" w:rsidR="00C45901" w:rsidRPr="00FD0D8E" w:rsidRDefault="00C45901"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r>
      <w:tr w:rsidR="00C45901" w:rsidRPr="00FD0D8E" w14:paraId="78EC6C7E" w14:textId="77777777" w:rsidTr="005A5608">
        <w:tc>
          <w:tcPr>
            <w:tcW w:w="804" w:type="pct"/>
            <w:tcBorders>
              <w:top w:val="nil"/>
              <w:left w:val="nil"/>
              <w:bottom w:val="nil"/>
              <w:right w:val="nil"/>
            </w:tcBorders>
          </w:tcPr>
          <w:p w14:paraId="5AB37A0C"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325E0F34"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5D7A067F"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2D58105A"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26781AD9"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68AABB9D"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r>
      <w:tr w:rsidR="00C45901" w:rsidRPr="00FD0D8E" w14:paraId="035CE369" w14:textId="77777777" w:rsidTr="005A5608">
        <w:tc>
          <w:tcPr>
            <w:tcW w:w="804" w:type="pct"/>
            <w:tcBorders>
              <w:top w:val="nil"/>
              <w:left w:val="nil"/>
              <w:bottom w:val="nil"/>
              <w:right w:val="nil"/>
            </w:tcBorders>
          </w:tcPr>
          <w:p w14:paraId="210B24A6" w14:textId="77777777" w:rsidR="00C45901" w:rsidRPr="00FD0D8E" w:rsidRDefault="00C45901" w:rsidP="00C74EB6">
            <w:pPr>
              <w:autoSpaceDE w:val="0"/>
              <w:autoSpaceDN w:val="0"/>
              <w:adjustRightInd w:val="0"/>
              <w:rPr>
                <w:kern w:val="0"/>
                <w:szCs w:val="21"/>
              </w:rPr>
            </w:pPr>
            <w:r w:rsidRPr="00FD0D8E">
              <w:rPr>
                <w:kern w:val="0"/>
                <w:szCs w:val="21"/>
              </w:rPr>
              <w:t>Big4</w:t>
            </w:r>
          </w:p>
        </w:tc>
        <w:tc>
          <w:tcPr>
            <w:tcW w:w="839" w:type="pct"/>
            <w:tcBorders>
              <w:top w:val="nil"/>
              <w:left w:val="nil"/>
              <w:bottom w:val="nil"/>
              <w:right w:val="nil"/>
            </w:tcBorders>
          </w:tcPr>
          <w:p w14:paraId="4389A5FB" w14:textId="77777777" w:rsidR="00C45901" w:rsidRPr="00FD0D8E" w:rsidRDefault="00C45901"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c>
          <w:tcPr>
            <w:tcW w:w="839" w:type="pct"/>
            <w:tcBorders>
              <w:top w:val="nil"/>
              <w:left w:val="nil"/>
              <w:bottom w:val="nil"/>
              <w:right w:val="nil"/>
            </w:tcBorders>
          </w:tcPr>
          <w:p w14:paraId="12B1786F" w14:textId="77777777" w:rsidR="00C45901" w:rsidRPr="00FD0D8E" w:rsidRDefault="00C45901"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c>
          <w:tcPr>
            <w:tcW w:w="839" w:type="pct"/>
            <w:tcBorders>
              <w:top w:val="nil"/>
              <w:left w:val="nil"/>
              <w:bottom w:val="nil"/>
              <w:right w:val="nil"/>
            </w:tcBorders>
          </w:tcPr>
          <w:p w14:paraId="3D660388" w14:textId="77777777" w:rsidR="00C45901" w:rsidRPr="00FD0D8E" w:rsidRDefault="00C45901"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c>
          <w:tcPr>
            <w:tcW w:w="839" w:type="pct"/>
            <w:tcBorders>
              <w:top w:val="nil"/>
              <w:left w:val="nil"/>
              <w:bottom w:val="nil"/>
              <w:right w:val="nil"/>
            </w:tcBorders>
          </w:tcPr>
          <w:p w14:paraId="0DA23DA5" w14:textId="77777777" w:rsidR="00C45901" w:rsidRPr="00FD0D8E" w:rsidRDefault="00C45901"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c>
          <w:tcPr>
            <w:tcW w:w="839" w:type="pct"/>
            <w:tcBorders>
              <w:top w:val="nil"/>
              <w:left w:val="nil"/>
              <w:bottom w:val="nil"/>
              <w:right w:val="nil"/>
            </w:tcBorders>
          </w:tcPr>
          <w:p w14:paraId="24239020" w14:textId="77777777" w:rsidR="00C45901" w:rsidRPr="00FD0D8E" w:rsidRDefault="00C45901" w:rsidP="00C74EB6">
            <w:pPr>
              <w:autoSpaceDE w:val="0"/>
              <w:autoSpaceDN w:val="0"/>
              <w:adjustRightInd w:val="0"/>
              <w:jc w:val="center"/>
              <w:rPr>
                <w:kern w:val="0"/>
                <w:szCs w:val="21"/>
              </w:rPr>
            </w:pPr>
            <w:r w:rsidRPr="00FD0D8E">
              <w:rPr>
                <w:kern w:val="0"/>
                <w:szCs w:val="21"/>
              </w:rPr>
              <w:t>0.056</w:t>
            </w:r>
            <w:r w:rsidRPr="00FD0D8E">
              <w:rPr>
                <w:kern w:val="0"/>
                <w:szCs w:val="21"/>
                <w:vertAlign w:val="superscript"/>
              </w:rPr>
              <w:t>***</w:t>
            </w:r>
          </w:p>
        </w:tc>
      </w:tr>
      <w:tr w:rsidR="00C45901" w:rsidRPr="00FD0D8E" w14:paraId="710E3EB2" w14:textId="77777777" w:rsidTr="005A5608">
        <w:tc>
          <w:tcPr>
            <w:tcW w:w="804" w:type="pct"/>
            <w:tcBorders>
              <w:top w:val="nil"/>
              <w:left w:val="nil"/>
              <w:bottom w:val="nil"/>
              <w:right w:val="nil"/>
            </w:tcBorders>
          </w:tcPr>
          <w:p w14:paraId="1D8CE713"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418972A8"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c>
          <w:tcPr>
            <w:tcW w:w="839" w:type="pct"/>
            <w:tcBorders>
              <w:top w:val="nil"/>
              <w:left w:val="nil"/>
              <w:bottom w:val="nil"/>
              <w:right w:val="nil"/>
            </w:tcBorders>
          </w:tcPr>
          <w:p w14:paraId="51007E0F" w14:textId="77777777" w:rsidR="00C45901" w:rsidRPr="00FD0D8E" w:rsidRDefault="00C45901" w:rsidP="00C74EB6">
            <w:pPr>
              <w:autoSpaceDE w:val="0"/>
              <w:autoSpaceDN w:val="0"/>
              <w:adjustRightInd w:val="0"/>
              <w:jc w:val="center"/>
              <w:rPr>
                <w:kern w:val="0"/>
                <w:szCs w:val="21"/>
              </w:rPr>
            </w:pPr>
            <w:r w:rsidRPr="00FD0D8E">
              <w:rPr>
                <w:kern w:val="0"/>
                <w:szCs w:val="21"/>
              </w:rPr>
              <w:t>(0.004)</w:t>
            </w:r>
          </w:p>
        </w:tc>
        <w:tc>
          <w:tcPr>
            <w:tcW w:w="839" w:type="pct"/>
            <w:tcBorders>
              <w:top w:val="nil"/>
              <w:left w:val="nil"/>
              <w:bottom w:val="nil"/>
              <w:right w:val="nil"/>
            </w:tcBorders>
          </w:tcPr>
          <w:p w14:paraId="1AF0D5ED"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c>
          <w:tcPr>
            <w:tcW w:w="839" w:type="pct"/>
            <w:tcBorders>
              <w:top w:val="nil"/>
              <w:left w:val="nil"/>
              <w:bottom w:val="nil"/>
              <w:right w:val="nil"/>
            </w:tcBorders>
          </w:tcPr>
          <w:p w14:paraId="244B9BB9"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c>
          <w:tcPr>
            <w:tcW w:w="839" w:type="pct"/>
            <w:tcBorders>
              <w:top w:val="nil"/>
              <w:left w:val="nil"/>
              <w:bottom w:val="nil"/>
              <w:right w:val="nil"/>
            </w:tcBorders>
          </w:tcPr>
          <w:p w14:paraId="03A1CBA6"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r>
      <w:tr w:rsidR="00C45901" w:rsidRPr="00FD0D8E" w14:paraId="740C2E3B" w14:textId="77777777" w:rsidTr="005A5608">
        <w:tc>
          <w:tcPr>
            <w:tcW w:w="804" w:type="pct"/>
            <w:tcBorders>
              <w:top w:val="nil"/>
              <w:left w:val="nil"/>
              <w:bottom w:val="nil"/>
              <w:right w:val="nil"/>
            </w:tcBorders>
          </w:tcPr>
          <w:p w14:paraId="4A8836FD" w14:textId="77777777" w:rsidR="00C45901" w:rsidRPr="00FD0D8E" w:rsidRDefault="00C45901" w:rsidP="00C74EB6">
            <w:pPr>
              <w:autoSpaceDE w:val="0"/>
              <w:autoSpaceDN w:val="0"/>
              <w:adjustRightInd w:val="0"/>
              <w:rPr>
                <w:kern w:val="0"/>
                <w:szCs w:val="21"/>
              </w:rPr>
            </w:pPr>
            <w:r w:rsidRPr="00FD0D8E">
              <w:rPr>
                <w:kern w:val="0"/>
                <w:szCs w:val="21"/>
              </w:rPr>
              <w:t>Lev</w:t>
            </w:r>
          </w:p>
        </w:tc>
        <w:tc>
          <w:tcPr>
            <w:tcW w:w="839" w:type="pct"/>
            <w:tcBorders>
              <w:top w:val="nil"/>
              <w:left w:val="nil"/>
              <w:bottom w:val="nil"/>
              <w:right w:val="nil"/>
            </w:tcBorders>
          </w:tcPr>
          <w:p w14:paraId="66B2595B" w14:textId="77777777" w:rsidR="00C45901" w:rsidRPr="00FD0D8E" w:rsidRDefault="00C45901" w:rsidP="00C74EB6">
            <w:pPr>
              <w:autoSpaceDE w:val="0"/>
              <w:autoSpaceDN w:val="0"/>
              <w:adjustRightInd w:val="0"/>
              <w:jc w:val="center"/>
              <w:rPr>
                <w:kern w:val="0"/>
                <w:szCs w:val="21"/>
              </w:rPr>
            </w:pPr>
            <w:r w:rsidRPr="00FD0D8E">
              <w:rPr>
                <w:kern w:val="0"/>
                <w:szCs w:val="21"/>
              </w:rPr>
              <w:t>0.046</w:t>
            </w:r>
            <w:r w:rsidRPr="00FD0D8E">
              <w:rPr>
                <w:kern w:val="0"/>
                <w:szCs w:val="21"/>
                <w:vertAlign w:val="superscript"/>
              </w:rPr>
              <w:t>***</w:t>
            </w:r>
          </w:p>
        </w:tc>
        <w:tc>
          <w:tcPr>
            <w:tcW w:w="839" w:type="pct"/>
            <w:tcBorders>
              <w:top w:val="nil"/>
              <w:left w:val="nil"/>
              <w:bottom w:val="nil"/>
              <w:right w:val="nil"/>
            </w:tcBorders>
          </w:tcPr>
          <w:p w14:paraId="631AE2E8" w14:textId="77777777" w:rsidR="00C45901" w:rsidRPr="00FD0D8E" w:rsidRDefault="00C45901" w:rsidP="00C74EB6">
            <w:pPr>
              <w:autoSpaceDE w:val="0"/>
              <w:autoSpaceDN w:val="0"/>
              <w:adjustRightInd w:val="0"/>
              <w:jc w:val="center"/>
              <w:rPr>
                <w:kern w:val="0"/>
                <w:szCs w:val="21"/>
              </w:rPr>
            </w:pPr>
            <w:r w:rsidRPr="00FD0D8E">
              <w:rPr>
                <w:kern w:val="0"/>
                <w:szCs w:val="21"/>
              </w:rPr>
              <w:t>0.048</w:t>
            </w:r>
            <w:r w:rsidRPr="00FD0D8E">
              <w:rPr>
                <w:kern w:val="0"/>
                <w:szCs w:val="21"/>
                <w:vertAlign w:val="superscript"/>
              </w:rPr>
              <w:t>***</w:t>
            </w:r>
          </w:p>
        </w:tc>
        <w:tc>
          <w:tcPr>
            <w:tcW w:w="839" w:type="pct"/>
            <w:tcBorders>
              <w:top w:val="nil"/>
              <w:left w:val="nil"/>
              <w:bottom w:val="nil"/>
              <w:right w:val="nil"/>
            </w:tcBorders>
          </w:tcPr>
          <w:p w14:paraId="197FB8DF" w14:textId="77777777" w:rsidR="00C45901" w:rsidRPr="00FD0D8E" w:rsidRDefault="00C45901" w:rsidP="00C74EB6">
            <w:pPr>
              <w:autoSpaceDE w:val="0"/>
              <w:autoSpaceDN w:val="0"/>
              <w:adjustRightInd w:val="0"/>
              <w:jc w:val="center"/>
              <w:rPr>
                <w:kern w:val="0"/>
                <w:szCs w:val="21"/>
              </w:rPr>
            </w:pPr>
            <w:r w:rsidRPr="00FD0D8E">
              <w:rPr>
                <w:kern w:val="0"/>
                <w:szCs w:val="21"/>
              </w:rPr>
              <w:t>0.045</w:t>
            </w:r>
            <w:r w:rsidRPr="00FD0D8E">
              <w:rPr>
                <w:kern w:val="0"/>
                <w:szCs w:val="21"/>
                <w:vertAlign w:val="superscript"/>
              </w:rPr>
              <w:t>***</w:t>
            </w:r>
          </w:p>
        </w:tc>
        <w:tc>
          <w:tcPr>
            <w:tcW w:w="839" w:type="pct"/>
            <w:tcBorders>
              <w:top w:val="nil"/>
              <w:left w:val="nil"/>
              <w:bottom w:val="nil"/>
              <w:right w:val="nil"/>
            </w:tcBorders>
          </w:tcPr>
          <w:p w14:paraId="53E40DA4" w14:textId="77777777" w:rsidR="00C45901" w:rsidRPr="00FD0D8E" w:rsidRDefault="00C45901" w:rsidP="00C74EB6">
            <w:pPr>
              <w:autoSpaceDE w:val="0"/>
              <w:autoSpaceDN w:val="0"/>
              <w:adjustRightInd w:val="0"/>
              <w:jc w:val="center"/>
              <w:rPr>
                <w:kern w:val="0"/>
                <w:szCs w:val="21"/>
              </w:rPr>
            </w:pPr>
            <w:r w:rsidRPr="00FD0D8E">
              <w:rPr>
                <w:kern w:val="0"/>
                <w:szCs w:val="21"/>
              </w:rPr>
              <w:t>0.046</w:t>
            </w:r>
            <w:r w:rsidRPr="00FD0D8E">
              <w:rPr>
                <w:kern w:val="0"/>
                <w:szCs w:val="21"/>
                <w:vertAlign w:val="superscript"/>
              </w:rPr>
              <w:t>***</w:t>
            </w:r>
          </w:p>
        </w:tc>
        <w:tc>
          <w:tcPr>
            <w:tcW w:w="839" w:type="pct"/>
            <w:tcBorders>
              <w:top w:val="nil"/>
              <w:left w:val="nil"/>
              <w:bottom w:val="nil"/>
              <w:right w:val="nil"/>
            </w:tcBorders>
          </w:tcPr>
          <w:p w14:paraId="6EEC231E" w14:textId="77777777" w:rsidR="00C45901" w:rsidRPr="00FD0D8E" w:rsidRDefault="00C45901" w:rsidP="00C74EB6">
            <w:pPr>
              <w:autoSpaceDE w:val="0"/>
              <w:autoSpaceDN w:val="0"/>
              <w:adjustRightInd w:val="0"/>
              <w:jc w:val="center"/>
              <w:rPr>
                <w:kern w:val="0"/>
                <w:szCs w:val="21"/>
              </w:rPr>
            </w:pPr>
            <w:r w:rsidRPr="00FD0D8E">
              <w:rPr>
                <w:kern w:val="0"/>
                <w:szCs w:val="21"/>
              </w:rPr>
              <w:t>0.046</w:t>
            </w:r>
            <w:r w:rsidRPr="00FD0D8E">
              <w:rPr>
                <w:kern w:val="0"/>
                <w:szCs w:val="21"/>
                <w:vertAlign w:val="superscript"/>
              </w:rPr>
              <w:t>***</w:t>
            </w:r>
          </w:p>
        </w:tc>
      </w:tr>
      <w:tr w:rsidR="00C45901" w:rsidRPr="00FD0D8E" w14:paraId="3E0AE3B9" w14:textId="77777777" w:rsidTr="005A5608">
        <w:tc>
          <w:tcPr>
            <w:tcW w:w="804" w:type="pct"/>
            <w:tcBorders>
              <w:top w:val="nil"/>
              <w:left w:val="nil"/>
              <w:bottom w:val="nil"/>
              <w:right w:val="nil"/>
            </w:tcBorders>
          </w:tcPr>
          <w:p w14:paraId="125682D9"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1BE68A96" w14:textId="77777777" w:rsidR="00C45901" w:rsidRPr="00FD0D8E" w:rsidRDefault="00C45901" w:rsidP="00C74EB6">
            <w:pPr>
              <w:autoSpaceDE w:val="0"/>
              <w:autoSpaceDN w:val="0"/>
              <w:adjustRightInd w:val="0"/>
              <w:jc w:val="center"/>
              <w:rPr>
                <w:kern w:val="0"/>
                <w:szCs w:val="21"/>
              </w:rPr>
            </w:pPr>
            <w:r w:rsidRPr="00FD0D8E">
              <w:rPr>
                <w:kern w:val="0"/>
                <w:szCs w:val="21"/>
              </w:rPr>
              <w:t>(0.016)</w:t>
            </w:r>
          </w:p>
        </w:tc>
        <w:tc>
          <w:tcPr>
            <w:tcW w:w="839" w:type="pct"/>
            <w:tcBorders>
              <w:top w:val="nil"/>
              <w:left w:val="nil"/>
              <w:bottom w:val="nil"/>
              <w:right w:val="nil"/>
            </w:tcBorders>
          </w:tcPr>
          <w:p w14:paraId="765F6877" w14:textId="77777777" w:rsidR="00C45901" w:rsidRPr="00FD0D8E" w:rsidRDefault="00C45901" w:rsidP="00C74EB6">
            <w:pPr>
              <w:autoSpaceDE w:val="0"/>
              <w:autoSpaceDN w:val="0"/>
              <w:adjustRightInd w:val="0"/>
              <w:jc w:val="center"/>
              <w:rPr>
                <w:kern w:val="0"/>
                <w:szCs w:val="21"/>
              </w:rPr>
            </w:pPr>
            <w:r w:rsidRPr="00FD0D8E">
              <w:rPr>
                <w:kern w:val="0"/>
                <w:szCs w:val="21"/>
              </w:rPr>
              <w:t>(0.014)</w:t>
            </w:r>
          </w:p>
        </w:tc>
        <w:tc>
          <w:tcPr>
            <w:tcW w:w="839" w:type="pct"/>
            <w:tcBorders>
              <w:top w:val="nil"/>
              <w:left w:val="nil"/>
              <w:bottom w:val="nil"/>
              <w:right w:val="nil"/>
            </w:tcBorders>
          </w:tcPr>
          <w:p w14:paraId="4537A47A" w14:textId="77777777" w:rsidR="00C45901" w:rsidRPr="00FD0D8E" w:rsidRDefault="00C45901" w:rsidP="00C74EB6">
            <w:pPr>
              <w:autoSpaceDE w:val="0"/>
              <w:autoSpaceDN w:val="0"/>
              <w:adjustRightInd w:val="0"/>
              <w:jc w:val="center"/>
              <w:rPr>
                <w:kern w:val="0"/>
                <w:szCs w:val="21"/>
              </w:rPr>
            </w:pPr>
            <w:r w:rsidRPr="00FD0D8E">
              <w:rPr>
                <w:kern w:val="0"/>
                <w:szCs w:val="21"/>
              </w:rPr>
              <w:t>(0.016)</w:t>
            </w:r>
          </w:p>
        </w:tc>
        <w:tc>
          <w:tcPr>
            <w:tcW w:w="839" w:type="pct"/>
            <w:tcBorders>
              <w:top w:val="nil"/>
              <w:left w:val="nil"/>
              <w:bottom w:val="nil"/>
              <w:right w:val="nil"/>
            </w:tcBorders>
          </w:tcPr>
          <w:p w14:paraId="02ADB0EB" w14:textId="77777777" w:rsidR="00C45901" w:rsidRPr="00FD0D8E" w:rsidRDefault="00C45901" w:rsidP="00C74EB6">
            <w:pPr>
              <w:autoSpaceDE w:val="0"/>
              <w:autoSpaceDN w:val="0"/>
              <w:adjustRightInd w:val="0"/>
              <w:jc w:val="center"/>
              <w:rPr>
                <w:kern w:val="0"/>
                <w:szCs w:val="21"/>
              </w:rPr>
            </w:pPr>
            <w:r w:rsidRPr="00FD0D8E">
              <w:rPr>
                <w:kern w:val="0"/>
                <w:szCs w:val="21"/>
              </w:rPr>
              <w:t>(0.015)</w:t>
            </w:r>
          </w:p>
        </w:tc>
        <w:tc>
          <w:tcPr>
            <w:tcW w:w="839" w:type="pct"/>
            <w:tcBorders>
              <w:top w:val="nil"/>
              <w:left w:val="nil"/>
              <w:bottom w:val="nil"/>
              <w:right w:val="nil"/>
            </w:tcBorders>
          </w:tcPr>
          <w:p w14:paraId="5C68DD9E" w14:textId="77777777" w:rsidR="00C45901" w:rsidRPr="00FD0D8E" w:rsidRDefault="00C45901" w:rsidP="00C74EB6">
            <w:pPr>
              <w:autoSpaceDE w:val="0"/>
              <w:autoSpaceDN w:val="0"/>
              <w:adjustRightInd w:val="0"/>
              <w:jc w:val="center"/>
              <w:rPr>
                <w:kern w:val="0"/>
                <w:szCs w:val="21"/>
              </w:rPr>
            </w:pPr>
            <w:r w:rsidRPr="00FD0D8E">
              <w:rPr>
                <w:kern w:val="0"/>
                <w:szCs w:val="21"/>
              </w:rPr>
              <w:t>(0.016)</w:t>
            </w:r>
          </w:p>
        </w:tc>
      </w:tr>
      <w:tr w:rsidR="00C45901" w:rsidRPr="00FD0D8E" w14:paraId="006424D7" w14:textId="77777777" w:rsidTr="005A5608">
        <w:tc>
          <w:tcPr>
            <w:tcW w:w="804" w:type="pct"/>
            <w:tcBorders>
              <w:top w:val="nil"/>
              <w:left w:val="nil"/>
              <w:bottom w:val="nil"/>
              <w:right w:val="nil"/>
            </w:tcBorders>
          </w:tcPr>
          <w:p w14:paraId="42CEFB36" w14:textId="77777777" w:rsidR="00C45901" w:rsidRPr="00FD0D8E" w:rsidRDefault="00C45901" w:rsidP="00C74EB6">
            <w:pPr>
              <w:autoSpaceDE w:val="0"/>
              <w:autoSpaceDN w:val="0"/>
              <w:adjustRightInd w:val="0"/>
              <w:rPr>
                <w:kern w:val="0"/>
                <w:szCs w:val="21"/>
              </w:rPr>
            </w:pPr>
            <w:r w:rsidRPr="00FD0D8E">
              <w:rPr>
                <w:kern w:val="0"/>
                <w:szCs w:val="21"/>
              </w:rPr>
              <w:t>FTA</w:t>
            </w:r>
          </w:p>
        </w:tc>
        <w:tc>
          <w:tcPr>
            <w:tcW w:w="839" w:type="pct"/>
            <w:tcBorders>
              <w:top w:val="nil"/>
              <w:left w:val="nil"/>
              <w:bottom w:val="nil"/>
              <w:right w:val="nil"/>
            </w:tcBorders>
          </w:tcPr>
          <w:p w14:paraId="198819A4" w14:textId="77777777" w:rsidR="00C45901" w:rsidRPr="00FD0D8E" w:rsidRDefault="00C45901"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c>
          <w:tcPr>
            <w:tcW w:w="839" w:type="pct"/>
            <w:tcBorders>
              <w:top w:val="nil"/>
              <w:left w:val="nil"/>
              <w:bottom w:val="nil"/>
              <w:right w:val="nil"/>
            </w:tcBorders>
          </w:tcPr>
          <w:p w14:paraId="154C65F3" w14:textId="77777777" w:rsidR="00C45901" w:rsidRPr="00FD0D8E" w:rsidRDefault="00C45901"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c>
          <w:tcPr>
            <w:tcW w:w="839" w:type="pct"/>
            <w:tcBorders>
              <w:top w:val="nil"/>
              <w:left w:val="nil"/>
              <w:bottom w:val="nil"/>
              <w:right w:val="nil"/>
            </w:tcBorders>
          </w:tcPr>
          <w:p w14:paraId="2EEFC5B0" w14:textId="77777777" w:rsidR="00C45901" w:rsidRPr="00FD0D8E" w:rsidRDefault="00C45901"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c>
          <w:tcPr>
            <w:tcW w:w="839" w:type="pct"/>
            <w:tcBorders>
              <w:top w:val="nil"/>
              <w:left w:val="nil"/>
              <w:bottom w:val="nil"/>
              <w:right w:val="nil"/>
            </w:tcBorders>
          </w:tcPr>
          <w:p w14:paraId="3F7FC36F" w14:textId="77777777" w:rsidR="00C45901" w:rsidRPr="00FD0D8E" w:rsidRDefault="00C45901" w:rsidP="00C74EB6">
            <w:pPr>
              <w:autoSpaceDE w:val="0"/>
              <w:autoSpaceDN w:val="0"/>
              <w:adjustRightInd w:val="0"/>
              <w:jc w:val="center"/>
              <w:rPr>
                <w:kern w:val="0"/>
                <w:szCs w:val="21"/>
              </w:rPr>
            </w:pPr>
            <w:r w:rsidRPr="00FD0D8E">
              <w:rPr>
                <w:kern w:val="0"/>
                <w:szCs w:val="21"/>
              </w:rPr>
              <w:t>-0.033</w:t>
            </w:r>
            <w:r w:rsidRPr="00FD0D8E">
              <w:rPr>
                <w:kern w:val="0"/>
                <w:szCs w:val="21"/>
                <w:vertAlign w:val="superscript"/>
              </w:rPr>
              <w:t>***</w:t>
            </w:r>
          </w:p>
        </w:tc>
        <w:tc>
          <w:tcPr>
            <w:tcW w:w="839" w:type="pct"/>
            <w:tcBorders>
              <w:top w:val="nil"/>
              <w:left w:val="nil"/>
              <w:bottom w:val="nil"/>
              <w:right w:val="nil"/>
            </w:tcBorders>
          </w:tcPr>
          <w:p w14:paraId="237952A4" w14:textId="77777777" w:rsidR="00C45901" w:rsidRPr="00FD0D8E" w:rsidRDefault="00C45901"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r>
      <w:tr w:rsidR="00C45901" w:rsidRPr="00FD0D8E" w14:paraId="6934C019" w14:textId="77777777" w:rsidTr="005A5608">
        <w:tc>
          <w:tcPr>
            <w:tcW w:w="804" w:type="pct"/>
            <w:tcBorders>
              <w:top w:val="nil"/>
              <w:left w:val="nil"/>
              <w:bottom w:val="nil"/>
              <w:right w:val="nil"/>
            </w:tcBorders>
          </w:tcPr>
          <w:p w14:paraId="1CE5F59E"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3D0C7A01"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c>
          <w:tcPr>
            <w:tcW w:w="839" w:type="pct"/>
            <w:tcBorders>
              <w:top w:val="nil"/>
              <w:left w:val="nil"/>
              <w:bottom w:val="nil"/>
              <w:right w:val="nil"/>
            </w:tcBorders>
          </w:tcPr>
          <w:p w14:paraId="22B144CB"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c>
          <w:tcPr>
            <w:tcW w:w="839" w:type="pct"/>
            <w:tcBorders>
              <w:top w:val="nil"/>
              <w:left w:val="nil"/>
              <w:bottom w:val="nil"/>
              <w:right w:val="nil"/>
            </w:tcBorders>
          </w:tcPr>
          <w:p w14:paraId="05A8DDB7"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3A4E7146"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c>
          <w:tcPr>
            <w:tcW w:w="839" w:type="pct"/>
            <w:tcBorders>
              <w:top w:val="nil"/>
              <w:left w:val="nil"/>
              <w:bottom w:val="nil"/>
              <w:right w:val="nil"/>
            </w:tcBorders>
          </w:tcPr>
          <w:p w14:paraId="6E5C6251"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r>
      <w:tr w:rsidR="00C45901" w:rsidRPr="00FD0D8E" w14:paraId="084DB514" w14:textId="77777777" w:rsidTr="005A5608">
        <w:tc>
          <w:tcPr>
            <w:tcW w:w="804" w:type="pct"/>
            <w:tcBorders>
              <w:top w:val="nil"/>
              <w:left w:val="nil"/>
              <w:bottom w:val="nil"/>
              <w:right w:val="nil"/>
            </w:tcBorders>
          </w:tcPr>
          <w:p w14:paraId="27BA76E5" w14:textId="77777777" w:rsidR="00C45901" w:rsidRPr="00FD0D8E" w:rsidRDefault="00C45901" w:rsidP="00C74EB6">
            <w:pPr>
              <w:autoSpaceDE w:val="0"/>
              <w:autoSpaceDN w:val="0"/>
              <w:adjustRightInd w:val="0"/>
              <w:rPr>
                <w:kern w:val="0"/>
                <w:szCs w:val="21"/>
              </w:rPr>
            </w:pPr>
            <w:r w:rsidRPr="00FD0D8E">
              <w:rPr>
                <w:kern w:val="0"/>
                <w:szCs w:val="21"/>
              </w:rPr>
              <w:t>Cash</w:t>
            </w:r>
          </w:p>
        </w:tc>
        <w:tc>
          <w:tcPr>
            <w:tcW w:w="839" w:type="pct"/>
            <w:tcBorders>
              <w:top w:val="nil"/>
              <w:left w:val="nil"/>
              <w:bottom w:val="nil"/>
              <w:right w:val="nil"/>
            </w:tcBorders>
          </w:tcPr>
          <w:p w14:paraId="376FF3AD" w14:textId="77777777" w:rsidR="00C45901" w:rsidRPr="00FD0D8E" w:rsidRDefault="00C45901" w:rsidP="00C74EB6">
            <w:pPr>
              <w:autoSpaceDE w:val="0"/>
              <w:autoSpaceDN w:val="0"/>
              <w:adjustRightInd w:val="0"/>
              <w:jc w:val="center"/>
              <w:rPr>
                <w:kern w:val="0"/>
                <w:szCs w:val="21"/>
              </w:rPr>
            </w:pPr>
            <w:r w:rsidRPr="00FD0D8E">
              <w:rPr>
                <w:kern w:val="0"/>
                <w:szCs w:val="21"/>
              </w:rPr>
              <w:t>0.031</w:t>
            </w:r>
          </w:p>
        </w:tc>
        <w:tc>
          <w:tcPr>
            <w:tcW w:w="839" w:type="pct"/>
            <w:tcBorders>
              <w:top w:val="nil"/>
              <w:left w:val="nil"/>
              <w:bottom w:val="nil"/>
              <w:right w:val="nil"/>
            </w:tcBorders>
          </w:tcPr>
          <w:p w14:paraId="5CE40E6F" w14:textId="77777777" w:rsidR="00C45901" w:rsidRPr="00FD0D8E" w:rsidRDefault="00C45901" w:rsidP="00C74EB6">
            <w:pPr>
              <w:autoSpaceDE w:val="0"/>
              <w:autoSpaceDN w:val="0"/>
              <w:adjustRightInd w:val="0"/>
              <w:jc w:val="center"/>
              <w:rPr>
                <w:kern w:val="0"/>
                <w:szCs w:val="21"/>
              </w:rPr>
            </w:pPr>
            <w:r w:rsidRPr="00FD0D8E">
              <w:rPr>
                <w:kern w:val="0"/>
                <w:szCs w:val="21"/>
              </w:rPr>
              <w:t>0.032</w:t>
            </w:r>
          </w:p>
        </w:tc>
        <w:tc>
          <w:tcPr>
            <w:tcW w:w="839" w:type="pct"/>
            <w:tcBorders>
              <w:top w:val="nil"/>
              <w:left w:val="nil"/>
              <w:bottom w:val="nil"/>
              <w:right w:val="nil"/>
            </w:tcBorders>
          </w:tcPr>
          <w:p w14:paraId="340AA951" w14:textId="77777777" w:rsidR="00C45901" w:rsidRPr="00FD0D8E" w:rsidRDefault="00C45901" w:rsidP="00C74EB6">
            <w:pPr>
              <w:autoSpaceDE w:val="0"/>
              <w:autoSpaceDN w:val="0"/>
              <w:adjustRightInd w:val="0"/>
              <w:jc w:val="center"/>
              <w:rPr>
                <w:kern w:val="0"/>
                <w:szCs w:val="21"/>
              </w:rPr>
            </w:pPr>
            <w:r w:rsidRPr="00FD0D8E">
              <w:rPr>
                <w:kern w:val="0"/>
                <w:szCs w:val="21"/>
              </w:rPr>
              <w:t>0.031</w:t>
            </w:r>
          </w:p>
        </w:tc>
        <w:tc>
          <w:tcPr>
            <w:tcW w:w="839" w:type="pct"/>
            <w:tcBorders>
              <w:top w:val="nil"/>
              <w:left w:val="nil"/>
              <w:bottom w:val="nil"/>
              <w:right w:val="nil"/>
            </w:tcBorders>
          </w:tcPr>
          <w:p w14:paraId="180E5EF9" w14:textId="77777777" w:rsidR="00C45901" w:rsidRPr="00FD0D8E" w:rsidRDefault="00C45901" w:rsidP="00C74EB6">
            <w:pPr>
              <w:autoSpaceDE w:val="0"/>
              <w:autoSpaceDN w:val="0"/>
              <w:adjustRightInd w:val="0"/>
              <w:jc w:val="center"/>
              <w:rPr>
                <w:kern w:val="0"/>
                <w:szCs w:val="21"/>
              </w:rPr>
            </w:pPr>
            <w:r w:rsidRPr="00FD0D8E">
              <w:rPr>
                <w:kern w:val="0"/>
                <w:szCs w:val="21"/>
              </w:rPr>
              <w:t>0.031</w:t>
            </w:r>
          </w:p>
        </w:tc>
        <w:tc>
          <w:tcPr>
            <w:tcW w:w="839" w:type="pct"/>
            <w:tcBorders>
              <w:top w:val="nil"/>
              <w:left w:val="nil"/>
              <w:bottom w:val="nil"/>
              <w:right w:val="nil"/>
            </w:tcBorders>
          </w:tcPr>
          <w:p w14:paraId="7A5E2210" w14:textId="77777777" w:rsidR="00C45901" w:rsidRPr="00FD0D8E" w:rsidRDefault="00C45901" w:rsidP="00C74EB6">
            <w:pPr>
              <w:autoSpaceDE w:val="0"/>
              <w:autoSpaceDN w:val="0"/>
              <w:adjustRightInd w:val="0"/>
              <w:jc w:val="center"/>
              <w:rPr>
                <w:kern w:val="0"/>
                <w:szCs w:val="21"/>
              </w:rPr>
            </w:pPr>
            <w:r w:rsidRPr="00FD0D8E">
              <w:rPr>
                <w:kern w:val="0"/>
                <w:szCs w:val="21"/>
              </w:rPr>
              <w:t>0.031</w:t>
            </w:r>
          </w:p>
        </w:tc>
      </w:tr>
      <w:tr w:rsidR="00C45901" w:rsidRPr="00FD0D8E" w14:paraId="58B64B1D" w14:textId="77777777" w:rsidTr="005A5608">
        <w:tc>
          <w:tcPr>
            <w:tcW w:w="804" w:type="pct"/>
            <w:tcBorders>
              <w:top w:val="nil"/>
              <w:left w:val="nil"/>
              <w:bottom w:val="nil"/>
              <w:right w:val="nil"/>
            </w:tcBorders>
          </w:tcPr>
          <w:p w14:paraId="28287E15"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3479BFD9" w14:textId="77777777" w:rsidR="00C45901" w:rsidRPr="00FD0D8E" w:rsidRDefault="00C45901" w:rsidP="00C74EB6">
            <w:pPr>
              <w:autoSpaceDE w:val="0"/>
              <w:autoSpaceDN w:val="0"/>
              <w:adjustRightInd w:val="0"/>
              <w:jc w:val="center"/>
              <w:rPr>
                <w:kern w:val="0"/>
                <w:szCs w:val="21"/>
              </w:rPr>
            </w:pPr>
            <w:r w:rsidRPr="00FD0D8E">
              <w:rPr>
                <w:kern w:val="0"/>
                <w:szCs w:val="21"/>
              </w:rPr>
              <w:t>(0.025)</w:t>
            </w:r>
          </w:p>
        </w:tc>
        <w:tc>
          <w:tcPr>
            <w:tcW w:w="839" w:type="pct"/>
            <w:tcBorders>
              <w:top w:val="nil"/>
              <w:left w:val="nil"/>
              <w:bottom w:val="nil"/>
              <w:right w:val="nil"/>
            </w:tcBorders>
          </w:tcPr>
          <w:p w14:paraId="3DC1C7F7" w14:textId="77777777" w:rsidR="00C45901" w:rsidRPr="00FD0D8E" w:rsidRDefault="00C45901" w:rsidP="00C74EB6">
            <w:pPr>
              <w:autoSpaceDE w:val="0"/>
              <w:autoSpaceDN w:val="0"/>
              <w:adjustRightInd w:val="0"/>
              <w:jc w:val="center"/>
              <w:rPr>
                <w:kern w:val="0"/>
                <w:szCs w:val="21"/>
              </w:rPr>
            </w:pPr>
            <w:r w:rsidRPr="00FD0D8E">
              <w:rPr>
                <w:kern w:val="0"/>
                <w:szCs w:val="21"/>
              </w:rPr>
              <w:t>(0.025)</w:t>
            </w:r>
          </w:p>
        </w:tc>
        <w:tc>
          <w:tcPr>
            <w:tcW w:w="839" w:type="pct"/>
            <w:tcBorders>
              <w:top w:val="nil"/>
              <w:left w:val="nil"/>
              <w:bottom w:val="nil"/>
              <w:right w:val="nil"/>
            </w:tcBorders>
          </w:tcPr>
          <w:p w14:paraId="4E212A4B" w14:textId="77777777" w:rsidR="00C45901" w:rsidRPr="00FD0D8E" w:rsidRDefault="00C45901" w:rsidP="00C74EB6">
            <w:pPr>
              <w:autoSpaceDE w:val="0"/>
              <w:autoSpaceDN w:val="0"/>
              <w:adjustRightInd w:val="0"/>
              <w:jc w:val="center"/>
              <w:rPr>
                <w:kern w:val="0"/>
                <w:szCs w:val="21"/>
              </w:rPr>
            </w:pPr>
            <w:r w:rsidRPr="00FD0D8E">
              <w:rPr>
                <w:kern w:val="0"/>
                <w:szCs w:val="21"/>
              </w:rPr>
              <w:t>(0.025)</w:t>
            </w:r>
          </w:p>
        </w:tc>
        <w:tc>
          <w:tcPr>
            <w:tcW w:w="839" w:type="pct"/>
            <w:tcBorders>
              <w:top w:val="nil"/>
              <w:left w:val="nil"/>
              <w:bottom w:val="nil"/>
              <w:right w:val="nil"/>
            </w:tcBorders>
          </w:tcPr>
          <w:p w14:paraId="696057BC" w14:textId="77777777" w:rsidR="00C45901" w:rsidRPr="00FD0D8E" w:rsidRDefault="00C45901" w:rsidP="00C74EB6">
            <w:pPr>
              <w:autoSpaceDE w:val="0"/>
              <w:autoSpaceDN w:val="0"/>
              <w:adjustRightInd w:val="0"/>
              <w:jc w:val="center"/>
              <w:rPr>
                <w:kern w:val="0"/>
                <w:szCs w:val="21"/>
              </w:rPr>
            </w:pPr>
            <w:r w:rsidRPr="00FD0D8E">
              <w:rPr>
                <w:kern w:val="0"/>
                <w:szCs w:val="21"/>
              </w:rPr>
              <w:t>(0.025)</w:t>
            </w:r>
          </w:p>
        </w:tc>
        <w:tc>
          <w:tcPr>
            <w:tcW w:w="839" w:type="pct"/>
            <w:tcBorders>
              <w:top w:val="nil"/>
              <w:left w:val="nil"/>
              <w:bottom w:val="nil"/>
              <w:right w:val="nil"/>
            </w:tcBorders>
          </w:tcPr>
          <w:p w14:paraId="3012B4FE" w14:textId="77777777" w:rsidR="00C45901" w:rsidRPr="00FD0D8E" w:rsidRDefault="00C45901" w:rsidP="00C74EB6">
            <w:pPr>
              <w:autoSpaceDE w:val="0"/>
              <w:autoSpaceDN w:val="0"/>
              <w:adjustRightInd w:val="0"/>
              <w:jc w:val="center"/>
              <w:rPr>
                <w:kern w:val="0"/>
                <w:szCs w:val="21"/>
              </w:rPr>
            </w:pPr>
            <w:r w:rsidRPr="00FD0D8E">
              <w:rPr>
                <w:kern w:val="0"/>
                <w:szCs w:val="21"/>
              </w:rPr>
              <w:t>(0.025)</w:t>
            </w:r>
          </w:p>
        </w:tc>
      </w:tr>
      <w:tr w:rsidR="00C45901" w:rsidRPr="00FD0D8E" w14:paraId="5C0C83DC" w14:textId="77777777" w:rsidTr="005A5608">
        <w:tc>
          <w:tcPr>
            <w:tcW w:w="804" w:type="pct"/>
            <w:tcBorders>
              <w:top w:val="nil"/>
              <w:left w:val="nil"/>
              <w:bottom w:val="nil"/>
              <w:right w:val="nil"/>
            </w:tcBorders>
          </w:tcPr>
          <w:p w14:paraId="646C8561" w14:textId="77777777" w:rsidR="00C45901" w:rsidRPr="00FD0D8E" w:rsidRDefault="00C45901" w:rsidP="00C74EB6">
            <w:pPr>
              <w:autoSpaceDE w:val="0"/>
              <w:autoSpaceDN w:val="0"/>
              <w:adjustRightInd w:val="0"/>
              <w:rPr>
                <w:kern w:val="0"/>
                <w:szCs w:val="21"/>
              </w:rPr>
            </w:pPr>
            <w:r w:rsidRPr="00FD0D8E">
              <w:rPr>
                <w:kern w:val="0"/>
                <w:szCs w:val="21"/>
              </w:rPr>
              <w:t>Volatility</w:t>
            </w:r>
          </w:p>
        </w:tc>
        <w:tc>
          <w:tcPr>
            <w:tcW w:w="839" w:type="pct"/>
            <w:tcBorders>
              <w:top w:val="nil"/>
              <w:left w:val="nil"/>
              <w:bottom w:val="nil"/>
              <w:right w:val="nil"/>
            </w:tcBorders>
          </w:tcPr>
          <w:p w14:paraId="3245BF05" w14:textId="77777777" w:rsidR="00C45901" w:rsidRPr="00FD0D8E" w:rsidRDefault="00C45901" w:rsidP="00C74EB6">
            <w:pPr>
              <w:autoSpaceDE w:val="0"/>
              <w:autoSpaceDN w:val="0"/>
              <w:adjustRightInd w:val="0"/>
              <w:jc w:val="center"/>
              <w:rPr>
                <w:kern w:val="0"/>
                <w:szCs w:val="21"/>
              </w:rPr>
            </w:pPr>
            <w:r w:rsidRPr="00FD0D8E">
              <w:rPr>
                <w:kern w:val="0"/>
                <w:szCs w:val="21"/>
              </w:rPr>
              <w:t>0.080</w:t>
            </w:r>
          </w:p>
        </w:tc>
        <w:tc>
          <w:tcPr>
            <w:tcW w:w="839" w:type="pct"/>
            <w:tcBorders>
              <w:top w:val="nil"/>
              <w:left w:val="nil"/>
              <w:bottom w:val="nil"/>
              <w:right w:val="nil"/>
            </w:tcBorders>
          </w:tcPr>
          <w:p w14:paraId="38BDE20F" w14:textId="77777777" w:rsidR="00C45901" w:rsidRPr="00FD0D8E" w:rsidRDefault="00C45901" w:rsidP="00C74EB6">
            <w:pPr>
              <w:autoSpaceDE w:val="0"/>
              <w:autoSpaceDN w:val="0"/>
              <w:adjustRightInd w:val="0"/>
              <w:jc w:val="center"/>
              <w:rPr>
                <w:kern w:val="0"/>
                <w:szCs w:val="21"/>
              </w:rPr>
            </w:pPr>
            <w:r w:rsidRPr="00FD0D8E">
              <w:rPr>
                <w:kern w:val="0"/>
                <w:szCs w:val="21"/>
              </w:rPr>
              <w:t>0.080</w:t>
            </w:r>
          </w:p>
        </w:tc>
        <w:tc>
          <w:tcPr>
            <w:tcW w:w="839" w:type="pct"/>
            <w:tcBorders>
              <w:top w:val="nil"/>
              <w:left w:val="nil"/>
              <w:bottom w:val="nil"/>
              <w:right w:val="nil"/>
            </w:tcBorders>
          </w:tcPr>
          <w:p w14:paraId="6796189D" w14:textId="77777777" w:rsidR="00C45901" w:rsidRPr="00FD0D8E" w:rsidRDefault="00C45901" w:rsidP="00C74EB6">
            <w:pPr>
              <w:autoSpaceDE w:val="0"/>
              <w:autoSpaceDN w:val="0"/>
              <w:adjustRightInd w:val="0"/>
              <w:jc w:val="center"/>
              <w:rPr>
                <w:kern w:val="0"/>
                <w:szCs w:val="21"/>
              </w:rPr>
            </w:pPr>
            <w:r w:rsidRPr="00FD0D8E">
              <w:rPr>
                <w:kern w:val="0"/>
                <w:szCs w:val="21"/>
              </w:rPr>
              <w:t>0.081</w:t>
            </w:r>
          </w:p>
        </w:tc>
        <w:tc>
          <w:tcPr>
            <w:tcW w:w="839" w:type="pct"/>
            <w:tcBorders>
              <w:top w:val="nil"/>
              <w:left w:val="nil"/>
              <w:bottom w:val="nil"/>
              <w:right w:val="nil"/>
            </w:tcBorders>
          </w:tcPr>
          <w:p w14:paraId="043B1D99" w14:textId="77777777" w:rsidR="00C45901" w:rsidRPr="00FD0D8E" w:rsidRDefault="00C45901" w:rsidP="00C74EB6">
            <w:pPr>
              <w:autoSpaceDE w:val="0"/>
              <w:autoSpaceDN w:val="0"/>
              <w:adjustRightInd w:val="0"/>
              <w:jc w:val="center"/>
              <w:rPr>
                <w:kern w:val="0"/>
                <w:szCs w:val="21"/>
              </w:rPr>
            </w:pPr>
            <w:r w:rsidRPr="00FD0D8E">
              <w:rPr>
                <w:kern w:val="0"/>
                <w:szCs w:val="21"/>
              </w:rPr>
              <w:t>0.081</w:t>
            </w:r>
          </w:p>
        </w:tc>
        <w:tc>
          <w:tcPr>
            <w:tcW w:w="839" w:type="pct"/>
            <w:tcBorders>
              <w:top w:val="nil"/>
              <w:left w:val="nil"/>
              <w:bottom w:val="nil"/>
              <w:right w:val="nil"/>
            </w:tcBorders>
          </w:tcPr>
          <w:p w14:paraId="6AEB32E6" w14:textId="77777777" w:rsidR="00C45901" w:rsidRPr="00FD0D8E" w:rsidRDefault="00C45901" w:rsidP="00C74EB6">
            <w:pPr>
              <w:autoSpaceDE w:val="0"/>
              <w:autoSpaceDN w:val="0"/>
              <w:adjustRightInd w:val="0"/>
              <w:jc w:val="center"/>
              <w:rPr>
                <w:kern w:val="0"/>
                <w:szCs w:val="21"/>
              </w:rPr>
            </w:pPr>
            <w:r w:rsidRPr="00FD0D8E">
              <w:rPr>
                <w:kern w:val="0"/>
                <w:szCs w:val="21"/>
              </w:rPr>
              <w:t>0.081</w:t>
            </w:r>
          </w:p>
        </w:tc>
      </w:tr>
      <w:tr w:rsidR="00C45901" w:rsidRPr="00FD0D8E" w14:paraId="4275CC00" w14:textId="77777777" w:rsidTr="005A5608">
        <w:tc>
          <w:tcPr>
            <w:tcW w:w="804" w:type="pct"/>
            <w:tcBorders>
              <w:top w:val="nil"/>
              <w:left w:val="nil"/>
              <w:bottom w:val="nil"/>
              <w:right w:val="nil"/>
            </w:tcBorders>
          </w:tcPr>
          <w:p w14:paraId="672B74BF"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092ABDD3" w14:textId="77777777" w:rsidR="00C45901" w:rsidRPr="00FD0D8E" w:rsidRDefault="00C45901" w:rsidP="00C74EB6">
            <w:pPr>
              <w:autoSpaceDE w:val="0"/>
              <w:autoSpaceDN w:val="0"/>
              <w:adjustRightInd w:val="0"/>
              <w:jc w:val="center"/>
              <w:rPr>
                <w:kern w:val="0"/>
                <w:szCs w:val="21"/>
              </w:rPr>
            </w:pPr>
            <w:r w:rsidRPr="00FD0D8E">
              <w:rPr>
                <w:kern w:val="0"/>
                <w:szCs w:val="21"/>
              </w:rPr>
              <w:t>(0.051)</w:t>
            </w:r>
          </w:p>
        </w:tc>
        <w:tc>
          <w:tcPr>
            <w:tcW w:w="839" w:type="pct"/>
            <w:tcBorders>
              <w:top w:val="nil"/>
              <w:left w:val="nil"/>
              <w:bottom w:val="nil"/>
              <w:right w:val="nil"/>
            </w:tcBorders>
          </w:tcPr>
          <w:p w14:paraId="47C0F37C" w14:textId="77777777" w:rsidR="00C45901" w:rsidRPr="00FD0D8E" w:rsidRDefault="00C45901" w:rsidP="00C74EB6">
            <w:pPr>
              <w:autoSpaceDE w:val="0"/>
              <w:autoSpaceDN w:val="0"/>
              <w:adjustRightInd w:val="0"/>
              <w:jc w:val="center"/>
              <w:rPr>
                <w:kern w:val="0"/>
                <w:szCs w:val="21"/>
              </w:rPr>
            </w:pPr>
            <w:r w:rsidRPr="00FD0D8E">
              <w:rPr>
                <w:kern w:val="0"/>
                <w:szCs w:val="21"/>
              </w:rPr>
              <w:t>(0.050)</w:t>
            </w:r>
          </w:p>
        </w:tc>
        <w:tc>
          <w:tcPr>
            <w:tcW w:w="839" w:type="pct"/>
            <w:tcBorders>
              <w:top w:val="nil"/>
              <w:left w:val="nil"/>
              <w:bottom w:val="nil"/>
              <w:right w:val="nil"/>
            </w:tcBorders>
          </w:tcPr>
          <w:p w14:paraId="5049BFDA" w14:textId="77777777" w:rsidR="00C45901" w:rsidRPr="00FD0D8E" w:rsidRDefault="00C45901" w:rsidP="00C74EB6">
            <w:pPr>
              <w:autoSpaceDE w:val="0"/>
              <w:autoSpaceDN w:val="0"/>
              <w:adjustRightInd w:val="0"/>
              <w:jc w:val="center"/>
              <w:rPr>
                <w:kern w:val="0"/>
                <w:szCs w:val="21"/>
              </w:rPr>
            </w:pPr>
            <w:r w:rsidRPr="00FD0D8E">
              <w:rPr>
                <w:kern w:val="0"/>
                <w:szCs w:val="21"/>
              </w:rPr>
              <w:t>(0.051)</w:t>
            </w:r>
          </w:p>
        </w:tc>
        <w:tc>
          <w:tcPr>
            <w:tcW w:w="839" w:type="pct"/>
            <w:tcBorders>
              <w:top w:val="nil"/>
              <w:left w:val="nil"/>
              <w:bottom w:val="nil"/>
              <w:right w:val="nil"/>
            </w:tcBorders>
          </w:tcPr>
          <w:p w14:paraId="3851E5F0" w14:textId="77777777" w:rsidR="00C45901" w:rsidRPr="00FD0D8E" w:rsidRDefault="00C45901" w:rsidP="00C74EB6">
            <w:pPr>
              <w:autoSpaceDE w:val="0"/>
              <w:autoSpaceDN w:val="0"/>
              <w:adjustRightInd w:val="0"/>
              <w:jc w:val="center"/>
              <w:rPr>
                <w:kern w:val="0"/>
                <w:szCs w:val="21"/>
              </w:rPr>
            </w:pPr>
            <w:r w:rsidRPr="00FD0D8E">
              <w:rPr>
                <w:kern w:val="0"/>
                <w:szCs w:val="21"/>
              </w:rPr>
              <w:t>(0.051)</w:t>
            </w:r>
          </w:p>
        </w:tc>
        <w:tc>
          <w:tcPr>
            <w:tcW w:w="839" w:type="pct"/>
            <w:tcBorders>
              <w:top w:val="nil"/>
              <w:left w:val="nil"/>
              <w:bottom w:val="nil"/>
              <w:right w:val="nil"/>
            </w:tcBorders>
          </w:tcPr>
          <w:p w14:paraId="38EEF690" w14:textId="77777777" w:rsidR="00C45901" w:rsidRPr="00FD0D8E" w:rsidRDefault="00C45901" w:rsidP="00C74EB6">
            <w:pPr>
              <w:autoSpaceDE w:val="0"/>
              <w:autoSpaceDN w:val="0"/>
              <w:adjustRightInd w:val="0"/>
              <w:jc w:val="center"/>
              <w:rPr>
                <w:kern w:val="0"/>
                <w:szCs w:val="21"/>
              </w:rPr>
            </w:pPr>
            <w:r w:rsidRPr="00FD0D8E">
              <w:rPr>
                <w:kern w:val="0"/>
                <w:szCs w:val="21"/>
              </w:rPr>
              <w:t>(0.051)</w:t>
            </w:r>
          </w:p>
        </w:tc>
      </w:tr>
      <w:tr w:rsidR="00C45901" w:rsidRPr="00FD0D8E" w14:paraId="63FA9BD5" w14:textId="77777777" w:rsidTr="005A5608">
        <w:tc>
          <w:tcPr>
            <w:tcW w:w="804" w:type="pct"/>
            <w:tcBorders>
              <w:top w:val="nil"/>
              <w:left w:val="nil"/>
              <w:bottom w:val="nil"/>
              <w:right w:val="nil"/>
            </w:tcBorders>
          </w:tcPr>
          <w:p w14:paraId="3C200619" w14:textId="77777777" w:rsidR="00C45901" w:rsidRPr="00FD0D8E" w:rsidRDefault="00C45901" w:rsidP="00C74EB6">
            <w:pPr>
              <w:autoSpaceDE w:val="0"/>
              <w:autoSpaceDN w:val="0"/>
              <w:adjustRightInd w:val="0"/>
              <w:rPr>
                <w:kern w:val="0"/>
                <w:szCs w:val="21"/>
              </w:rPr>
            </w:pPr>
            <w:r w:rsidRPr="00FD0D8E">
              <w:rPr>
                <w:kern w:val="0"/>
                <w:szCs w:val="21"/>
              </w:rPr>
              <w:t>PB</w:t>
            </w:r>
          </w:p>
        </w:tc>
        <w:tc>
          <w:tcPr>
            <w:tcW w:w="839" w:type="pct"/>
            <w:tcBorders>
              <w:top w:val="nil"/>
              <w:left w:val="nil"/>
              <w:bottom w:val="nil"/>
              <w:right w:val="nil"/>
            </w:tcBorders>
          </w:tcPr>
          <w:p w14:paraId="3396CEB7" w14:textId="77777777" w:rsidR="00C45901" w:rsidRPr="00FD0D8E" w:rsidRDefault="00C45901" w:rsidP="00C74EB6">
            <w:pPr>
              <w:autoSpaceDE w:val="0"/>
              <w:autoSpaceDN w:val="0"/>
              <w:adjustRightInd w:val="0"/>
              <w:jc w:val="center"/>
              <w:rPr>
                <w:kern w:val="0"/>
                <w:szCs w:val="21"/>
              </w:rPr>
            </w:pPr>
            <w:r w:rsidRPr="00FD0D8E">
              <w:rPr>
                <w:kern w:val="0"/>
                <w:szCs w:val="21"/>
              </w:rPr>
              <w:t>-0.000</w:t>
            </w:r>
          </w:p>
        </w:tc>
        <w:tc>
          <w:tcPr>
            <w:tcW w:w="839" w:type="pct"/>
            <w:tcBorders>
              <w:top w:val="nil"/>
              <w:left w:val="nil"/>
              <w:bottom w:val="nil"/>
              <w:right w:val="nil"/>
            </w:tcBorders>
          </w:tcPr>
          <w:p w14:paraId="3B850FF5" w14:textId="77777777" w:rsidR="00C45901" w:rsidRPr="00FD0D8E" w:rsidRDefault="00C45901" w:rsidP="00C74EB6">
            <w:pPr>
              <w:autoSpaceDE w:val="0"/>
              <w:autoSpaceDN w:val="0"/>
              <w:adjustRightInd w:val="0"/>
              <w:jc w:val="center"/>
              <w:rPr>
                <w:kern w:val="0"/>
                <w:szCs w:val="21"/>
              </w:rPr>
            </w:pPr>
            <w:r w:rsidRPr="00FD0D8E">
              <w:rPr>
                <w:kern w:val="0"/>
                <w:szCs w:val="21"/>
              </w:rPr>
              <w:t>-0.000</w:t>
            </w:r>
          </w:p>
        </w:tc>
        <w:tc>
          <w:tcPr>
            <w:tcW w:w="839" w:type="pct"/>
            <w:tcBorders>
              <w:top w:val="nil"/>
              <w:left w:val="nil"/>
              <w:bottom w:val="nil"/>
              <w:right w:val="nil"/>
            </w:tcBorders>
          </w:tcPr>
          <w:p w14:paraId="7AC1FCCC" w14:textId="77777777" w:rsidR="00C45901" w:rsidRPr="00FD0D8E" w:rsidRDefault="00C45901" w:rsidP="00C74EB6">
            <w:pPr>
              <w:autoSpaceDE w:val="0"/>
              <w:autoSpaceDN w:val="0"/>
              <w:adjustRightInd w:val="0"/>
              <w:jc w:val="center"/>
              <w:rPr>
                <w:kern w:val="0"/>
                <w:szCs w:val="21"/>
              </w:rPr>
            </w:pPr>
            <w:r w:rsidRPr="00FD0D8E">
              <w:rPr>
                <w:kern w:val="0"/>
                <w:szCs w:val="21"/>
              </w:rPr>
              <w:t>-0.000</w:t>
            </w:r>
          </w:p>
        </w:tc>
        <w:tc>
          <w:tcPr>
            <w:tcW w:w="839" w:type="pct"/>
            <w:tcBorders>
              <w:top w:val="nil"/>
              <w:left w:val="nil"/>
              <w:bottom w:val="nil"/>
              <w:right w:val="nil"/>
            </w:tcBorders>
          </w:tcPr>
          <w:p w14:paraId="7F0C134B" w14:textId="77777777" w:rsidR="00C45901" w:rsidRPr="00FD0D8E" w:rsidRDefault="00C45901" w:rsidP="00C74EB6">
            <w:pPr>
              <w:autoSpaceDE w:val="0"/>
              <w:autoSpaceDN w:val="0"/>
              <w:adjustRightInd w:val="0"/>
              <w:jc w:val="center"/>
              <w:rPr>
                <w:kern w:val="0"/>
                <w:szCs w:val="21"/>
              </w:rPr>
            </w:pPr>
            <w:r w:rsidRPr="00FD0D8E">
              <w:rPr>
                <w:kern w:val="0"/>
                <w:szCs w:val="21"/>
              </w:rPr>
              <w:t>-0.000</w:t>
            </w:r>
          </w:p>
        </w:tc>
        <w:tc>
          <w:tcPr>
            <w:tcW w:w="839" w:type="pct"/>
            <w:tcBorders>
              <w:top w:val="nil"/>
              <w:left w:val="nil"/>
              <w:bottom w:val="nil"/>
              <w:right w:val="nil"/>
            </w:tcBorders>
          </w:tcPr>
          <w:p w14:paraId="0D4D27C0" w14:textId="77777777" w:rsidR="00C45901" w:rsidRPr="00FD0D8E" w:rsidRDefault="00C45901" w:rsidP="00C74EB6">
            <w:pPr>
              <w:autoSpaceDE w:val="0"/>
              <w:autoSpaceDN w:val="0"/>
              <w:adjustRightInd w:val="0"/>
              <w:jc w:val="center"/>
              <w:rPr>
                <w:kern w:val="0"/>
                <w:szCs w:val="21"/>
              </w:rPr>
            </w:pPr>
            <w:r w:rsidRPr="00FD0D8E">
              <w:rPr>
                <w:kern w:val="0"/>
                <w:szCs w:val="21"/>
              </w:rPr>
              <w:t>-0.000</w:t>
            </w:r>
          </w:p>
        </w:tc>
      </w:tr>
      <w:tr w:rsidR="00C45901" w:rsidRPr="00FD0D8E" w14:paraId="7651E4C6" w14:textId="77777777" w:rsidTr="005A5608">
        <w:tc>
          <w:tcPr>
            <w:tcW w:w="804" w:type="pct"/>
            <w:tcBorders>
              <w:top w:val="nil"/>
              <w:left w:val="nil"/>
              <w:bottom w:val="nil"/>
              <w:right w:val="nil"/>
            </w:tcBorders>
          </w:tcPr>
          <w:p w14:paraId="2039253B"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4B55FCA9"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3CCAAA06"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45E97EB9"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29AF512E"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45CA209C"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r>
      <w:tr w:rsidR="00C45901" w:rsidRPr="00FD0D8E" w14:paraId="015F5487" w14:textId="77777777" w:rsidTr="005A5608">
        <w:tc>
          <w:tcPr>
            <w:tcW w:w="804" w:type="pct"/>
            <w:tcBorders>
              <w:top w:val="nil"/>
              <w:left w:val="nil"/>
              <w:bottom w:val="nil"/>
              <w:right w:val="nil"/>
            </w:tcBorders>
          </w:tcPr>
          <w:p w14:paraId="3EC2738B" w14:textId="77777777" w:rsidR="00C45901" w:rsidRPr="00FD0D8E" w:rsidRDefault="00C45901" w:rsidP="00C74EB6">
            <w:pPr>
              <w:autoSpaceDE w:val="0"/>
              <w:autoSpaceDN w:val="0"/>
              <w:adjustRightInd w:val="0"/>
              <w:rPr>
                <w:kern w:val="0"/>
                <w:szCs w:val="21"/>
              </w:rPr>
            </w:pPr>
            <w:proofErr w:type="spellStart"/>
            <w:r w:rsidRPr="00FD0D8E">
              <w:rPr>
                <w:kern w:val="0"/>
                <w:szCs w:val="21"/>
              </w:rPr>
              <w:t>GrowthRev</w:t>
            </w:r>
            <w:proofErr w:type="spellEnd"/>
          </w:p>
        </w:tc>
        <w:tc>
          <w:tcPr>
            <w:tcW w:w="839" w:type="pct"/>
            <w:tcBorders>
              <w:top w:val="nil"/>
              <w:left w:val="nil"/>
              <w:bottom w:val="nil"/>
              <w:right w:val="nil"/>
            </w:tcBorders>
          </w:tcPr>
          <w:p w14:paraId="44D77FD3"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c>
          <w:tcPr>
            <w:tcW w:w="839" w:type="pct"/>
            <w:tcBorders>
              <w:top w:val="nil"/>
              <w:left w:val="nil"/>
              <w:bottom w:val="nil"/>
              <w:right w:val="nil"/>
            </w:tcBorders>
          </w:tcPr>
          <w:p w14:paraId="1A4FA3D0" w14:textId="77777777" w:rsidR="00C45901" w:rsidRPr="00FD0D8E" w:rsidRDefault="00C45901" w:rsidP="00C74EB6">
            <w:pPr>
              <w:autoSpaceDE w:val="0"/>
              <w:autoSpaceDN w:val="0"/>
              <w:adjustRightInd w:val="0"/>
              <w:jc w:val="center"/>
              <w:rPr>
                <w:kern w:val="0"/>
                <w:szCs w:val="21"/>
              </w:rPr>
            </w:pPr>
            <w:r w:rsidRPr="00FD0D8E">
              <w:rPr>
                <w:kern w:val="0"/>
                <w:szCs w:val="21"/>
              </w:rPr>
              <w:t>0.008</w:t>
            </w:r>
          </w:p>
        </w:tc>
        <w:tc>
          <w:tcPr>
            <w:tcW w:w="839" w:type="pct"/>
            <w:tcBorders>
              <w:top w:val="nil"/>
              <w:left w:val="nil"/>
              <w:bottom w:val="nil"/>
              <w:right w:val="nil"/>
            </w:tcBorders>
          </w:tcPr>
          <w:p w14:paraId="7C4C1416"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c>
          <w:tcPr>
            <w:tcW w:w="839" w:type="pct"/>
            <w:tcBorders>
              <w:top w:val="nil"/>
              <w:left w:val="nil"/>
              <w:bottom w:val="nil"/>
              <w:right w:val="nil"/>
            </w:tcBorders>
          </w:tcPr>
          <w:p w14:paraId="0DAB92AC"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c>
          <w:tcPr>
            <w:tcW w:w="839" w:type="pct"/>
            <w:tcBorders>
              <w:top w:val="nil"/>
              <w:left w:val="nil"/>
              <w:bottom w:val="nil"/>
              <w:right w:val="nil"/>
            </w:tcBorders>
          </w:tcPr>
          <w:p w14:paraId="0A267B92"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r>
      <w:tr w:rsidR="00C45901" w:rsidRPr="00FD0D8E" w14:paraId="479D803C" w14:textId="77777777" w:rsidTr="005A5608">
        <w:tc>
          <w:tcPr>
            <w:tcW w:w="804" w:type="pct"/>
            <w:tcBorders>
              <w:top w:val="nil"/>
              <w:left w:val="nil"/>
              <w:bottom w:val="nil"/>
              <w:right w:val="nil"/>
            </w:tcBorders>
          </w:tcPr>
          <w:p w14:paraId="413A7345"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7A64E8B1"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0C3FD6AC"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081B4E71"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1A9D033E"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14923239"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r>
      <w:tr w:rsidR="00C45901" w:rsidRPr="00FD0D8E" w14:paraId="03643583" w14:textId="77777777" w:rsidTr="005A5608">
        <w:tc>
          <w:tcPr>
            <w:tcW w:w="804" w:type="pct"/>
            <w:tcBorders>
              <w:top w:val="nil"/>
              <w:left w:val="nil"/>
              <w:bottom w:val="nil"/>
              <w:right w:val="nil"/>
            </w:tcBorders>
          </w:tcPr>
          <w:p w14:paraId="004D5B3D" w14:textId="77777777" w:rsidR="00C45901" w:rsidRPr="00FD0D8E" w:rsidRDefault="00C45901" w:rsidP="00C74EB6">
            <w:pPr>
              <w:autoSpaceDE w:val="0"/>
              <w:autoSpaceDN w:val="0"/>
              <w:adjustRightInd w:val="0"/>
              <w:rPr>
                <w:kern w:val="0"/>
                <w:szCs w:val="21"/>
              </w:rPr>
            </w:pPr>
            <w:r w:rsidRPr="00FD0D8E">
              <w:rPr>
                <w:kern w:val="0"/>
                <w:szCs w:val="21"/>
              </w:rPr>
              <w:t>ROA</w:t>
            </w:r>
          </w:p>
        </w:tc>
        <w:tc>
          <w:tcPr>
            <w:tcW w:w="839" w:type="pct"/>
            <w:tcBorders>
              <w:top w:val="nil"/>
              <w:left w:val="nil"/>
              <w:bottom w:val="nil"/>
              <w:right w:val="nil"/>
            </w:tcBorders>
          </w:tcPr>
          <w:p w14:paraId="32B1D3AE" w14:textId="77777777" w:rsidR="00C45901" w:rsidRPr="00FD0D8E" w:rsidRDefault="00C45901" w:rsidP="00C74EB6">
            <w:pPr>
              <w:autoSpaceDE w:val="0"/>
              <w:autoSpaceDN w:val="0"/>
              <w:adjustRightInd w:val="0"/>
              <w:jc w:val="center"/>
              <w:rPr>
                <w:kern w:val="0"/>
                <w:szCs w:val="21"/>
              </w:rPr>
            </w:pPr>
            <w:r w:rsidRPr="00FD0D8E">
              <w:rPr>
                <w:kern w:val="0"/>
                <w:szCs w:val="21"/>
              </w:rPr>
              <w:t>-0.050</w:t>
            </w:r>
          </w:p>
        </w:tc>
        <w:tc>
          <w:tcPr>
            <w:tcW w:w="839" w:type="pct"/>
            <w:tcBorders>
              <w:top w:val="nil"/>
              <w:left w:val="nil"/>
              <w:bottom w:val="nil"/>
              <w:right w:val="nil"/>
            </w:tcBorders>
          </w:tcPr>
          <w:p w14:paraId="6B128D9B" w14:textId="77777777" w:rsidR="00C45901" w:rsidRPr="00FD0D8E" w:rsidRDefault="00C45901" w:rsidP="00C74EB6">
            <w:pPr>
              <w:autoSpaceDE w:val="0"/>
              <w:autoSpaceDN w:val="0"/>
              <w:adjustRightInd w:val="0"/>
              <w:jc w:val="center"/>
              <w:rPr>
                <w:kern w:val="0"/>
                <w:szCs w:val="21"/>
              </w:rPr>
            </w:pPr>
            <w:r w:rsidRPr="00FD0D8E">
              <w:rPr>
                <w:kern w:val="0"/>
                <w:szCs w:val="21"/>
              </w:rPr>
              <w:t>-0.047</w:t>
            </w:r>
          </w:p>
        </w:tc>
        <w:tc>
          <w:tcPr>
            <w:tcW w:w="839" w:type="pct"/>
            <w:tcBorders>
              <w:top w:val="nil"/>
              <w:left w:val="nil"/>
              <w:bottom w:val="nil"/>
              <w:right w:val="nil"/>
            </w:tcBorders>
          </w:tcPr>
          <w:p w14:paraId="41CF61E7" w14:textId="77777777" w:rsidR="00C45901" w:rsidRPr="00FD0D8E" w:rsidRDefault="00C45901" w:rsidP="00C74EB6">
            <w:pPr>
              <w:autoSpaceDE w:val="0"/>
              <w:autoSpaceDN w:val="0"/>
              <w:adjustRightInd w:val="0"/>
              <w:jc w:val="center"/>
              <w:rPr>
                <w:kern w:val="0"/>
                <w:szCs w:val="21"/>
              </w:rPr>
            </w:pPr>
            <w:r w:rsidRPr="00FD0D8E">
              <w:rPr>
                <w:kern w:val="0"/>
                <w:szCs w:val="21"/>
              </w:rPr>
              <w:t>-0.051</w:t>
            </w:r>
          </w:p>
        </w:tc>
        <w:tc>
          <w:tcPr>
            <w:tcW w:w="839" w:type="pct"/>
            <w:tcBorders>
              <w:top w:val="nil"/>
              <w:left w:val="nil"/>
              <w:bottom w:val="nil"/>
              <w:right w:val="nil"/>
            </w:tcBorders>
          </w:tcPr>
          <w:p w14:paraId="4BEBB8A7" w14:textId="77777777" w:rsidR="00C45901" w:rsidRPr="00FD0D8E" w:rsidRDefault="00C45901" w:rsidP="00C74EB6">
            <w:pPr>
              <w:autoSpaceDE w:val="0"/>
              <w:autoSpaceDN w:val="0"/>
              <w:adjustRightInd w:val="0"/>
              <w:jc w:val="center"/>
              <w:rPr>
                <w:kern w:val="0"/>
                <w:szCs w:val="21"/>
              </w:rPr>
            </w:pPr>
            <w:r w:rsidRPr="00FD0D8E">
              <w:rPr>
                <w:kern w:val="0"/>
                <w:szCs w:val="21"/>
              </w:rPr>
              <w:t>-0.049</w:t>
            </w:r>
          </w:p>
        </w:tc>
        <w:tc>
          <w:tcPr>
            <w:tcW w:w="839" w:type="pct"/>
            <w:tcBorders>
              <w:top w:val="nil"/>
              <w:left w:val="nil"/>
              <w:bottom w:val="nil"/>
              <w:right w:val="nil"/>
            </w:tcBorders>
          </w:tcPr>
          <w:p w14:paraId="2D17C16D" w14:textId="77777777" w:rsidR="00C45901" w:rsidRPr="00FD0D8E" w:rsidRDefault="00C45901" w:rsidP="00C74EB6">
            <w:pPr>
              <w:autoSpaceDE w:val="0"/>
              <w:autoSpaceDN w:val="0"/>
              <w:adjustRightInd w:val="0"/>
              <w:jc w:val="center"/>
              <w:rPr>
                <w:kern w:val="0"/>
                <w:szCs w:val="21"/>
              </w:rPr>
            </w:pPr>
            <w:r w:rsidRPr="00FD0D8E">
              <w:rPr>
                <w:kern w:val="0"/>
                <w:szCs w:val="21"/>
              </w:rPr>
              <w:t>-0.051</w:t>
            </w:r>
          </w:p>
        </w:tc>
      </w:tr>
      <w:tr w:rsidR="00C45901" w:rsidRPr="00FD0D8E" w14:paraId="0A9CF089" w14:textId="77777777" w:rsidTr="005A5608">
        <w:tc>
          <w:tcPr>
            <w:tcW w:w="804" w:type="pct"/>
            <w:tcBorders>
              <w:top w:val="nil"/>
              <w:left w:val="nil"/>
              <w:bottom w:val="nil"/>
              <w:right w:val="nil"/>
            </w:tcBorders>
          </w:tcPr>
          <w:p w14:paraId="36659DEF"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7368AE44" w14:textId="77777777" w:rsidR="00C45901" w:rsidRPr="00FD0D8E" w:rsidRDefault="00C45901" w:rsidP="00C74EB6">
            <w:pPr>
              <w:autoSpaceDE w:val="0"/>
              <w:autoSpaceDN w:val="0"/>
              <w:adjustRightInd w:val="0"/>
              <w:jc w:val="center"/>
              <w:rPr>
                <w:kern w:val="0"/>
                <w:szCs w:val="21"/>
              </w:rPr>
            </w:pPr>
            <w:r w:rsidRPr="00FD0D8E">
              <w:rPr>
                <w:kern w:val="0"/>
                <w:szCs w:val="21"/>
              </w:rPr>
              <w:t>(0.039)</w:t>
            </w:r>
          </w:p>
        </w:tc>
        <w:tc>
          <w:tcPr>
            <w:tcW w:w="839" w:type="pct"/>
            <w:tcBorders>
              <w:top w:val="nil"/>
              <w:left w:val="nil"/>
              <w:bottom w:val="nil"/>
              <w:right w:val="nil"/>
            </w:tcBorders>
          </w:tcPr>
          <w:p w14:paraId="11F25BBF" w14:textId="77777777" w:rsidR="00C45901" w:rsidRPr="00FD0D8E" w:rsidRDefault="00C45901" w:rsidP="00C74EB6">
            <w:pPr>
              <w:autoSpaceDE w:val="0"/>
              <w:autoSpaceDN w:val="0"/>
              <w:adjustRightInd w:val="0"/>
              <w:jc w:val="center"/>
              <w:rPr>
                <w:kern w:val="0"/>
                <w:szCs w:val="21"/>
              </w:rPr>
            </w:pPr>
            <w:r w:rsidRPr="00FD0D8E">
              <w:rPr>
                <w:kern w:val="0"/>
                <w:szCs w:val="21"/>
              </w:rPr>
              <w:t>(0.039)</w:t>
            </w:r>
          </w:p>
        </w:tc>
        <w:tc>
          <w:tcPr>
            <w:tcW w:w="839" w:type="pct"/>
            <w:tcBorders>
              <w:top w:val="nil"/>
              <w:left w:val="nil"/>
              <w:bottom w:val="nil"/>
              <w:right w:val="nil"/>
            </w:tcBorders>
          </w:tcPr>
          <w:p w14:paraId="19B65760" w14:textId="77777777" w:rsidR="00C45901" w:rsidRPr="00FD0D8E" w:rsidRDefault="00C45901" w:rsidP="00C74EB6">
            <w:pPr>
              <w:autoSpaceDE w:val="0"/>
              <w:autoSpaceDN w:val="0"/>
              <w:adjustRightInd w:val="0"/>
              <w:jc w:val="center"/>
              <w:rPr>
                <w:kern w:val="0"/>
                <w:szCs w:val="21"/>
              </w:rPr>
            </w:pPr>
            <w:r w:rsidRPr="00FD0D8E">
              <w:rPr>
                <w:kern w:val="0"/>
                <w:szCs w:val="21"/>
              </w:rPr>
              <w:t>(0.039)</w:t>
            </w:r>
          </w:p>
        </w:tc>
        <w:tc>
          <w:tcPr>
            <w:tcW w:w="839" w:type="pct"/>
            <w:tcBorders>
              <w:top w:val="nil"/>
              <w:left w:val="nil"/>
              <w:bottom w:val="nil"/>
              <w:right w:val="nil"/>
            </w:tcBorders>
          </w:tcPr>
          <w:p w14:paraId="0342BF11" w14:textId="77777777" w:rsidR="00C45901" w:rsidRPr="00FD0D8E" w:rsidRDefault="00C45901" w:rsidP="00C74EB6">
            <w:pPr>
              <w:autoSpaceDE w:val="0"/>
              <w:autoSpaceDN w:val="0"/>
              <w:adjustRightInd w:val="0"/>
              <w:jc w:val="center"/>
              <w:rPr>
                <w:kern w:val="0"/>
                <w:szCs w:val="21"/>
              </w:rPr>
            </w:pPr>
            <w:r w:rsidRPr="00FD0D8E">
              <w:rPr>
                <w:kern w:val="0"/>
                <w:szCs w:val="21"/>
              </w:rPr>
              <w:t>(0.039)</w:t>
            </w:r>
          </w:p>
        </w:tc>
        <w:tc>
          <w:tcPr>
            <w:tcW w:w="839" w:type="pct"/>
            <w:tcBorders>
              <w:top w:val="nil"/>
              <w:left w:val="nil"/>
              <w:bottom w:val="nil"/>
              <w:right w:val="nil"/>
            </w:tcBorders>
          </w:tcPr>
          <w:p w14:paraId="32A8A3B4" w14:textId="77777777" w:rsidR="00C45901" w:rsidRPr="00FD0D8E" w:rsidRDefault="00C45901" w:rsidP="00C74EB6">
            <w:pPr>
              <w:autoSpaceDE w:val="0"/>
              <w:autoSpaceDN w:val="0"/>
              <w:adjustRightInd w:val="0"/>
              <w:jc w:val="center"/>
              <w:rPr>
                <w:kern w:val="0"/>
                <w:szCs w:val="21"/>
              </w:rPr>
            </w:pPr>
            <w:r w:rsidRPr="00FD0D8E">
              <w:rPr>
                <w:kern w:val="0"/>
                <w:szCs w:val="21"/>
              </w:rPr>
              <w:t>(0.039)</w:t>
            </w:r>
          </w:p>
        </w:tc>
      </w:tr>
      <w:tr w:rsidR="00C45901" w:rsidRPr="00FD0D8E" w14:paraId="4761B7C8" w14:textId="77777777" w:rsidTr="005A5608">
        <w:tc>
          <w:tcPr>
            <w:tcW w:w="804" w:type="pct"/>
            <w:tcBorders>
              <w:top w:val="nil"/>
              <w:left w:val="nil"/>
              <w:bottom w:val="nil"/>
              <w:right w:val="nil"/>
            </w:tcBorders>
          </w:tcPr>
          <w:p w14:paraId="41C46E78" w14:textId="77777777" w:rsidR="00C45901" w:rsidRPr="00FD0D8E" w:rsidRDefault="00C45901" w:rsidP="00C74EB6">
            <w:pPr>
              <w:autoSpaceDE w:val="0"/>
              <w:autoSpaceDN w:val="0"/>
              <w:adjustRightInd w:val="0"/>
              <w:rPr>
                <w:kern w:val="0"/>
                <w:szCs w:val="21"/>
              </w:rPr>
            </w:pPr>
            <w:r w:rsidRPr="00FD0D8E">
              <w:rPr>
                <w:kern w:val="0"/>
                <w:szCs w:val="21"/>
              </w:rPr>
              <w:t>Penalty</w:t>
            </w:r>
          </w:p>
        </w:tc>
        <w:tc>
          <w:tcPr>
            <w:tcW w:w="839" w:type="pct"/>
            <w:tcBorders>
              <w:top w:val="nil"/>
              <w:left w:val="nil"/>
              <w:bottom w:val="nil"/>
              <w:right w:val="nil"/>
            </w:tcBorders>
          </w:tcPr>
          <w:p w14:paraId="27CEBC00"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410F0DA3" w14:textId="77777777" w:rsidR="00C45901" w:rsidRPr="00FD0D8E" w:rsidRDefault="00C45901" w:rsidP="00C74EB6">
            <w:pPr>
              <w:autoSpaceDE w:val="0"/>
              <w:autoSpaceDN w:val="0"/>
              <w:adjustRightInd w:val="0"/>
              <w:jc w:val="center"/>
              <w:rPr>
                <w:kern w:val="0"/>
                <w:szCs w:val="21"/>
              </w:rPr>
            </w:pPr>
            <w:r w:rsidRPr="00FD0D8E">
              <w:rPr>
                <w:kern w:val="0"/>
                <w:szCs w:val="21"/>
              </w:rPr>
              <w:t>0.007</w:t>
            </w:r>
          </w:p>
        </w:tc>
        <w:tc>
          <w:tcPr>
            <w:tcW w:w="839" w:type="pct"/>
            <w:tcBorders>
              <w:top w:val="nil"/>
              <w:left w:val="nil"/>
              <w:bottom w:val="nil"/>
              <w:right w:val="nil"/>
            </w:tcBorders>
          </w:tcPr>
          <w:p w14:paraId="798B048C"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653A62FF"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c>
          <w:tcPr>
            <w:tcW w:w="839" w:type="pct"/>
            <w:tcBorders>
              <w:top w:val="nil"/>
              <w:left w:val="nil"/>
              <w:bottom w:val="nil"/>
              <w:right w:val="nil"/>
            </w:tcBorders>
          </w:tcPr>
          <w:p w14:paraId="0BF4BF76" w14:textId="77777777" w:rsidR="00C45901" w:rsidRPr="00FD0D8E" w:rsidRDefault="00C45901" w:rsidP="00C74EB6">
            <w:pPr>
              <w:autoSpaceDE w:val="0"/>
              <w:autoSpaceDN w:val="0"/>
              <w:adjustRightInd w:val="0"/>
              <w:jc w:val="center"/>
              <w:rPr>
                <w:kern w:val="0"/>
                <w:szCs w:val="21"/>
              </w:rPr>
            </w:pPr>
            <w:r w:rsidRPr="00FD0D8E">
              <w:rPr>
                <w:kern w:val="0"/>
                <w:szCs w:val="21"/>
              </w:rPr>
              <w:t>0.006</w:t>
            </w:r>
          </w:p>
        </w:tc>
      </w:tr>
      <w:tr w:rsidR="00C45901" w:rsidRPr="00FD0D8E" w14:paraId="12C6428C" w14:textId="77777777" w:rsidTr="005A5608">
        <w:tc>
          <w:tcPr>
            <w:tcW w:w="804" w:type="pct"/>
            <w:tcBorders>
              <w:top w:val="nil"/>
              <w:left w:val="nil"/>
              <w:bottom w:val="nil"/>
              <w:right w:val="nil"/>
            </w:tcBorders>
          </w:tcPr>
          <w:p w14:paraId="0AD44A0D"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0D2998C3" w14:textId="77777777" w:rsidR="00C45901" w:rsidRPr="00FD0D8E" w:rsidRDefault="00C45901" w:rsidP="00C74EB6">
            <w:pPr>
              <w:autoSpaceDE w:val="0"/>
              <w:autoSpaceDN w:val="0"/>
              <w:adjustRightInd w:val="0"/>
              <w:jc w:val="center"/>
              <w:rPr>
                <w:kern w:val="0"/>
                <w:szCs w:val="21"/>
              </w:rPr>
            </w:pPr>
            <w:r w:rsidRPr="00FD0D8E">
              <w:rPr>
                <w:kern w:val="0"/>
                <w:szCs w:val="21"/>
              </w:rPr>
              <w:t>(0.008)</w:t>
            </w:r>
          </w:p>
        </w:tc>
        <w:tc>
          <w:tcPr>
            <w:tcW w:w="839" w:type="pct"/>
            <w:tcBorders>
              <w:top w:val="nil"/>
              <w:left w:val="nil"/>
              <w:bottom w:val="nil"/>
              <w:right w:val="nil"/>
            </w:tcBorders>
          </w:tcPr>
          <w:p w14:paraId="0FD6219F" w14:textId="77777777" w:rsidR="00C45901" w:rsidRPr="00FD0D8E" w:rsidRDefault="00C45901" w:rsidP="00C74EB6">
            <w:pPr>
              <w:autoSpaceDE w:val="0"/>
              <w:autoSpaceDN w:val="0"/>
              <w:adjustRightInd w:val="0"/>
              <w:jc w:val="center"/>
              <w:rPr>
                <w:kern w:val="0"/>
                <w:szCs w:val="21"/>
              </w:rPr>
            </w:pPr>
            <w:r w:rsidRPr="00FD0D8E">
              <w:rPr>
                <w:kern w:val="0"/>
                <w:szCs w:val="21"/>
              </w:rPr>
              <w:t>(0.008)</w:t>
            </w:r>
          </w:p>
        </w:tc>
        <w:tc>
          <w:tcPr>
            <w:tcW w:w="839" w:type="pct"/>
            <w:tcBorders>
              <w:top w:val="nil"/>
              <w:left w:val="nil"/>
              <w:bottom w:val="nil"/>
              <w:right w:val="nil"/>
            </w:tcBorders>
          </w:tcPr>
          <w:p w14:paraId="24D48DC1" w14:textId="77777777" w:rsidR="00C45901" w:rsidRPr="00FD0D8E" w:rsidRDefault="00C45901" w:rsidP="00C74EB6">
            <w:pPr>
              <w:autoSpaceDE w:val="0"/>
              <w:autoSpaceDN w:val="0"/>
              <w:adjustRightInd w:val="0"/>
              <w:jc w:val="center"/>
              <w:rPr>
                <w:kern w:val="0"/>
                <w:szCs w:val="21"/>
              </w:rPr>
            </w:pPr>
            <w:r w:rsidRPr="00FD0D8E">
              <w:rPr>
                <w:kern w:val="0"/>
                <w:szCs w:val="21"/>
              </w:rPr>
              <w:t>(0.008)</w:t>
            </w:r>
          </w:p>
        </w:tc>
        <w:tc>
          <w:tcPr>
            <w:tcW w:w="839" w:type="pct"/>
            <w:tcBorders>
              <w:top w:val="nil"/>
              <w:left w:val="nil"/>
              <w:bottom w:val="nil"/>
              <w:right w:val="nil"/>
            </w:tcBorders>
          </w:tcPr>
          <w:p w14:paraId="094EF969" w14:textId="77777777" w:rsidR="00C45901" w:rsidRPr="00FD0D8E" w:rsidRDefault="00C45901" w:rsidP="00C74EB6">
            <w:pPr>
              <w:autoSpaceDE w:val="0"/>
              <w:autoSpaceDN w:val="0"/>
              <w:adjustRightInd w:val="0"/>
              <w:jc w:val="center"/>
              <w:rPr>
                <w:kern w:val="0"/>
                <w:szCs w:val="21"/>
              </w:rPr>
            </w:pPr>
            <w:r w:rsidRPr="00FD0D8E">
              <w:rPr>
                <w:kern w:val="0"/>
                <w:szCs w:val="21"/>
              </w:rPr>
              <w:t>(0.008)</w:t>
            </w:r>
          </w:p>
        </w:tc>
        <w:tc>
          <w:tcPr>
            <w:tcW w:w="839" w:type="pct"/>
            <w:tcBorders>
              <w:top w:val="nil"/>
              <w:left w:val="nil"/>
              <w:bottom w:val="nil"/>
              <w:right w:val="nil"/>
            </w:tcBorders>
          </w:tcPr>
          <w:p w14:paraId="35C2F1E2" w14:textId="77777777" w:rsidR="00C45901" w:rsidRPr="00FD0D8E" w:rsidRDefault="00C45901" w:rsidP="00C74EB6">
            <w:pPr>
              <w:autoSpaceDE w:val="0"/>
              <w:autoSpaceDN w:val="0"/>
              <w:adjustRightInd w:val="0"/>
              <w:jc w:val="center"/>
              <w:rPr>
                <w:kern w:val="0"/>
                <w:szCs w:val="21"/>
              </w:rPr>
            </w:pPr>
            <w:r w:rsidRPr="00FD0D8E">
              <w:rPr>
                <w:kern w:val="0"/>
                <w:szCs w:val="21"/>
              </w:rPr>
              <w:t>(0.008)</w:t>
            </w:r>
          </w:p>
        </w:tc>
      </w:tr>
      <w:tr w:rsidR="00C45901" w:rsidRPr="00FD0D8E" w14:paraId="430496A3" w14:textId="77777777" w:rsidTr="005A5608">
        <w:tc>
          <w:tcPr>
            <w:tcW w:w="804" w:type="pct"/>
            <w:tcBorders>
              <w:top w:val="nil"/>
              <w:left w:val="nil"/>
              <w:bottom w:val="nil"/>
              <w:right w:val="nil"/>
            </w:tcBorders>
          </w:tcPr>
          <w:p w14:paraId="5AF3A75C" w14:textId="77777777" w:rsidR="00C45901" w:rsidRPr="00FD0D8E" w:rsidRDefault="00C45901" w:rsidP="00C74EB6">
            <w:pPr>
              <w:autoSpaceDE w:val="0"/>
              <w:autoSpaceDN w:val="0"/>
              <w:adjustRightInd w:val="0"/>
              <w:rPr>
                <w:kern w:val="0"/>
                <w:szCs w:val="21"/>
              </w:rPr>
            </w:pPr>
            <w:proofErr w:type="spellStart"/>
            <w:r w:rsidRPr="00FD0D8E">
              <w:rPr>
                <w:kern w:val="0"/>
                <w:szCs w:val="21"/>
              </w:rPr>
              <w:t>IndepR</w:t>
            </w:r>
            <w:proofErr w:type="spellEnd"/>
          </w:p>
        </w:tc>
        <w:tc>
          <w:tcPr>
            <w:tcW w:w="839" w:type="pct"/>
            <w:tcBorders>
              <w:top w:val="nil"/>
              <w:left w:val="nil"/>
              <w:bottom w:val="nil"/>
              <w:right w:val="nil"/>
            </w:tcBorders>
          </w:tcPr>
          <w:p w14:paraId="50685E98" w14:textId="77777777" w:rsidR="00C45901" w:rsidRPr="00FD0D8E" w:rsidRDefault="00C45901" w:rsidP="00C74EB6">
            <w:pPr>
              <w:autoSpaceDE w:val="0"/>
              <w:autoSpaceDN w:val="0"/>
              <w:adjustRightInd w:val="0"/>
              <w:jc w:val="center"/>
              <w:rPr>
                <w:kern w:val="0"/>
                <w:szCs w:val="21"/>
              </w:rPr>
            </w:pPr>
            <w:r w:rsidRPr="00FD0D8E">
              <w:rPr>
                <w:kern w:val="0"/>
                <w:szCs w:val="21"/>
              </w:rPr>
              <w:t>0.012</w:t>
            </w:r>
          </w:p>
        </w:tc>
        <w:tc>
          <w:tcPr>
            <w:tcW w:w="839" w:type="pct"/>
            <w:tcBorders>
              <w:top w:val="nil"/>
              <w:left w:val="nil"/>
              <w:bottom w:val="nil"/>
              <w:right w:val="nil"/>
            </w:tcBorders>
          </w:tcPr>
          <w:p w14:paraId="4F01D5D1" w14:textId="77777777" w:rsidR="00C45901" w:rsidRPr="00FD0D8E" w:rsidRDefault="00C45901" w:rsidP="00C74EB6">
            <w:pPr>
              <w:autoSpaceDE w:val="0"/>
              <w:autoSpaceDN w:val="0"/>
              <w:adjustRightInd w:val="0"/>
              <w:jc w:val="center"/>
              <w:rPr>
                <w:kern w:val="0"/>
                <w:szCs w:val="21"/>
              </w:rPr>
            </w:pPr>
            <w:r w:rsidRPr="00FD0D8E">
              <w:rPr>
                <w:kern w:val="0"/>
                <w:szCs w:val="21"/>
              </w:rPr>
              <w:t>0.012</w:t>
            </w:r>
          </w:p>
        </w:tc>
        <w:tc>
          <w:tcPr>
            <w:tcW w:w="839" w:type="pct"/>
            <w:tcBorders>
              <w:top w:val="nil"/>
              <w:left w:val="nil"/>
              <w:bottom w:val="nil"/>
              <w:right w:val="nil"/>
            </w:tcBorders>
          </w:tcPr>
          <w:p w14:paraId="1474A2A6" w14:textId="77777777" w:rsidR="00C45901" w:rsidRPr="00FD0D8E" w:rsidRDefault="00C45901" w:rsidP="00C74EB6">
            <w:pPr>
              <w:autoSpaceDE w:val="0"/>
              <w:autoSpaceDN w:val="0"/>
              <w:adjustRightInd w:val="0"/>
              <w:jc w:val="center"/>
              <w:rPr>
                <w:kern w:val="0"/>
                <w:szCs w:val="21"/>
              </w:rPr>
            </w:pPr>
            <w:r w:rsidRPr="00FD0D8E">
              <w:rPr>
                <w:kern w:val="0"/>
                <w:szCs w:val="21"/>
              </w:rPr>
              <w:t>0.012</w:t>
            </w:r>
          </w:p>
        </w:tc>
        <w:tc>
          <w:tcPr>
            <w:tcW w:w="839" w:type="pct"/>
            <w:tcBorders>
              <w:top w:val="nil"/>
              <w:left w:val="nil"/>
              <w:bottom w:val="nil"/>
              <w:right w:val="nil"/>
            </w:tcBorders>
          </w:tcPr>
          <w:p w14:paraId="5990671C" w14:textId="77777777" w:rsidR="00C45901" w:rsidRPr="00FD0D8E" w:rsidRDefault="00C45901" w:rsidP="00C74EB6">
            <w:pPr>
              <w:autoSpaceDE w:val="0"/>
              <w:autoSpaceDN w:val="0"/>
              <w:adjustRightInd w:val="0"/>
              <w:jc w:val="center"/>
              <w:rPr>
                <w:kern w:val="0"/>
                <w:szCs w:val="21"/>
              </w:rPr>
            </w:pPr>
            <w:r w:rsidRPr="00FD0D8E">
              <w:rPr>
                <w:kern w:val="0"/>
                <w:szCs w:val="21"/>
              </w:rPr>
              <w:t>0.012</w:t>
            </w:r>
          </w:p>
        </w:tc>
        <w:tc>
          <w:tcPr>
            <w:tcW w:w="839" w:type="pct"/>
            <w:tcBorders>
              <w:top w:val="nil"/>
              <w:left w:val="nil"/>
              <w:bottom w:val="nil"/>
              <w:right w:val="nil"/>
            </w:tcBorders>
          </w:tcPr>
          <w:p w14:paraId="13D08ED7" w14:textId="77777777" w:rsidR="00C45901" w:rsidRPr="00FD0D8E" w:rsidRDefault="00C45901" w:rsidP="00C74EB6">
            <w:pPr>
              <w:autoSpaceDE w:val="0"/>
              <w:autoSpaceDN w:val="0"/>
              <w:adjustRightInd w:val="0"/>
              <w:jc w:val="center"/>
              <w:rPr>
                <w:kern w:val="0"/>
                <w:szCs w:val="21"/>
              </w:rPr>
            </w:pPr>
            <w:r w:rsidRPr="00FD0D8E">
              <w:rPr>
                <w:kern w:val="0"/>
                <w:szCs w:val="21"/>
              </w:rPr>
              <w:t>0.012</w:t>
            </w:r>
          </w:p>
        </w:tc>
      </w:tr>
      <w:tr w:rsidR="00C45901" w:rsidRPr="00FD0D8E" w14:paraId="49009905" w14:textId="77777777" w:rsidTr="005A5608">
        <w:tc>
          <w:tcPr>
            <w:tcW w:w="804" w:type="pct"/>
            <w:tcBorders>
              <w:top w:val="nil"/>
              <w:left w:val="nil"/>
              <w:bottom w:val="nil"/>
              <w:right w:val="nil"/>
            </w:tcBorders>
          </w:tcPr>
          <w:p w14:paraId="2213BE76"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6A7E8723" w14:textId="77777777" w:rsidR="00C45901" w:rsidRPr="00FD0D8E" w:rsidRDefault="00C45901" w:rsidP="00C74EB6">
            <w:pPr>
              <w:autoSpaceDE w:val="0"/>
              <w:autoSpaceDN w:val="0"/>
              <w:adjustRightInd w:val="0"/>
              <w:jc w:val="center"/>
              <w:rPr>
                <w:kern w:val="0"/>
                <w:szCs w:val="21"/>
              </w:rPr>
            </w:pPr>
            <w:r w:rsidRPr="00FD0D8E">
              <w:rPr>
                <w:kern w:val="0"/>
                <w:szCs w:val="21"/>
              </w:rPr>
              <w:t>(0.015)</w:t>
            </w:r>
          </w:p>
        </w:tc>
        <w:tc>
          <w:tcPr>
            <w:tcW w:w="839" w:type="pct"/>
            <w:tcBorders>
              <w:top w:val="nil"/>
              <w:left w:val="nil"/>
              <w:bottom w:val="nil"/>
              <w:right w:val="nil"/>
            </w:tcBorders>
          </w:tcPr>
          <w:p w14:paraId="1313347E" w14:textId="77777777" w:rsidR="00C45901" w:rsidRPr="00FD0D8E" w:rsidRDefault="00C45901" w:rsidP="00C74EB6">
            <w:pPr>
              <w:autoSpaceDE w:val="0"/>
              <w:autoSpaceDN w:val="0"/>
              <w:adjustRightInd w:val="0"/>
              <w:jc w:val="center"/>
              <w:rPr>
                <w:kern w:val="0"/>
                <w:szCs w:val="21"/>
              </w:rPr>
            </w:pPr>
            <w:r w:rsidRPr="00FD0D8E">
              <w:rPr>
                <w:kern w:val="0"/>
                <w:szCs w:val="21"/>
              </w:rPr>
              <w:t>(0.016)</w:t>
            </w:r>
          </w:p>
        </w:tc>
        <w:tc>
          <w:tcPr>
            <w:tcW w:w="839" w:type="pct"/>
            <w:tcBorders>
              <w:top w:val="nil"/>
              <w:left w:val="nil"/>
              <w:bottom w:val="nil"/>
              <w:right w:val="nil"/>
            </w:tcBorders>
          </w:tcPr>
          <w:p w14:paraId="62D17307" w14:textId="77777777" w:rsidR="00C45901" w:rsidRPr="00FD0D8E" w:rsidRDefault="00C45901" w:rsidP="00C74EB6">
            <w:pPr>
              <w:autoSpaceDE w:val="0"/>
              <w:autoSpaceDN w:val="0"/>
              <w:adjustRightInd w:val="0"/>
              <w:jc w:val="center"/>
              <w:rPr>
                <w:kern w:val="0"/>
                <w:szCs w:val="21"/>
              </w:rPr>
            </w:pPr>
            <w:r w:rsidRPr="00FD0D8E">
              <w:rPr>
                <w:kern w:val="0"/>
                <w:szCs w:val="21"/>
              </w:rPr>
              <w:t>(0.015)</w:t>
            </w:r>
          </w:p>
        </w:tc>
        <w:tc>
          <w:tcPr>
            <w:tcW w:w="839" w:type="pct"/>
            <w:tcBorders>
              <w:top w:val="nil"/>
              <w:left w:val="nil"/>
              <w:bottom w:val="nil"/>
              <w:right w:val="nil"/>
            </w:tcBorders>
          </w:tcPr>
          <w:p w14:paraId="1836C8A9" w14:textId="77777777" w:rsidR="00C45901" w:rsidRPr="00FD0D8E" w:rsidRDefault="00C45901" w:rsidP="00C74EB6">
            <w:pPr>
              <w:autoSpaceDE w:val="0"/>
              <w:autoSpaceDN w:val="0"/>
              <w:adjustRightInd w:val="0"/>
              <w:jc w:val="center"/>
              <w:rPr>
                <w:kern w:val="0"/>
                <w:szCs w:val="21"/>
              </w:rPr>
            </w:pPr>
            <w:r w:rsidRPr="00FD0D8E">
              <w:rPr>
                <w:kern w:val="0"/>
                <w:szCs w:val="21"/>
              </w:rPr>
              <w:t>(0.015)</w:t>
            </w:r>
          </w:p>
        </w:tc>
        <w:tc>
          <w:tcPr>
            <w:tcW w:w="839" w:type="pct"/>
            <w:tcBorders>
              <w:top w:val="nil"/>
              <w:left w:val="nil"/>
              <w:bottom w:val="nil"/>
              <w:right w:val="nil"/>
            </w:tcBorders>
          </w:tcPr>
          <w:p w14:paraId="08BCAB34" w14:textId="77777777" w:rsidR="00C45901" w:rsidRPr="00FD0D8E" w:rsidRDefault="00C45901" w:rsidP="00C74EB6">
            <w:pPr>
              <w:autoSpaceDE w:val="0"/>
              <w:autoSpaceDN w:val="0"/>
              <w:adjustRightInd w:val="0"/>
              <w:jc w:val="center"/>
              <w:rPr>
                <w:kern w:val="0"/>
                <w:szCs w:val="21"/>
              </w:rPr>
            </w:pPr>
            <w:r w:rsidRPr="00FD0D8E">
              <w:rPr>
                <w:kern w:val="0"/>
                <w:szCs w:val="21"/>
              </w:rPr>
              <w:t>(0.015)</w:t>
            </w:r>
          </w:p>
        </w:tc>
      </w:tr>
      <w:tr w:rsidR="00C45901" w:rsidRPr="00FD0D8E" w14:paraId="42FFEA94" w14:textId="77777777" w:rsidTr="005A5608">
        <w:tc>
          <w:tcPr>
            <w:tcW w:w="804" w:type="pct"/>
            <w:tcBorders>
              <w:top w:val="nil"/>
              <w:left w:val="nil"/>
              <w:bottom w:val="nil"/>
              <w:right w:val="nil"/>
            </w:tcBorders>
          </w:tcPr>
          <w:p w14:paraId="36FB3852" w14:textId="77777777" w:rsidR="00C45901" w:rsidRPr="00FD0D8E" w:rsidRDefault="00C45901" w:rsidP="00C74EB6">
            <w:pPr>
              <w:autoSpaceDE w:val="0"/>
              <w:autoSpaceDN w:val="0"/>
              <w:adjustRightInd w:val="0"/>
              <w:rPr>
                <w:kern w:val="0"/>
                <w:szCs w:val="21"/>
              </w:rPr>
            </w:pPr>
            <w:proofErr w:type="spellStart"/>
            <w:r w:rsidRPr="00FD0D8E">
              <w:rPr>
                <w:kern w:val="0"/>
                <w:szCs w:val="21"/>
              </w:rPr>
              <w:t>DSize</w:t>
            </w:r>
            <w:proofErr w:type="spellEnd"/>
          </w:p>
        </w:tc>
        <w:tc>
          <w:tcPr>
            <w:tcW w:w="839" w:type="pct"/>
            <w:tcBorders>
              <w:top w:val="nil"/>
              <w:left w:val="nil"/>
              <w:bottom w:val="nil"/>
              <w:right w:val="nil"/>
            </w:tcBorders>
          </w:tcPr>
          <w:p w14:paraId="5EAC8405" w14:textId="77777777" w:rsidR="00C45901" w:rsidRPr="00FD0D8E" w:rsidRDefault="00C45901"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839" w:type="pct"/>
            <w:tcBorders>
              <w:top w:val="nil"/>
              <w:left w:val="nil"/>
              <w:bottom w:val="nil"/>
              <w:right w:val="nil"/>
            </w:tcBorders>
          </w:tcPr>
          <w:p w14:paraId="1B5192AE" w14:textId="77777777" w:rsidR="00C45901" w:rsidRPr="00FD0D8E" w:rsidRDefault="00C45901"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839" w:type="pct"/>
            <w:tcBorders>
              <w:top w:val="nil"/>
              <w:left w:val="nil"/>
              <w:bottom w:val="nil"/>
              <w:right w:val="nil"/>
            </w:tcBorders>
          </w:tcPr>
          <w:p w14:paraId="2374CF0A" w14:textId="77777777" w:rsidR="00C45901" w:rsidRPr="00FD0D8E" w:rsidRDefault="00C45901"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839" w:type="pct"/>
            <w:tcBorders>
              <w:top w:val="nil"/>
              <w:left w:val="nil"/>
              <w:bottom w:val="nil"/>
              <w:right w:val="nil"/>
            </w:tcBorders>
          </w:tcPr>
          <w:p w14:paraId="53378474" w14:textId="77777777" w:rsidR="00C45901" w:rsidRPr="00FD0D8E" w:rsidRDefault="00C45901"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839" w:type="pct"/>
            <w:tcBorders>
              <w:top w:val="nil"/>
              <w:left w:val="nil"/>
              <w:bottom w:val="nil"/>
              <w:right w:val="nil"/>
            </w:tcBorders>
          </w:tcPr>
          <w:p w14:paraId="13E13D78" w14:textId="77777777" w:rsidR="00C45901" w:rsidRPr="00FD0D8E" w:rsidRDefault="00C45901"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r>
      <w:tr w:rsidR="00C45901" w:rsidRPr="00FD0D8E" w14:paraId="23BA4CE4" w14:textId="77777777" w:rsidTr="005A5608">
        <w:tc>
          <w:tcPr>
            <w:tcW w:w="804" w:type="pct"/>
            <w:tcBorders>
              <w:top w:val="nil"/>
              <w:left w:val="nil"/>
              <w:bottom w:val="nil"/>
              <w:right w:val="nil"/>
            </w:tcBorders>
          </w:tcPr>
          <w:p w14:paraId="6ED6FC44"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4898A800"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2371E609"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6392BF89"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0FCAC390"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70BD2827"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r>
      <w:tr w:rsidR="00C45901" w:rsidRPr="00FD0D8E" w14:paraId="71A0867E" w14:textId="77777777" w:rsidTr="005A5608">
        <w:tc>
          <w:tcPr>
            <w:tcW w:w="804" w:type="pct"/>
            <w:tcBorders>
              <w:top w:val="nil"/>
              <w:left w:val="nil"/>
              <w:bottom w:val="nil"/>
              <w:right w:val="nil"/>
            </w:tcBorders>
          </w:tcPr>
          <w:p w14:paraId="3D248FE2" w14:textId="77777777" w:rsidR="00C45901" w:rsidRPr="00FD0D8E" w:rsidRDefault="00C45901" w:rsidP="00C74EB6">
            <w:pPr>
              <w:autoSpaceDE w:val="0"/>
              <w:autoSpaceDN w:val="0"/>
              <w:adjustRightInd w:val="0"/>
              <w:rPr>
                <w:kern w:val="0"/>
                <w:szCs w:val="21"/>
              </w:rPr>
            </w:pPr>
            <w:r w:rsidRPr="00FD0D8E">
              <w:rPr>
                <w:kern w:val="0"/>
                <w:szCs w:val="21"/>
              </w:rPr>
              <w:t>Duality</w:t>
            </w:r>
          </w:p>
        </w:tc>
        <w:tc>
          <w:tcPr>
            <w:tcW w:w="839" w:type="pct"/>
            <w:tcBorders>
              <w:top w:val="nil"/>
              <w:left w:val="nil"/>
              <w:bottom w:val="nil"/>
              <w:right w:val="nil"/>
            </w:tcBorders>
          </w:tcPr>
          <w:p w14:paraId="3EB0AEC3" w14:textId="77777777" w:rsidR="00C45901" w:rsidRPr="00FD0D8E" w:rsidRDefault="00C45901"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c>
          <w:tcPr>
            <w:tcW w:w="839" w:type="pct"/>
            <w:tcBorders>
              <w:top w:val="nil"/>
              <w:left w:val="nil"/>
              <w:bottom w:val="nil"/>
              <w:right w:val="nil"/>
            </w:tcBorders>
          </w:tcPr>
          <w:p w14:paraId="1B2D4AA1" w14:textId="77777777" w:rsidR="00C45901" w:rsidRPr="00FD0D8E" w:rsidRDefault="00C45901"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c>
          <w:tcPr>
            <w:tcW w:w="839" w:type="pct"/>
            <w:tcBorders>
              <w:top w:val="nil"/>
              <w:left w:val="nil"/>
              <w:bottom w:val="nil"/>
              <w:right w:val="nil"/>
            </w:tcBorders>
          </w:tcPr>
          <w:p w14:paraId="3394C985" w14:textId="77777777" w:rsidR="00C45901" w:rsidRPr="00FD0D8E" w:rsidRDefault="00C45901"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c>
          <w:tcPr>
            <w:tcW w:w="839" w:type="pct"/>
            <w:tcBorders>
              <w:top w:val="nil"/>
              <w:left w:val="nil"/>
              <w:bottom w:val="nil"/>
              <w:right w:val="nil"/>
            </w:tcBorders>
          </w:tcPr>
          <w:p w14:paraId="6E03D4A5" w14:textId="77777777" w:rsidR="00C45901" w:rsidRPr="00FD0D8E" w:rsidRDefault="00C45901"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c>
          <w:tcPr>
            <w:tcW w:w="839" w:type="pct"/>
            <w:tcBorders>
              <w:top w:val="nil"/>
              <w:left w:val="nil"/>
              <w:bottom w:val="nil"/>
              <w:right w:val="nil"/>
            </w:tcBorders>
          </w:tcPr>
          <w:p w14:paraId="2401BC46" w14:textId="77777777" w:rsidR="00C45901" w:rsidRPr="00FD0D8E" w:rsidRDefault="00C45901"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r>
      <w:tr w:rsidR="00C45901" w:rsidRPr="00FD0D8E" w14:paraId="6749007B" w14:textId="77777777" w:rsidTr="005A5608">
        <w:tc>
          <w:tcPr>
            <w:tcW w:w="804" w:type="pct"/>
            <w:tcBorders>
              <w:top w:val="nil"/>
              <w:left w:val="nil"/>
              <w:bottom w:val="nil"/>
              <w:right w:val="nil"/>
            </w:tcBorders>
          </w:tcPr>
          <w:p w14:paraId="36549166"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655AD92F"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c>
          <w:tcPr>
            <w:tcW w:w="839" w:type="pct"/>
            <w:tcBorders>
              <w:top w:val="nil"/>
              <w:left w:val="nil"/>
              <w:bottom w:val="nil"/>
              <w:right w:val="nil"/>
            </w:tcBorders>
          </w:tcPr>
          <w:p w14:paraId="694AC5D3"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c>
          <w:tcPr>
            <w:tcW w:w="839" w:type="pct"/>
            <w:tcBorders>
              <w:top w:val="nil"/>
              <w:left w:val="nil"/>
              <w:bottom w:val="nil"/>
              <w:right w:val="nil"/>
            </w:tcBorders>
          </w:tcPr>
          <w:p w14:paraId="7494231D"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c>
          <w:tcPr>
            <w:tcW w:w="839" w:type="pct"/>
            <w:tcBorders>
              <w:top w:val="nil"/>
              <w:left w:val="nil"/>
              <w:bottom w:val="nil"/>
              <w:right w:val="nil"/>
            </w:tcBorders>
          </w:tcPr>
          <w:p w14:paraId="72140C37"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c>
          <w:tcPr>
            <w:tcW w:w="839" w:type="pct"/>
            <w:tcBorders>
              <w:top w:val="nil"/>
              <w:left w:val="nil"/>
              <w:bottom w:val="nil"/>
              <w:right w:val="nil"/>
            </w:tcBorders>
          </w:tcPr>
          <w:p w14:paraId="06257D6A" w14:textId="77777777" w:rsidR="00C45901" w:rsidRPr="00FD0D8E" w:rsidRDefault="00C45901" w:rsidP="00C74EB6">
            <w:pPr>
              <w:autoSpaceDE w:val="0"/>
              <w:autoSpaceDN w:val="0"/>
              <w:adjustRightInd w:val="0"/>
              <w:jc w:val="center"/>
              <w:rPr>
                <w:kern w:val="0"/>
                <w:szCs w:val="21"/>
              </w:rPr>
            </w:pPr>
            <w:r w:rsidRPr="00FD0D8E">
              <w:rPr>
                <w:kern w:val="0"/>
                <w:szCs w:val="21"/>
              </w:rPr>
              <w:t>(0.005)</w:t>
            </w:r>
          </w:p>
        </w:tc>
      </w:tr>
      <w:tr w:rsidR="00C45901" w:rsidRPr="00FD0D8E" w14:paraId="17773610" w14:textId="77777777" w:rsidTr="005A5608">
        <w:tc>
          <w:tcPr>
            <w:tcW w:w="804" w:type="pct"/>
            <w:tcBorders>
              <w:top w:val="nil"/>
              <w:left w:val="nil"/>
              <w:bottom w:val="nil"/>
              <w:right w:val="nil"/>
            </w:tcBorders>
          </w:tcPr>
          <w:p w14:paraId="76A458A1" w14:textId="77777777" w:rsidR="00C45901" w:rsidRPr="00FD0D8E" w:rsidRDefault="00C45901" w:rsidP="00C74EB6">
            <w:pPr>
              <w:autoSpaceDE w:val="0"/>
              <w:autoSpaceDN w:val="0"/>
              <w:adjustRightInd w:val="0"/>
              <w:rPr>
                <w:kern w:val="0"/>
                <w:szCs w:val="21"/>
              </w:rPr>
            </w:pPr>
            <w:r w:rsidRPr="00FD0D8E">
              <w:rPr>
                <w:kern w:val="0"/>
                <w:szCs w:val="21"/>
              </w:rPr>
              <w:t>DOSR</w:t>
            </w:r>
          </w:p>
        </w:tc>
        <w:tc>
          <w:tcPr>
            <w:tcW w:w="839" w:type="pct"/>
            <w:tcBorders>
              <w:top w:val="nil"/>
              <w:left w:val="nil"/>
              <w:bottom w:val="nil"/>
              <w:right w:val="nil"/>
            </w:tcBorders>
          </w:tcPr>
          <w:p w14:paraId="19E9128D" w14:textId="77777777" w:rsidR="00C45901" w:rsidRPr="00FD0D8E" w:rsidRDefault="00C45901" w:rsidP="00C74EB6">
            <w:pPr>
              <w:autoSpaceDE w:val="0"/>
              <w:autoSpaceDN w:val="0"/>
              <w:adjustRightInd w:val="0"/>
              <w:jc w:val="center"/>
              <w:rPr>
                <w:kern w:val="0"/>
                <w:szCs w:val="21"/>
              </w:rPr>
            </w:pPr>
            <w:r w:rsidRPr="00FD0D8E">
              <w:rPr>
                <w:kern w:val="0"/>
                <w:szCs w:val="21"/>
              </w:rPr>
              <w:t>-0.085</w:t>
            </w:r>
            <w:r w:rsidRPr="00FD0D8E">
              <w:rPr>
                <w:kern w:val="0"/>
                <w:szCs w:val="21"/>
                <w:vertAlign w:val="superscript"/>
              </w:rPr>
              <w:t>***</w:t>
            </w:r>
          </w:p>
        </w:tc>
        <w:tc>
          <w:tcPr>
            <w:tcW w:w="839" w:type="pct"/>
            <w:tcBorders>
              <w:top w:val="nil"/>
              <w:left w:val="nil"/>
              <w:bottom w:val="nil"/>
              <w:right w:val="nil"/>
            </w:tcBorders>
          </w:tcPr>
          <w:p w14:paraId="1D795AA8" w14:textId="77777777" w:rsidR="00C45901" w:rsidRPr="00FD0D8E" w:rsidRDefault="00C45901" w:rsidP="00C74EB6">
            <w:pPr>
              <w:autoSpaceDE w:val="0"/>
              <w:autoSpaceDN w:val="0"/>
              <w:adjustRightInd w:val="0"/>
              <w:jc w:val="center"/>
              <w:rPr>
                <w:kern w:val="0"/>
                <w:szCs w:val="21"/>
              </w:rPr>
            </w:pPr>
            <w:r w:rsidRPr="00FD0D8E">
              <w:rPr>
                <w:kern w:val="0"/>
                <w:szCs w:val="21"/>
              </w:rPr>
              <w:t>-0.084</w:t>
            </w:r>
            <w:r w:rsidRPr="00FD0D8E">
              <w:rPr>
                <w:kern w:val="0"/>
                <w:szCs w:val="21"/>
                <w:vertAlign w:val="superscript"/>
              </w:rPr>
              <w:t>***</w:t>
            </w:r>
          </w:p>
        </w:tc>
        <w:tc>
          <w:tcPr>
            <w:tcW w:w="839" w:type="pct"/>
            <w:tcBorders>
              <w:top w:val="nil"/>
              <w:left w:val="nil"/>
              <w:bottom w:val="nil"/>
              <w:right w:val="nil"/>
            </w:tcBorders>
          </w:tcPr>
          <w:p w14:paraId="539791AF" w14:textId="77777777" w:rsidR="00C45901" w:rsidRPr="00FD0D8E" w:rsidRDefault="00C45901" w:rsidP="00C74EB6">
            <w:pPr>
              <w:autoSpaceDE w:val="0"/>
              <w:autoSpaceDN w:val="0"/>
              <w:adjustRightInd w:val="0"/>
              <w:jc w:val="center"/>
              <w:rPr>
                <w:kern w:val="0"/>
                <w:szCs w:val="21"/>
              </w:rPr>
            </w:pPr>
            <w:r w:rsidRPr="00FD0D8E">
              <w:rPr>
                <w:kern w:val="0"/>
                <w:szCs w:val="21"/>
              </w:rPr>
              <w:t>-0.085</w:t>
            </w:r>
            <w:r w:rsidRPr="00FD0D8E">
              <w:rPr>
                <w:kern w:val="0"/>
                <w:szCs w:val="21"/>
                <w:vertAlign w:val="superscript"/>
              </w:rPr>
              <w:t>***</w:t>
            </w:r>
          </w:p>
        </w:tc>
        <w:tc>
          <w:tcPr>
            <w:tcW w:w="839" w:type="pct"/>
            <w:tcBorders>
              <w:top w:val="nil"/>
              <w:left w:val="nil"/>
              <w:bottom w:val="nil"/>
              <w:right w:val="nil"/>
            </w:tcBorders>
          </w:tcPr>
          <w:p w14:paraId="78BCB851" w14:textId="77777777" w:rsidR="00C45901" w:rsidRPr="00FD0D8E" w:rsidRDefault="00C45901" w:rsidP="00C74EB6">
            <w:pPr>
              <w:autoSpaceDE w:val="0"/>
              <w:autoSpaceDN w:val="0"/>
              <w:adjustRightInd w:val="0"/>
              <w:jc w:val="center"/>
              <w:rPr>
                <w:kern w:val="0"/>
                <w:szCs w:val="21"/>
              </w:rPr>
            </w:pPr>
            <w:r w:rsidRPr="00FD0D8E">
              <w:rPr>
                <w:kern w:val="0"/>
                <w:szCs w:val="21"/>
              </w:rPr>
              <w:t>-0.084</w:t>
            </w:r>
            <w:r w:rsidRPr="00FD0D8E">
              <w:rPr>
                <w:kern w:val="0"/>
                <w:szCs w:val="21"/>
                <w:vertAlign w:val="superscript"/>
              </w:rPr>
              <w:t>***</w:t>
            </w:r>
          </w:p>
        </w:tc>
        <w:tc>
          <w:tcPr>
            <w:tcW w:w="839" w:type="pct"/>
            <w:tcBorders>
              <w:top w:val="nil"/>
              <w:left w:val="nil"/>
              <w:bottom w:val="nil"/>
              <w:right w:val="nil"/>
            </w:tcBorders>
          </w:tcPr>
          <w:p w14:paraId="7AF80225" w14:textId="77777777" w:rsidR="00C45901" w:rsidRPr="00FD0D8E" w:rsidRDefault="00C45901" w:rsidP="00C74EB6">
            <w:pPr>
              <w:autoSpaceDE w:val="0"/>
              <w:autoSpaceDN w:val="0"/>
              <w:adjustRightInd w:val="0"/>
              <w:jc w:val="center"/>
              <w:rPr>
                <w:kern w:val="0"/>
                <w:szCs w:val="21"/>
              </w:rPr>
            </w:pPr>
            <w:r w:rsidRPr="00FD0D8E">
              <w:rPr>
                <w:kern w:val="0"/>
                <w:szCs w:val="21"/>
              </w:rPr>
              <w:t>-0.085</w:t>
            </w:r>
            <w:r w:rsidRPr="00FD0D8E">
              <w:rPr>
                <w:kern w:val="0"/>
                <w:szCs w:val="21"/>
                <w:vertAlign w:val="superscript"/>
              </w:rPr>
              <w:t>***</w:t>
            </w:r>
          </w:p>
        </w:tc>
      </w:tr>
      <w:tr w:rsidR="00C45901" w:rsidRPr="00FD0D8E" w14:paraId="530F0F17" w14:textId="77777777" w:rsidTr="005A5608">
        <w:tc>
          <w:tcPr>
            <w:tcW w:w="804" w:type="pct"/>
            <w:tcBorders>
              <w:top w:val="nil"/>
              <w:left w:val="nil"/>
              <w:bottom w:val="nil"/>
              <w:right w:val="nil"/>
            </w:tcBorders>
          </w:tcPr>
          <w:p w14:paraId="5361B796"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66CCE309" w14:textId="77777777" w:rsidR="00C45901" w:rsidRPr="00FD0D8E" w:rsidRDefault="00C45901" w:rsidP="00C74EB6">
            <w:pPr>
              <w:autoSpaceDE w:val="0"/>
              <w:autoSpaceDN w:val="0"/>
              <w:adjustRightInd w:val="0"/>
              <w:jc w:val="center"/>
              <w:rPr>
                <w:kern w:val="0"/>
                <w:szCs w:val="21"/>
              </w:rPr>
            </w:pPr>
            <w:r w:rsidRPr="00FD0D8E">
              <w:rPr>
                <w:kern w:val="0"/>
                <w:szCs w:val="21"/>
              </w:rPr>
              <w:t>(0.011)</w:t>
            </w:r>
          </w:p>
        </w:tc>
        <w:tc>
          <w:tcPr>
            <w:tcW w:w="839" w:type="pct"/>
            <w:tcBorders>
              <w:top w:val="nil"/>
              <w:left w:val="nil"/>
              <w:bottom w:val="nil"/>
              <w:right w:val="nil"/>
            </w:tcBorders>
          </w:tcPr>
          <w:p w14:paraId="5D2EBF89" w14:textId="77777777" w:rsidR="00C45901" w:rsidRPr="00FD0D8E" w:rsidRDefault="00C45901" w:rsidP="00C74EB6">
            <w:pPr>
              <w:autoSpaceDE w:val="0"/>
              <w:autoSpaceDN w:val="0"/>
              <w:adjustRightInd w:val="0"/>
              <w:jc w:val="center"/>
              <w:rPr>
                <w:kern w:val="0"/>
                <w:szCs w:val="21"/>
              </w:rPr>
            </w:pPr>
            <w:r w:rsidRPr="00FD0D8E">
              <w:rPr>
                <w:kern w:val="0"/>
                <w:szCs w:val="21"/>
              </w:rPr>
              <w:t>(0.011)</w:t>
            </w:r>
          </w:p>
        </w:tc>
        <w:tc>
          <w:tcPr>
            <w:tcW w:w="839" w:type="pct"/>
            <w:tcBorders>
              <w:top w:val="nil"/>
              <w:left w:val="nil"/>
              <w:bottom w:val="nil"/>
              <w:right w:val="nil"/>
            </w:tcBorders>
          </w:tcPr>
          <w:p w14:paraId="6576E0DB" w14:textId="77777777" w:rsidR="00C45901" w:rsidRPr="00FD0D8E" w:rsidRDefault="00C45901" w:rsidP="00C74EB6">
            <w:pPr>
              <w:autoSpaceDE w:val="0"/>
              <w:autoSpaceDN w:val="0"/>
              <w:adjustRightInd w:val="0"/>
              <w:jc w:val="center"/>
              <w:rPr>
                <w:kern w:val="0"/>
                <w:szCs w:val="21"/>
              </w:rPr>
            </w:pPr>
            <w:r w:rsidRPr="00FD0D8E">
              <w:rPr>
                <w:kern w:val="0"/>
                <w:szCs w:val="21"/>
              </w:rPr>
              <w:t>(0.011)</w:t>
            </w:r>
          </w:p>
        </w:tc>
        <w:tc>
          <w:tcPr>
            <w:tcW w:w="839" w:type="pct"/>
            <w:tcBorders>
              <w:top w:val="nil"/>
              <w:left w:val="nil"/>
              <w:bottom w:val="nil"/>
              <w:right w:val="nil"/>
            </w:tcBorders>
          </w:tcPr>
          <w:p w14:paraId="1C9D1597" w14:textId="77777777" w:rsidR="00C45901" w:rsidRPr="00FD0D8E" w:rsidRDefault="00C45901" w:rsidP="00C74EB6">
            <w:pPr>
              <w:autoSpaceDE w:val="0"/>
              <w:autoSpaceDN w:val="0"/>
              <w:adjustRightInd w:val="0"/>
              <w:jc w:val="center"/>
              <w:rPr>
                <w:kern w:val="0"/>
                <w:szCs w:val="21"/>
              </w:rPr>
            </w:pPr>
            <w:r w:rsidRPr="00FD0D8E">
              <w:rPr>
                <w:kern w:val="0"/>
                <w:szCs w:val="21"/>
              </w:rPr>
              <w:t>(0.011)</w:t>
            </w:r>
          </w:p>
        </w:tc>
        <w:tc>
          <w:tcPr>
            <w:tcW w:w="839" w:type="pct"/>
            <w:tcBorders>
              <w:top w:val="nil"/>
              <w:left w:val="nil"/>
              <w:bottom w:val="nil"/>
              <w:right w:val="nil"/>
            </w:tcBorders>
          </w:tcPr>
          <w:p w14:paraId="51520823" w14:textId="77777777" w:rsidR="00C45901" w:rsidRPr="00FD0D8E" w:rsidRDefault="00C45901" w:rsidP="00C74EB6">
            <w:pPr>
              <w:autoSpaceDE w:val="0"/>
              <w:autoSpaceDN w:val="0"/>
              <w:adjustRightInd w:val="0"/>
              <w:jc w:val="center"/>
              <w:rPr>
                <w:kern w:val="0"/>
                <w:szCs w:val="21"/>
              </w:rPr>
            </w:pPr>
            <w:r w:rsidRPr="00FD0D8E">
              <w:rPr>
                <w:kern w:val="0"/>
                <w:szCs w:val="21"/>
              </w:rPr>
              <w:t>(0.011)</w:t>
            </w:r>
          </w:p>
        </w:tc>
      </w:tr>
      <w:tr w:rsidR="00C45901" w:rsidRPr="00FD0D8E" w14:paraId="32381623" w14:textId="77777777" w:rsidTr="005A5608">
        <w:tc>
          <w:tcPr>
            <w:tcW w:w="804" w:type="pct"/>
            <w:tcBorders>
              <w:top w:val="nil"/>
              <w:left w:val="nil"/>
              <w:bottom w:val="nil"/>
              <w:right w:val="nil"/>
            </w:tcBorders>
          </w:tcPr>
          <w:p w14:paraId="03C2C02C" w14:textId="77777777" w:rsidR="00C45901" w:rsidRPr="00FD0D8E" w:rsidRDefault="00C45901" w:rsidP="00C74EB6">
            <w:pPr>
              <w:autoSpaceDE w:val="0"/>
              <w:autoSpaceDN w:val="0"/>
              <w:adjustRightInd w:val="0"/>
              <w:rPr>
                <w:kern w:val="0"/>
                <w:szCs w:val="21"/>
              </w:rPr>
            </w:pPr>
            <w:r w:rsidRPr="00FD0D8E">
              <w:rPr>
                <w:kern w:val="0"/>
                <w:szCs w:val="21"/>
              </w:rPr>
              <w:t>SOE</w:t>
            </w:r>
          </w:p>
        </w:tc>
        <w:tc>
          <w:tcPr>
            <w:tcW w:w="839" w:type="pct"/>
            <w:tcBorders>
              <w:top w:val="nil"/>
              <w:left w:val="nil"/>
              <w:bottom w:val="nil"/>
              <w:right w:val="nil"/>
            </w:tcBorders>
          </w:tcPr>
          <w:p w14:paraId="61531127" w14:textId="77777777" w:rsidR="00C45901" w:rsidRPr="00FD0D8E" w:rsidRDefault="00C45901"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c>
          <w:tcPr>
            <w:tcW w:w="839" w:type="pct"/>
            <w:tcBorders>
              <w:top w:val="nil"/>
              <w:left w:val="nil"/>
              <w:bottom w:val="nil"/>
              <w:right w:val="nil"/>
            </w:tcBorders>
          </w:tcPr>
          <w:p w14:paraId="4AC5F5B6" w14:textId="77777777" w:rsidR="00C45901" w:rsidRPr="00FD0D8E" w:rsidRDefault="00C45901"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c>
          <w:tcPr>
            <w:tcW w:w="839" w:type="pct"/>
            <w:tcBorders>
              <w:top w:val="nil"/>
              <w:left w:val="nil"/>
              <w:bottom w:val="nil"/>
              <w:right w:val="nil"/>
            </w:tcBorders>
          </w:tcPr>
          <w:p w14:paraId="27701A37" w14:textId="77777777" w:rsidR="00C45901" w:rsidRPr="00FD0D8E" w:rsidRDefault="00C45901"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c>
          <w:tcPr>
            <w:tcW w:w="839" w:type="pct"/>
            <w:tcBorders>
              <w:top w:val="nil"/>
              <w:left w:val="nil"/>
              <w:bottom w:val="nil"/>
              <w:right w:val="nil"/>
            </w:tcBorders>
          </w:tcPr>
          <w:p w14:paraId="12AA7451" w14:textId="77777777" w:rsidR="00C45901" w:rsidRPr="00FD0D8E" w:rsidRDefault="00C45901"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c>
          <w:tcPr>
            <w:tcW w:w="839" w:type="pct"/>
            <w:tcBorders>
              <w:top w:val="nil"/>
              <w:left w:val="nil"/>
              <w:bottom w:val="nil"/>
              <w:right w:val="nil"/>
            </w:tcBorders>
          </w:tcPr>
          <w:p w14:paraId="303D1414" w14:textId="77777777" w:rsidR="00C45901" w:rsidRPr="00FD0D8E" w:rsidRDefault="00C45901"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r>
      <w:tr w:rsidR="00C45901" w:rsidRPr="00FD0D8E" w14:paraId="655413C5" w14:textId="77777777" w:rsidTr="005A5608">
        <w:tc>
          <w:tcPr>
            <w:tcW w:w="804" w:type="pct"/>
            <w:tcBorders>
              <w:top w:val="nil"/>
              <w:left w:val="nil"/>
              <w:bottom w:val="nil"/>
              <w:right w:val="nil"/>
            </w:tcBorders>
          </w:tcPr>
          <w:p w14:paraId="2CB61282"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5FF0DE3D" w14:textId="77777777" w:rsidR="00C45901" w:rsidRPr="00FD0D8E" w:rsidRDefault="00C45901" w:rsidP="00C74EB6">
            <w:pPr>
              <w:autoSpaceDE w:val="0"/>
              <w:autoSpaceDN w:val="0"/>
              <w:adjustRightInd w:val="0"/>
              <w:jc w:val="center"/>
              <w:rPr>
                <w:kern w:val="0"/>
                <w:szCs w:val="21"/>
              </w:rPr>
            </w:pPr>
            <w:r w:rsidRPr="00FD0D8E">
              <w:rPr>
                <w:kern w:val="0"/>
                <w:szCs w:val="21"/>
              </w:rPr>
              <w:t>(0.003)</w:t>
            </w:r>
          </w:p>
        </w:tc>
        <w:tc>
          <w:tcPr>
            <w:tcW w:w="839" w:type="pct"/>
            <w:tcBorders>
              <w:top w:val="nil"/>
              <w:left w:val="nil"/>
              <w:bottom w:val="nil"/>
              <w:right w:val="nil"/>
            </w:tcBorders>
          </w:tcPr>
          <w:p w14:paraId="368AC245" w14:textId="77777777" w:rsidR="00C45901" w:rsidRPr="00FD0D8E" w:rsidRDefault="00C45901" w:rsidP="00C74EB6">
            <w:pPr>
              <w:autoSpaceDE w:val="0"/>
              <w:autoSpaceDN w:val="0"/>
              <w:adjustRightInd w:val="0"/>
              <w:jc w:val="center"/>
              <w:rPr>
                <w:kern w:val="0"/>
                <w:szCs w:val="21"/>
              </w:rPr>
            </w:pPr>
            <w:r w:rsidRPr="00FD0D8E">
              <w:rPr>
                <w:kern w:val="0"/>
                <w:szCs w:val="21"/>
              </w:rPr>
              <w:t>(0.003)</w:t>
            </w:r>
          </w:p>
        </w:tc>
        <w:tc>
          <w:tcPr>
            <w:tcW w:w="839" w:type="pct"/>
            <w:tcBorders>
              <w:top w:val="nil"/>
              <w:left w:val="nil"/>
              <w:bottom w:val="nil"/>
              <w:right w:val="nil"/>
            </w:tcBorders>
          </w:tcPr>
          <w:p w14:paraId="044BB16E" w14:textId="77777777" w:rsidR="00C45901" w:rsidRPr="00FD0D8E" w:rsidRDefault="00C45901" w:rsidP="00C74EB6">
            <w:pPr>
              <w:autoSpaceDE w:val="0"/>
              <w:autoSpaceDN w:val="0"/>
              <w:adjustRightInd w:val="0"/>
              <w:jc w:val="center"/>
              <w:rPr>
                <w:kern w:val="0"/>
                <w:szCs w:val="21"/>
              </w:rPr>
            </w:pPr>
            <w:r w:rsidRPr="00FD0D8E">
              <w:rPr>
                <w:kern w:val="0"/>
                <w:szCs w:val="21"/>
              </w:rPr>
              <w:t>(0.003)</w:t>
            </w:r>
          </w:p>
        </w:tc>
        <w:tc>
          <w:tcPr>
            <w:tcW w:w="839" w:type="pct"/>
            <w:tcBorders>
              <w:top w:val="nil"/>
              <w:left w:val="nil"/>
              <w:bottom w:val="nil"/>
              <w:right w:val="nil"/>
            </w:tcBorders>
          </w:tcPr>
          <w:p w14:paraId="66E26CB3" w14:textId="77777777" w:rsidR="00C45901" w:rsidRPr="00FD0D8E" w:rsidRDefault="00C45901" w:rsidP="00C74EB6">
            <w:pPr>
              <w:autoSpaceDE w:val="0"/>
              <w:autoSpaceDN w:val="0"/>
              <w:adjustRightInd w:val="0"/>
              <w:jc w:val="center"/>
              <w:rPr>
                <w:kern w:val="0"/>
                <w:szCs w:val="21"/>
              </w:rPr>
            </w:pPr>
            <w:r w:rsidRPr="00FD0D8E">
              <w:rPr>
                <w:kern w:val="0"/>
                <w:szCs w:val="21"/>
              </w:rPr>
              <w:t>(0.003)</w:t>
            </w:r>
          </w:p>
        </w:tc>
        <w:tc>
          <w:tcPr>
            <w:tcW w:w="839" w:type="pct"/>
            <w:tcBorders>
              <w:top w:val="nil"/>
              <w:left w:val="nil"/>
              <w:bottom w:val="nil"/>
              <w:right w:val="nil"/>
            </w:tcBorders>
          </w:tcPr>
          <w:p w14:paraId="17710185" w14:textId="77777777" w:rsidR="00C45901" w:rsidRPr="00FD0D8E" w:rsidRDefault="00C45901" w:rsidP="00C74EB6">
            <w:pPr>
              <w:autoSpaceDE w:val="0"/>
              <w:autoSpaceDN w:val="0"/>
              <w:adjustRightInd w:val="0"/>
              <w:jc w:val="center"/>
              <w:rPr>
                <w:kern w:val="0"/>
                <w:szCs w:val="21"/>
              </w:rPr>
            </w:pPr>
            <w:r w:rsidRPr="00FD0D8E">
              <w:rPr>
                <w:kern w:val="0"/>
                <w:szCs w:val="21"/>
              </w:rPr>
              <w:t>(0.003)</w:t>
            </w:r>
          </w:p>
        </w:tc>
      </w:tr>
      <w:tr w:rsidR="00C45901" w:rsidRPr="00FD0D8E" w14:paraId="1719DB88" w14:textId="77777777" w:rsidTr="005A5608">
        <w:tc>
          <w:tcPr>
            <w:tcW w:w="804" w:type="pct"/>
            <w:tcBorders>
              <w:top w:val="nil"/>
              <w:left w:val="nil"/>
              <w:bottom w:val="nil"/>
              <w:right w:val="nil"/>
            </w:tcBorders>
          </w:tcPr>
          <w:p w14:paraId="65875F34" w14:textId="77777777" w:rsidR="00C45901" w:rsidRPr="00FD0D8E" w:rsidRDefault="00C45901" w:rsidP="00C74EB6">
            <w:pPr>
              <w:autoSpaceDE w:val="0"/>
              <w:autoSpaceDN w:val="0"/>
              <w:adjustRightInd w:val="0"/>
              <w:rPr>
                <w:kern w:val="0"/>
                <w:szCs w:val="21"/>
              </w:rPr>
            </w:pPr>
            <w:r w:rsidRPr="00FD0D8E">
              <w:rPr>
                <w:kern w:val="0"/>
                <w:szCs w:val="21"/>
              </w:rPr>
              <w:t>Size</w:t>
            </w:r>
          </w:p>
        </w:tc>
        <w:tc>
          <w:tcPr>
            <w:tcW w:w="839" w:type="pct"/>
            <w:tcBorders>
              <w:top w:val="nil"/>
              <w:left w:val="nil"/>
              <w:bottom w:val="nil"/>
              <w:right w:val="nil"/>
            </w:tcBorders>
          </w:tcPr>
          <w:p w14:paraId="155C4AA6" w14:textId="77777777" w:rsidR="00C45901" w:rsidRPr="00FD0D8E" w:rsidRDefault="00C45901"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c>
          <w:tcPr>
            <w:tcW w:w="839" w:type="pct"/>
            <w:tcBorders>
              <w:top w:val="nil"/>
              <w:left w:val="nil"/>
              <w:bottom w:val="nil"/>
              <w:right w:val="nil"/>
            </w:tcBorders>
          </w:tcPr>
          <w:p w14:paraId="10A88658" w14:textId="77777777" w:rsidR="00C45901" w:rsidRPr="00FD0D8E" w:rsidRDefault="00C45901" w:rsidP="00C74EB6">
            <w:pPr>
              <w:autoSpaceDE w:val="0"/>
              <w:autoSpaceDN w:val="0"/>
              <w:adjustRightInd w:val="0"/>
              <w:jc w:val="center"/>
              <w:rPr>
                <w:kern w:val="0"/>
                <w:szCs w:val="21"/>
              </w:rPr>
            </w:pPr>
            <w:r w:rsidRPr="00FD0D8E">
              <w:rPr>
                <w:kern w:val="0"/>
                <w:szCs w:val="21"/>
              </w:rPr>
              <w:t>0.022</w:t>
            </w:r>
            <w:r w:rsidRPr="00FD0D8E">
              <w:rPr>
                <w:kern w:val="0"/>
                <w:szCs w:val="21"/>
                <w:vertAlign w:val="superscript"/>
              </w:rPr>
              <w:t>***</w:t>
            </w:r>
          </w:p>
        </w:tc>
        <w:tc>
          <w:tcPr>
            <w:tcW w:w="839" w:type="pct"/>
            <w:tcBorders>
              <w:top w:val="nil"/>
              <w:left w:val="nil"/>
              <w:bottom w:val="nil"/>
              <w:right w:val="nil"/>
            </w:tcBorders>
          </w:tcPr>
          <w:p w14:paraId="2C368EC0" w14:textId="77777777" w:rsidR="00C45901" w:rsidRPr="00FD0D8E" w:rsidRDefault="00C45901"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c>
          <w:tcPr>
            <w:tcW w:w="839" w:type="pct"/>
            <w:tcBorders>
              <w:top w:val="nil"/>
              <w:left w:val="nil"/>
              <w:bottom w:val="nil"/>
              <w:right w:val="nil"/>
            </w:tcBorders>
          </w:tcPr>
          <w:p w14:paraId="440F18BE" w14:textId="77777777" w:rsidR="00C45901" w:rsidRPr="00FD0D8E" w:rsidRDefault="00C45901"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c>
          <w:tcPr>
            <w:tcW w:w="839" w:type="pct"/>
            <w:tcBorders>
              <w:top w:val="nil"/>
              <w:left w:val="nil"/>
              <w:bottom w:val="nil"/>
              <w:right w:val="nil"/>
            </w:tcBorders>
          </w:tcPr>
          <w:p w14:paraId="12350552" w14:textId="77777777" w:rsidR="00C45901" w:rsidRPr="00FD0D8E" w:rsidRDefault="00C45901"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r>
      <w:tr w:rsidR="00C45901" w:rsidRPr="00FD0D8E" w14:paraId="131E5E78" w14:textId="77777777" w:rsidTr="005A5608">
        <w:tc>
          <w:tcPr>
            <w:tcW w:w="804" w:type="pct"/>
            <w:tcBorders>
              <w:top w:val="nil"/>
              <w:left w:val="nil"/>
              <w:bottom w:val="nil"/>
              <w:right w:val="nil"/>
            </w:tcBorders>
          </w:tcPr>
          <w:p w14:paraId="5607A17C" w14:textId="77777777" w:rsidR="00C45901" w:rsidRPr="00FD0D8E" w:rsidRDefault="00C45901" w:rsidP="00C74EB6">
            <w:pPr>
              <w:autoSpaceDE w:val="0"/>
              <w:autoSpaceDN w:val="0"/>
              <w:adjustRightInd w:val="0"/>
              <w:rPr>
                <w:kern w:val="0"/>
                <w:szCs w:val="21"/>
              </w:rPr>
            </w:pPr>
          </w:p>
        </w:tc>
        <w:tc>
          <w:tcPr>
            <w:tcW w:w="839" w:type="pct"/>
            <w:tcBorders>
              <w:top w:val="nil"/>
              <w:left w:val="nil"/>
              <w:bottom w:val="nil"/>
              <w:right w:val="nil"/>
            </w:tcBorders>
          </w:tcPr>
          <w:p w14:paraId="7DCAEAE9"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6CA2D6D1" w14:textId="77777777" w:rsidR="00C45901" w:rsidRPr="00FD0D8E" w:rsidRDefault="00C45901" w:rsidP="00C74EB6">
            <w:pPr>
              <w:autoSpaceDE w:val="0"/>
              <w:autoSpaceDN w:val="0"/>
              <w:adjustRightInd w:val="0"/>
              <w:jc w:val="center"/>
              <w:rPr>
                <w:kern w:val="0"/>
                <w:szCs w:val="21"/>
              </w:rPr>
            </w:pPr>
            <w:r w:rsidRPr="00FD0D8E">
              <w:rPr>
                <w:kern w:val="0"/>
                <w:szCs w:val="21"/>
              </w:rPr>
              <w:t>(0.002)</w:t>
            </w:r>
          </w:p>
        </w:tc>
        <w:tc>
          <w:tcPr>
            <w:tcW w:w="839" w:type="pct"/>
            <w:tcBorders>
              <w:top w:val="nil"/>
              <w:left w:val="nil"/>
              <w:bottom w:val="nil"/>
              <w:right w:val="nil"/>
            </w:tcBorders>
          </w:tcPr>
          <w:p w14:paraId="3E17F89A"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38A8FC58"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c>
          <w:tcPr>
            <w:tcW w:w="839" w:type="pct"/>
            <w:tcBorders>
              <w:top w:val="nil"/>
              <w:left w:val="nil"/>
              <w:bottom w:val="nil"/>
              <w:right w:val="nil"/>
            </w:tcBorders>
          </w:tcPr>
          <w:p w14:paraId="45E591FD" w14:textId="77777777" w:rsidR="00C45901" w:rsidRPr="00FD0D8E" w:rsidRDefault="00C45901" w:rsidP="00C74EB6">
            <w:pPr>
              <w:autoSpaceDE w:val="0"/>
              <w:autoSpaceDN w:val="0"/>
              <w:adjustRightInd w:val="0"/>
              <w:jc w:val="center"/>
              <w:rPr>
                <w:kern w:val="0"/>
                <w:szCs w:val="21"/>
              </w:rPr>
            </w:pPr>
            <w:r w:rsidRPr="00FD0D8E">
              <w:rPr>
                <w:kern w:val="0"/>
                <w:szCs w:val="21"/>
              </w:rPr>
              <w:t>(0.001)</w:t>
            </w:r>
          </w:p>
        </w:tc>
      </w:tr>
      <w:tr w:rsidR="007F210E" w:rsidRPr="00FD0D8E" w14:paraId="6CF8C36B" w14:textId="77777777" w:rsidTr="005A5608">
        <w:tc>
          <w:tcPr>
            <w:tcW w:w="804" w:type="pct"/>
            <w:tcBorders>
              <w:top w:val="nil"/>
              <w:left w:val="nil"/>
              <w:bottom w:val="nil"/>
              <w:right w:val="nil"/>
            </w:tcBorders>
            <w:vAlign w:val="center"/>
          </w:tcPr>
          <w:p w14:paraId="48C5D36F" w14:textId="43485D12" w:rsidR="007F210E" w:rsidRPr="00FD0D8E" w:rsidRDefault="007F210E" w:rsidP="00C74EB6">
            <w:pPr>
              <w:autoSpaceDE w:val="0"/>
              <w:autoSpaceDN w:val="0"/>
              <w:adjustRightInd w:val="0"/>
              <w:rPr>
                <w:kern w:val="0"/>
                <w:szCs w:val="21"/>
              </w:rPr>
            </w:pPr>
            <w:r w:rsidRPr="00FD0D8E">
              <w:rPr>
                <w:kern w:val="0"/>
                <w:szCs w:val="21"/>
              </w:rPr>
              <w:t>行业</w:t>
            </w:r>
            <w:r w:rsidRPr="00FD0D8E">
              <w:rPr>
                <w:kern w:val="0"/>
                <w:szCs w:val="21"/>
              </w:rPr>
              <w:t>FE</w:t>
            </w:r>
          </w:p>
        </w:tc>
        <w:tc>
          <w:tcPr>
            <w:tcW w:w="839" w:type="pct"/>
            <w:tcBorders>
              <w:top w:val="nil"/>
              <w:left w:val="nil"/>
              <w:bottom w:val="nil"/>
              <w:right w:val="nil"/>
            </w:tcBorders>
          </w:tcPr>
          <w:p w14:paraId="684D1826" w14:textId="4A274E8F"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70A446F0" w14:textId="60FDA7AD"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69425CEC" w14:textId="7E168EFB"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31F3ADC4" w14:textId="42782C0B"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6C5DFE7C" w14:textId="173E7B63"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r>
      <w:tr w:rsidR="007F210E" w:rsidRPr="00FD0D8E" w14:paraId="607D72CB" w14:textId="77777777" w:rsidTr="005A5608">
        <w:tc>
          <w:tcPr>
            <w:tcW w:w="804" w:type="pct"/>
            <w:tcBorders>
              <w:top w:val="nil"/>
              <w:left w:val="nil"/>
              <w:bottom w:val="nil"/>
              <w:right w:val="nil"/>
            </w:tcBorders>
            <w:vAlign w:val="center"/>
          </w:tcPr>
          <w:p w14:paraId="1FC98E5C" w14:textId="53105330" w:rsidR="007F210E" w:rsidRPr="00FD0D8E" w:rsidRDefault="007F210E" w:rsidP="00C74EB6">
            <w:pPr>
              <w:autoSpaceDE w:val="0"/>
              <w:autoSpaceDN w:val="0"/>
              <w:adjustRightInd w:val="0"/>
              <w:rPr>
                <w:kern w:val="0"/>
                <w:szCs w:val="21"/>
              </w:rPr>
            </w:pPr>
            <w:r w:rsidRPr="00FD0D8E">
              <w:rPr>
                <w:kern w:val="0"/>
                <w:szCs w:val="21"/>
              </w:rPr>
              <w:t>年份</w:t>
            </w:r>
            <w:r w:rsidRPr="00FD0D8E">
              <w:rPr>
                <w:kern w:val="0"/>
                <w:szCs w:val="21"/>
              </w:rPr>
              <w:t>FE</w:t>
            </w:r>
          </w:p>
        </w:tc>
        <w:tc>
          <w:tcPr>
            <w:tcW w:w="839" w:type="pct"/>
            <w:tcBorders>
              <w:top w:val="nil"/>
              <w:left w:val="nil"/>
              <w:bottom w:val="nil"/>
              <w:right w:val="nil"/>
            </w:tcBorders>
          </w:tcPr>
          <w:p w14:paraId="126720B0" w14:textId="34544A8E"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195DBB6F" w14:textId="20BCF591"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3BEC4D58" w14:textId="0C257633"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735FEF66" w14:textId="143430B0"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839" w:type="pct"/>
            <w:tcBorders>
              <w:top w:val="nil"/>
              <w:left w:val="nil"/>
              <w:bottom w:val="nil"/>
              <w:right w:val="nil"/>
            </w:tcBorders>
          </w:tcPr>
          <w:p w14:paraId="4270125E" w14:textId="313C7F38"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r>
      <w:tr w:rsidR="00953DD2" w:rsidRPr="00FD0D8E" w14:paraId="215A816E" w14:textId="77777777" w:rsidTr="007F210E">
        <w:tc>
          <w:tcPr>
            <w:tcW w:w="804" w:type="pct"/>
            <w:tcBorders>
              <w:top w:val="nil"/>
              <w:left w:val="nil"/>
              <w:right w:val="nil"/>
            </w:tcBorders>
          </w:tcPr>
          <w:p w14:paraId="57613433" w14:textId="47CF4CA1" w:rsidR="00953DD2" w:rsidRPr="00FD0D8E" w:rsidRDefault="00953DD2" w:rsidP="00953DD2">
            <w:pPr>
              <w:autoSpaceDE w:val="0"/>
              <w:autoSpaceDN w:val="0"/>
              <w:adjustRightInd w:val="0"/>
              <w:rPr>
                <w:kern w:val="0"/>
                <w:szCs w:val="21"/>
              </w:rPr>
            </w:pPr>
            <w:r w:rsidRPr="00FD0D8E">
              <w:rPr>
                <w:kern w:val="0"/>
                <w:szCs w:val="21"/>
              </w:rPr>
              <w:t>N</w:t>
            </w:r>
          </w:p>
        </w:tc>
        <w:tc>
          <w:tcPr>
            <w:tcW w:w="839" w:type="pct"/>
            <w:tcBorders>
              <w:top w:val="nil"/>
              <w:left w:val="nil"/>
              <w:right w:val="nil"/>
            </w:tcBorders>
          </w:tcPr>
          <w:p w14:paraId="471C7FBD" w14:textId="43423EF5" w:rsidR="00953DD2" w:rsidRPr="00FD0D8E" w:rsidRDefault="00953DD2" w:rsidP="00953DD2">
            <w:pPr>
              <w:autoSpaceDE w:val="0"/>
              <w:autoSpaceDN w:val="0"/>
              <w:adjustRightInd w:val="0"/>
              <w:jc w:val="center"/>
              <w:rPr>
                <w:kern w:val="0"/>
                <w:szCs w:val="21"/>
              </w:rPr>
            </w:pPr>
            <w:r w:rsidRPr="00FD0D8E">
              <w:rPr>
                <w:kern w:val="0"/>
                <w:szCs w:val="21"/>
              </w:rPr>
              <w:t>20815</w:t>
            </w:r>
          </w:p>
        </w:tc>
        <w:tc>
          <w:tcPr>
            <w:tcW w:w="839" w:type="pct"/>
            <w:tcBorders>
              <w:top w:val="nil"/>
              <w:left w:val="nil"/>
              <w:right w:val="nil"/>
            </w:tcBorders>
          </w:tcPr>
          <w:p w14:paraId="2B5D4F20" w14:textId="4ECD5FDC" w:rsidR="00953DD2" w:rsidRPr="00FD0D8E" w:rsidRDefault="00953DD2" w:rsidP="00953DD2">
            <w:pPr>
              <w:autoSpaceDE w:val="0"/>
              <w:autoSpaceDN w:val="0"/>
              <w:adjustRightInd w:val="0"/>
              <w:jc w:val="center"/>
              <w:rPr>
                <w:kern w:val="0"/>
                <w:szCs w:val="21"/>
              </w:rPr>
            </w:pPr>
            <w:r w:rsidRPr="00FD0D8E">
              <w:rPr>
                <w:kern w:val="0"/>
                <w:szCs w:val="21"/>
              </w:rPr>
              <w:t>20815</w:t>
            </w:r>
          </w:p>
        </w:tc>
        <w:tc>
          <w:tcPr>
            <w:tcW w:w="839" w:type="pct"/>
            <w:tcBorders>
              <w:top w:val="nil"/>
              <w:left w:val="nil"/>
              <w:right w:val="nil"/>
            </w:tcBorders>
          </w:tcPr>
          <w:p w14:paraId="35B153D2" w14:textId="2585820B" w:rsidR="00953DD2" w:rsidRPr="00FD0D8E" w:rsidRDefault="00953DD2" w:rsidP="00953DD2">
            <w:pPr>
              <w:autoSpaceDE w:val="0"/>
              <w:autoSpaceDN w:val="0"/>
              <w:adjustRightInd w:val="0"/>
              <w:jc w:val="center"/>
              <w:rPr>
                <w:kern w:val="0"/>
                <w:szCs w:val="21"/>
              </w:rPr>
            </w:pPr>
            <w:r w:rsidRPr="00FD0D8E">
              <w:rPr>
                <w:kern w:val="0"/>
                <w:szCs w:val="21"/>
              </w:rPr>
              <w:t>20815</w:t>
            </w:r>
          </w:p>
        </w:tc>
        <w:tc>
          <w:tcPr>
            <w:tcW w:w="839" w:type="pct"/>
            <w:tcBorders>
              <w:top w:val="nil"/>
              <w:left w:val="nil"/>
              <w:right w:val="nil"/>
            </w:tcBorders>
          </w:tcPr>
          <w:p w14:paraId="6EE966EB" w14:textId="168BECCB" w:rsidR="00953DD2" w:rsidRPr="00FD0D8E" w:rsidRDefault="00953DD2" w:rsidP="00953DD2">
            <w:pPr>
              <w:autoSpaceDE w:val="0"/>
              <w:autoSpaceDN w:val="0"/>
              <w:adjustRightInd w:val="0"/>
              <w:jc w:val="center"/>
              <w:rPr>
                <w:kern w:val="0"/>
                <w:szCs w:val="21"/>
              </w:rPr>
            </w:pPr>
            <w:r w:rsidRPr="00FD0D8E">
              <w:rPr>
                <w:kern w:val="0"/>
                <w:szCs w:val="21"/>
              </w:rPr>
              <w:t>20815</w:t>
            </w:r>
          </w:p>
        </w:tc>
        <w:tc>
          <w:tcPr>
            <w:tcW w:w="839" w:type="pct"/>
            <w:tcBorders>
              <w:top w:val="nil"/>
              <w:left w:val="nil"/>
              <w:right w:val="nil"/>
            </w:tcBorders>
          </w:tcPr>
          <w:p w14:paraId="0B1E3817" w14:textId="78492AA8" w:rsidR="00953DD2" w:rsidRPr="00FD0D8E" w:rsidRDefault="00953DD2" w:rsidP="00953DD2">
            <w:pPr>
              <w:autoSpaceDE w:val="0"/>
              <w:autoSpaceDN w:val="0"/>
              <w:adjustRightInd w:val="0"/>
              <w:jc w:val="center"/>
              <w:rPr>
                <w:kern w:val="0"/>
                <w:szCs w:val="21"/>
              </w:rPr>
            </w:pPr>
            <w:r w:rsidRPr="00FD0D8E">
              <w:rPr>
                <w:kern w:val="0"/>
                <w:szCs w:val="21"/>
              </w:rPr>
              <w:t>20815</w:t>
            </w:r>
          </w:p>
        </w:tc>
      </w:tr>
      <w:tr w:rsidR="007F210E" w:rsidRPr="00FD0D8E" w14:paraId="5701A5FD" w14:textId="77777777" w:rsidTr="007F210E">
        <w:tc>
          <w:tcPr>
            <w:tcW w:w="804" w:type="pct"/>
            <w:tcBorders>
              <w:top w:val="nil"/>
              <w:left w:val="nil"/>
              <w:bottom w:val="single" w:sz="4" w:space="0" w:color="auto"/>
              <w:right w:val="nil"/>
            </w:tcBorders>
            <w:vAlign w:val="center"/>
          </w:tcPr>
          <w:p w14:paraId="5D86A681" w14:textId="7A3EA1E9" w:rsidR="007F210E" w:rsidRPr="00FD0D8E" w:rsidRDefault="007F210E" w:rsidP="00C74EB6">
            <w:pPr>
              <w:autoSpaceDE w:val="0"/>
              <w:autoSpaceDN w:val="0"/>
              <w:adjustRightInd w:val="0"/>
              <w:rPr>
                <w:kern w:val="0"/>
                <w:szCs w:val="21"/>
              </w:rPr>
            </w:pPr>
            <w:r w:rsidRPr="00FD0D8E">
              <w:rPr>
                <w:kern w:val="0"/>
                <w:szCs w:val="21"/>
              </w:rPr>
              <w:t>Pseudo R²</w:t>
            </w:r>
          </w:p>
        </w:tc>
        <w:tc>
          <w:tcPr>
            <w:tcW w:w="839" w:type="pct"/>
            <w:tcBorders>
              <w:top w:val="nil"/>
              <w:left w:val="nil"/>
              <w:bottom w:val="single" w:sz="4" w:space="0" w:color="auto"/>
              <w:right w:val="nil"/>
            </w:tcBorders>
          </w:tcPr>
          <w:p w14:paraId="11AE7E6E" w14:textId="6DB8BF21" w:rsidR="007F210E" w:rsidRPr="00FD0D8E" w:rsidRDefault="007F210E" w:rsidP="00C74EB6">
            <w:pPr>
              <w:autoSpaceDE w:val="0"/>
              <w:autoSpaceDN w:val="0"/>
              <w:adjustRightInd w:val="0"/>
              <w:jc w:val="center"/>
              <w:rPr>
                <w:kern w:val="0"/>
                <w:szCs w:val="21"/>
              </w:rPr>
            </w:pPr>
            <w:r w:rsidRPr="00FD0D8E">
              <w:rPr>
                <w:rFonts w:hint="eastAsia"/>
                <w:kern w:val="0"/>
                <w:szCs w:val="21"/>
              </w:rPr>
              <w:t>0.23</w:t>
            </w:r>
          </w:p>
        </w:tc>
        <w:tc>
          <w:tcPr>
            <w:tcW w:w="839" w:type="pct"/>
            <w:tcBorders>
              <w:top w:val="nil"/>
              <w:left w:val="nil"/>
              <w:bottom w:val="single" w:sz="4" w:space="0" w:color="auto"/>
              <w:right w:val="nil"/>
            </w:tcBorders>
          </w:tcPr>
          <w:p w14:paraId="6E34F416" w14:textId="48B5F3CC" w:rsidR="007F210E" w:rsidRPr="00FD0D8E" w:rsidRDefault="007F210E" w:rsidP="00C74EB6">
            <w:pPr>
              <w:autoSpaceDE w:val="0"/>
              <w:autoSpaceDN w:val="0"/>
              <w:adjustRightInd w:val="0"/>
              <w:jc w:val="center"/>
              <w:rPr>
                <w:kern w:val="0"/>
                <w:szCs w:val="21"/>
              </w:rPr>
            </w:pPr>
            <w:r w:rsidRPr="00FD0D8E">
              <w:rPr>
                <w:rFonts w:hint="eastAsia"/>
                <w:kern w:val="0"/>
                <w:szCs w:val="21"/>
              </w:rPr>
              <w:t>0.23</w:t>
            </w:r>
          </w:p>
        </w:tc>
        <w:tc>
          <w:tcPr>
            <w:tcW w:w="839" w:type="pct"/>
            <w:tcBorders>
              <w:top w:val="nil"/>
              <w:left w:val="nil"/>
              <w:bottom w:val="single" w:sz="4" w:space="0" w:color="auto"/>
              <w:right w:val="nil"/>
            </w:tcBorders>
          </w:tcPr>
          <w:p w14:paraId="0084DDB1" w14:textId="14914CFA" w:rsidR="007F210E" w:rsidRPr="00FD0D8E" w:rsidRDefault="007F210E" w:rsidP="00C74EB6">
            <w:pPr>
              <w:autoSpaceDE w:val="0"/>
              <w:autoSpaceDN w:val="0"/>
              <w:adjustRightInd w:val="0"/>
              <w:jc w:val="center"/>
              <w:rPr>
                <w:kern w:val="0"/>
                <w:szCs w:val="21"/>
              </w:rPr>
            </w:pPr>
            <w:r w:rsidRPr="00FD0D8E">
              <w:rPr>
                <w:rFonts w:hint="eastAsia"/>
                <w:kern w:val="0"/>
                <w:szCs w:val="21"/>
              </w:rPr>
              <w:t>0.23</w:t>
            </w:r>
          </w:p>
        </w:tc>
        <w:tc>
          <w:tcPr>
            <w:tcW w:w="839" w:type="pct"/>
            <w:tcBorders>
              <w:top w:val="nil"/>
              <w:left w:val="nil"/>
              <w:bottom w:val="single" w:sz="4" w:space="0" w:color="auto"/>
              <w:right w:val="nil"/>
            </w:tcBorders>
          </w:tcPr>
          <w:p w14:paraId="04397FC9" w14:textId="2542D8F5" w:rsidR="007F210E" w:rsidRPr="00FD0D8E" w:rsidRDefault="007F210E" w:rsidP="00C74EB6">
            <w:pPr>
              <w:autoSpaceDE w:val="0"/>
              <w:autoSpaceDN w:val="0"/>
              <w:adjustRightInd w:val="0"/>
              <w:jc w:val="center"/>
              <w:rPr>
                <w:kern w:val="0"/>
                <w:szCs w:val="21"/>
              </w:rPr>
            </w:pPr>
            <w:r w:rsidRPr="00FD0D8E">
              <w:rPr>
                <w:rFonts w:hint="eastAsia"/>
                <w:kern w:val="0"/>
                <w:szCs w:val="21"/>
              </w:rPr>
              <w:t>0.23</w:t>
            </w:r>
          </w:p>
        </w:tc>
        <w:tc>
          <w:tcPr>
            <w:tcW w:w="839" w:type="pct"/>
            <w:tcBorders>
              <w:top w:val="nil"/>
              <w:left w:val="nil"/>
              <w:bottom w:val="single" w:sz="4" w:space="0" w:color="auto"/>
              <w:right w:val="nil"/>
            </w:tcBorders>
          </w:tcPr>
          <w:p w14:paraId="2CE7E324" w14:textId="1089E315" w:rsidR="007F210E" w:rsidRPr="00FD0D8E" w:rsidRDefault="007F210E" w:rsidP="00C74EB6">
            <w:pPr>
              <w:autoSpaceDE w:val="0"/>
              <w:autoSpaceDN w:val="0"/>
              <w:adjustRightInd w:val="0"/>
              <w:jc w:val="center"/>
              <w:rPr>
                <w:kern w:val="0"/>
                <w:szCs w:val="21"/>
              </w:rPr>
            </w:pPr>
            <w:r w:rsidRPr="00FD0D8E">
              <w:rPr>
                <w:rFonts w:hint="eastAsia"/>
                <w:kern w:val="0"/>
                <w:szCs w:val="21"/>
              </w:rPr>
              <w:t>0.23</w:t>
            </w:r>
          </w:p>
        </w:tc>
      </w:tr>
    </w:tbl>
    <w:p w14:paraId="1936108B" w14:textId="5EAB6F1E" w:rsidR="00C45901" w:rsidRPr="00C45901" w:rsidRDefault="00C45901" w:rsidP="00C45901">
      <w:pPr>
        <w:ind w:firstLine="360"/>
        <w:jc w:val="left"/>
        <w:rPr>
          <w:sz w:val="18"/>
          <w:szCs w:val="18"/>
        </w:rPr>
      </w:pPr>
      <w:r w:rsidRPr="00C45901">
        <w:rPr>
          <w:rFonts w:hint="eastAsia"/>
          <w:kern w:val="0"/>
          <w:sz w:val="18"/>
          <w:szCs w:val="18"/>
        </w:rPr>
        <w:t>注：</w:t>
      </w:r>
      <w:r w:rsidR="00601DA8" w:rsidRPr="00086241">
        <w:rPr>
          <w:rFonts w:hint="eastAsia"/>
          <w:kern w:val="0"/>
          <w:sz w:val="18"/>
          <w:szCs w:val="18"/>
        </w:rPr>
        <w:t>表内报告的是估计结果的边际效应；</w:t>
      </w:r>
      <w:r w:rsidRPr="00C45901">
        <w:rPr>
          <w:rFonts w:hint="eastAsia"/>
          <w:kern w:val="0"/>
          <w:sz w:val="18"/>
          <w:szCs w:val="18"/>
        </w:rPr>
        <w:t>括号内代表聚类稳健标准误；</w:t>
      </w:r>
      <w:r w:rsidRPr="00C45901">
        <w:rPr>
          <w:rFonts w:hint="eastAsia"/>
          <w:kern w:val="0"/>
          <w:sz w:val="18"/>
          <w:szCs w:val="18"/>
        </w:rPr>
        <w:t>*</w:t>
      </w:r>
      <w:r w:rsidRPr="00C45901">
        <w:rPr>
          <w:rFonts w:hint="eastAsia"/>
          <w:kern w:val="0"/>
          <w:sz w:val="18"/>
          <w:szCs w:val="18"/>
        </w:rPr>
        <w:t>，</w:t>
      </w:r>
      <w:r w:rsidRPr="00C45901">
        <w:rPr>
          <w:rFonts w:hint="eastAsia"/>
          <w:kern w:val="0"/>
          <w:sz w:val="18"/>
          <w:szCs w:val="18"/>
        </w:rPr>
        <w:t>**</w:t>
      </w:r>
      <w:r w:rsidRPr="00C45901">
        <w:rPr>
          <w:rFonts w:hint="eastAsia"/>
          <w:kern w:val="0"/>
          <w:sz w:val="18"/>
          <w:szCs w:val="18"/>
        </w:rPr>
        <w:t>，</w:t>
      </w:r>
      <w:r w:rsidRPr="00C45901">
        <w:rPr>
          <w:rFonts w:hint="eastAsia"/>
          <w:kern w:val="0"/>
          <w:sz w:val="18"/>
          <w:szCs w:val="18"/>
        </w:rPr>
        <w:t>***</w:t>
      </w:r>
      <w:r w:rsidRPr="00C45901">
        <w:rPr>
          <w:rFonts w:hint="eastAsia"/>
          <w:kern w:val="0"/>
          <w:sz w:val="18"/>
          <w:szCs w:val="18"/>
        </w:rPr>
        <w:t>分别表示变量在</w:t>
      </w:r>
      <w:r w:rsidRPr="00C45901">
        <w:rPr>
          <w:rFonts w:hint="eastAsia"/>
          <w:kern w:val="0"/>
          <w:sz w:val="18"/>
          <w:szCs w:val="18"/>
        </w:rPr>
        <w:t>10%</w:t>
      </w:r>
      <w:r w:rsidRPr="00C45901">
        <w:rPr>
          <w:rFonts w:hint="eastAsia"/>
          <w:kern w:val="0"/>
          <w:sz w:val="18"/>
          <w:szCs w:val="18"/>
        </w:rPr>
        <w:t>、</w:t>
      </w:r>
      <w:r w:rsidRPr="00C45901">
        <w:rPr>
          <w:rFonts w:hint="eastAsia"/>
          <w:kern w:val="0"/>
          <w:sz w:val="18"/>
          <w:szCs w:val="18"/>
        </w:rPr>
        <w:t>5%</w:t>
      </w:r>
      <w:r w:rsidRPr="00C45901">
        <w:rPr>
          <w:rFonts w:hint="eastAsia"/>
          <w:kern w:val="0"/>
          <w:sz w:val="18"/>
          <w:szCs w:val="18"/>
        </w:rPr>
        <w:t>、</w:t>
      </w:r>
      <w:r w:rsidRPr="00C45901">
        <w:rPr>
          <w:rFonts w:hint="eastAsia"/>
          <w:kern w:val="0"/>
          <w:sz w:val="18"/>
          <w:szCs w:val="18"/>
        </w:rPr>
        <w:t>1%</w:t>
      </w:r>
      <w:r w:rsidRPr="00C45901">
        <w:rPr>
          <w:rFonts w:hint="eastAsia"/>
          <w:kern w:val="0"/>
          <w:sz w:val="18"/>
          <w:szCs w:val="18"/>
        </w:rPr>
        <w:t>水平显著。</w:t>
      </w:r>
    </w:p>
    <w:p w14:paraId="30ED6A7A" w14:textId="77777777" w:rsidR="00C45901" w:rsidRDefault="00C45901" w:rsidP="00D60469">
      <w:pPr>
        <w:pStyle w:val="af5"/>
        <w:spacing w:line="360" w:lineRule="auto"/>
        <w:ind w:firstLine="482"/>
        <w:rPr>
          <w:rFonts w:ascii="Times New Roman" w:hAnsi="Times New Roman"/>
        </w:rPr>
      </w:pPr>
    </w:p>
    <w:p w14:paraId="56490E0C" w14:textId="77777777" w:rsidR="009D0FC5" w:rsidRDefault="009D0FC5" w:rsidP="00C74EB6"/>
    <w:p w14:paraId="6E7FE8E2" w14:textId="77777777" w:rsidR="00C74EB6" w:rsidRDefault="00C74EB6" w:rsidP="00C74EB6"/>
    <w:p w14:paraId="38692956" w14:textId="77777777" w:rsidR="00C74EB6" w:rsidRPr="00601DA8" w:rsidRDefault="00C74EB6" w:rsidP="00C74EB6"/>
    <w:p w14:paraId="42951BA0" w14:textId="7C5FE0FB" w:rsidR="00D60469" w:rsidRPr="00734874" w:rsidRDefault="00734874" w:rsidP="00734874">
      <w:pPr>
        <w:pStyle w:val="af5"/>
        <w:ind w:firstLine="482"/>
        <w:rPr>
          <w:rFonts w:ascii="Times New Roman" w:hAnsi="Times New Roman"/>
        </w:rPr>
      </w:pPr>
      <w:bookmarkStart w:id="150" w:name="_Ref190769363"/>
      <w:r w:rsidRPr="00734874">
        <w:rPr>
          <w:rFonts w:ascii="Times New Roman" w:hAnsi="Times New Roman" w:hint="eastAsia"/>
        </w:rPr>
        <w:t>表</w:t>
      </w:r>
      <w:r w:rsidRPr="00734874">
        <w:rPr>
          <w:rFonts w:ascii="Times New Roman" w:hAnsi="Times New Roman" w:hint="eastAsia"/>
        </w:rPr>
        <w:t xml:space="preserve"> </w:t>
      </w:r>
      <w:r w:rsidRPr="00734874">
        <w:rPr>
          <w:rFonts w:ascii="Times New Roman" w:hAnsi="Times New Roman" w:hint="eastAsia"/>
        </w:rPr>
        <w:fldChar w:fldCharType="begin"/>
      </w:r>
      <w:r w:rsidRPr="00734874">
        <w:rPr>
          <w:rFonts w:ascii="Times New Roman" w:hAnsi="Times New Roman" w:hint="eastAsia"/>
        </w:rPr>
        <w:instrText xml:space="preserve"> SEQ </w:instrText>
      </w:r>
      <w:r w:rsidRPr="00734874">
        <w:rPr>
          <w:rFonts w:ascii="Times New Roman" w:hAnsi="Times New Roman" w:hint="eastAsia"/>
        </w:rPr>
        <w:instrText>表</w:instrText>
      </w:r>
      <w:r w:rsidRPr="00734874">
        <w:rPr>
          <w:rFonts w:ascii="Times New Roman" w:hAnsi="Times New Roman" w:hint="eastAsia"/>
        </w:rPr>
        <w:instrText xml:space="preserve"> \* ARABIC </w:instrText>
      </w:r>
      <w:r w:rsidRPr="00734874">
        <w:rPr>
          <w:rFonts w:ascii="Times New Roman" w:hAnsi="Times New Roman" w:hint="eastAsia"/>
        </w:rPr>
        <w:fldChar w:fldCharType="separate"/>
      </w:r>
      <w:r w:rsidR="00AF2180">
        <w:rPr>
          <w:rFonts w:ascii="Times New Roman" w:hAnsi="Times New Roman"/>
          <w:noProof/>
        </w:rPr>
        <w:t>13</w:t>
      </w:r>
      <w:r w:rsidRPr="00734874">
        <w:rPr>
          <w:rFonts w:ascii="Times New Roman" w:hAnsi="Times New Roman" w:hint="eastAsia"/>
        </w:rPr>
        <w:fldChar w:fldCharType="end"/>
      </w:r>
      <w:bookmarkEnd w:id="150"/>
      <w:r w:rsidR="00D60469" w:rsidRPr="00734874">
        <w:rPr>
          <w:rFonts w:ascii="Times New Roman" w:hAnsi="Times New Roman" w:hint="eastAsia"/>
        </w:rPr>
        <w:t>：替换组织资本的计算方式进行稳健性检验</w:t>
      </w:r>
    </w:p>
    <w:tbl>
      <w:tblPr>
        <w:tblW w:w="5000" w:type="pct"/>
        <w:tblLook w:val="0000" w:firstRow="0" w:lastRow="0" w:firstColumn="0" w:lastColumn="0" w:noHBand="0" w:noVBand="0"/>
      </w:tblPr>
      <w:tblGrid>
        <w:gridCol w:w="1936"/>
        <w:gridCol w:w="2122"/>
        <w:gridCol w:w="2123"/>
        <w:gridCol w:w="2125"/>
      </w:tblGrid>
      <w:tr w:rsidR="00D60469" w:rsidRPr="00FD0D8E" w14:paraId="3FF03A14" w14:textId="77777777" w:rsidTr="00C45901">
        <w:tc>
          <w:tcPr>
            <w:tcW w:w="1165" w:type="pct"/>
            <w:tcBorders>
              <w:top w:val="single" w:sz="4" w:space="0" w:color="auto"/>
              <w:left w:val="nil"/>
              <w:bottom w:val="nil"/>
              <w:right w:val="nil"/>
            </w:tcBorders>
          </w:tcPr>
          <w:p w14:paraId="6D51A8CE" w14:textId="77777777" w:rsidR="00D60469" w:rsidRPr="00FD0D8E" w:rsidRDefault="00D60469" w:rsidP="00C74EB6">
            <w:pPr>
              <w:autoSpaceDE w:val="0"/>
              <w:autoSpaceDN w:val="0"/>
              <w:adjustRightInd w:val="0"/>
              <w:rPr>
                <w:kern w:val="0"/>
                <w:szCs w:val="21"/>
              </w:rPr>
            </w:pPr>
            <w:r w:rsidRPr="00FD0D8E">
              <w:rPr>
                <w:kern w:val="0"/>
                <w:szCs w:val="21"/>
              </w:rPr>
              <w:t>DO</w:t>
            </w:r>
            <w:r w:rsidRPr="00FD0D8E">
              <w:rPr>
                <w:kern w:val="0"/>
                <w:szCs w:val="21"/>
                <w:vertAlign w:val="subscript"/>
              </w:rPr>
              <w:t>t+1</w:t>
            </w:r>
          </w:p>
        </w:tc>
        <w:tc>
          <w:tcPr>
            <w:tcW w:w="1277" w:type="pct"/>
            <w:tcBorders>
              <w:top w:val="single" w:sz="4" w:space="0" w:color="auto"/>
              <w:left w:val="nil"/>
              <w:bottom w:val="nil"/>
              <w:right w:val="nil"/>
            </w:tcBorders>
          </w:tcPr>
          <w:p w14:paraId="70C5E550" w14:textId="77777777" w:rsidR="00D60469" w:rsidRPr="00FD0D8E" w:rsidRDefault="00D60469" w:rsidP="00C74EB6">
            <w:pPr>
              <w:autoSpaceDE w:val="0"/>
              <w:autoSpaceDN w:val="0"/>
              <w:adjustRightInd w:val="0"/>
              <w:jc w:val="center"/>
              <w:rPr>
                <w:kern w:val="0"/>
                <w:szCs w:val="21"/>
              </w:rPr>
            </w:pPr>
            <w:r w:rsidRPr="00FD0D8E">
              <w:rPr>
                <w:kern w:val="0"/>
                <w:szCs w:val="21"/>
              </w:rPr>
              <w:t>(1)</w:t>
            </w:r>
          </w:p>
        </w:tc>
        <w:tc>
          <w:tcPr>
            <w:tcW w:w="1278" w:type="pct"/>
            <w:tcBorders>
              <w:top w:val="single" w:sz="4" w:space="0" w:color="auto"/>
              <w:left w:val="nil"/>
              <w:bottom w:val="nil"/>
              <w:right w:val="nil"/>
            </w:tcBorders>
          </w:tcPr>
          <w:p w14:paraId="72FB1F47" w14:textId="77777777" w:rsidR="00D60469" w:rsidRPr="00FD0D8E" w:rsidRDefault="00D60469" w:rsidP="00C74EB6">
            <w:pPr>
              <w:autoSpaceDE w:val="0"/>
              <w:autoSpaceDN w:val="0"/>
              <w:adjustRightInd w:val="0"/>
              <w:jc w:val="center"/>
              <w:rPr>
                <w:kern w:val="0"/>
                <w:szCs w:val="21"/>
              </w:rPr>
            </w:pPr>
            <w:r w:rsidRPr="00FD0D8E">
              <w:rPr>
                <w:kern w:val="0"/>
                <w:szCs w:val="21"/>
              </w:rPr>
              <w:t>(2)</w:t>
            </w:r>
          </w:p>
        </w:tc>
        <w:tc>
          <w:tcPr>
            <w:tcW w:w="1279" w:type="pct"/>
            <w:tcBorders>
              <w:top w:val="single" w:sz="4" w:space="0" w:color="auto"/>
              <w:left w:val="nil"/>
              <w:bottom w:val="nil"/>
              <w:right w:val="nil"/>
            </w:tcBorders>
          </w:tcPr>
          <w:p w14:paraId="26EBD251" w14:textId="77777777" w:rsidR="00D60469" w:rsidRPr="00FD0D8E" w:rsidRDefault="00D60469" w:rsidP="00C74EB6">
            <w:pPr>
              <w:autoSpaceDE w:val="0"/>
              <w:autoSpaceDN w:val="0"/>
              <w:adjustRightInd w:val="0"/>
              <w:jc w:val="center"/>
              <w:rPr>
                <w:kern w:val="0"/>
                <w:szCs w:val="21"/>
              </w:rPr>
            </w:pPr>
            <w:r w:rsidRPr="00FD0D8E">
              <w:rPr>
                <w:kern w:val="0"/>
                <w:szCs w:val="21"/>
              </w:rPr>
              <w:t>(3)</w:t>
            </w:r>
          </w:p>
        </w:tc>
      </w:tr>
      <w:tr w:rsidR="00D60469" w:rsidRPr="00FD0D8E" w14:paraId="5F544950" w14:textId="77777777" w:rsidTr="00C45901">
        <w:tc>
          <w:tcPr>
            <w:tcW w:w="1165" w:type="pct"/>
            <w:tcBorders>
              <w:top w:val="single" w:sz="4" w:space="0" w:color="auto"/>
              <w:left w:val="nil"/>
              <w:bottom w:val="nil"/>
              <w:right w:val="nil"/>
            </w:tcBorders>
          </w:tcPr>
          <w:p w14:paraId="7DF0E422" w14:textId="5869A528" w:rsidR="00D60469" w:rsidRPr="00FD0D8E" w:rsidRDefault="00D9560C" w:rsidP="00C74EB6">
            <w:pPr>
              <w:autoSpaceDE w:val="0"/>
              <w:autoSpaceDN w:val="0"/>
              <w:adjustRightInd w:val="0"/>
              <w:rPr>
                <w:kern w:val="0"/>
                <w:szCs w:val="21"/>
              </w:rPr>
            </w:pPr>
            <w:proofErr w:type="spellStart"/>
            <w:r w:rsidRPr="00FD0D8E">
              <w:rPr>
                <w:kern w:val="0"/>
                <w:szCs w:val="21"/>
              </w:rPr>
              <w:t>OC</w:t>
            </w:r>
            <w:r w:rsidR="00D60469" w:rsidRPr="00FD0D8E">
              <w:rPr>
                <w:kern w:val="0"/>
                <w:szCs w:val="21"/>
              </w:rPr>
              <w:t>_</w:t>
            </w:r>
            <w:r w:rsidR="00D60469" w:rsidRPr="00FD0D8E">
              <w:rPr>
                <w:rFonts w:hint="eastAsia"/>
                <w:kern w:val="0"/>
                <w:szCs w:val="21"/>
              </w:rPr>
              <w:t>Indusrank</w:t>
            </w:r>
            <w:proofErr w:type="spellEnd"/>
          </w:p>
        </w:tc>
        <w:tc>
          <w:tcPr>
            <w:tcW w:w="1277" w:type="pct"/>
            <w:tcBorders>
              <w:top w:val="single" w:sz="4" w:space="0" w:color="auto"/>
              <w:left w:val="nil"/>
              <w:bottom w:val="nil"/>
              <w:right w:val="nil"/>
            </w:tcBorders>
          </w:tcPr>
          <w:p w14:paraId="1D6CE883" w14:textId="77777777" w:rsidR="00D60469" w:rsidRPr="00FD0D8E" w:rsidRDefault="00D60469" w:rsidP="00C74EB6">
            <w:pPr>
              <w:autoSpaceDE w:val="0"/>
              <w:autoSpaceDN w:val="0"/>
              <w:adjustRightInd w:val="0"/>
              <w:jc w:val="center"/>
              <w:rPr>
                <w:kern w:val="0"/>
                <w:szCs w:val="21"/>
              </w:rPr>
            </w:pPr>
            <w:r w:rsidRPr="00FD0D8E">
              <w:rPr>
                <w:kern w:val="0"/>
                <w:szCs w:val="21"/>
              </w:rPr>
              <w:t>0.014</w:t>
            </w:r>
            <w:r w:rsidRPr="00FD0D8E">
              <w:rPr>
                <w:kern w:val="0"/>
                <w:szCs w:val="21"/>
                <w:vertAlign w:val="superscript"/>
              </w:rPr>
              <w:t>***</w:t>
            </w:r>
          </w:p>
        </w:tc>
        <w:tc>
          <w:tcPr>
            <w:tcW w:w="1278" w:type="pct"/>
            <w:tcBorders>
              <w:top w:val="single" w:sz="4" w:space="0" w:color="auto"/>
              <w:left w:val="nil"/>
              <w:bottom w:val="nil"/>
              <w:right w:val="nil"/>
            </w:tcBorders>
          </w:tcPr>
          <w:p w14:paraId="76209C50" w14:textId="77777777" w:rsidR="00D60469" w:rsidRPr="00FD0D8E" w:rsidRDefault="00D60469" w:rsidP="00C74EB6">
            <w:pPr>
              <w:autoSpaceDE w:val="0"/>
              <w:autoSpaceDN w:val="0"/>
              <w:adjustRightInd w:val="0"/>
              <w:jc w:val="center"/>
              <w:rPr>
                <w:kern w:val="0"/>
                <w:szCs w:val="21"/>
              </w:rPr>
            </w:pPr>
          </w:p>
        </w:tc>
        <w:tc>
          <w:tcPr>
            <w:tcW w:w="1279" w:type="pct"/>
            <w:tcBorders>
              <w:top w:val="single" w:sz="4" w:space="0" w:color="auto"/>
              <w:left w:val="nil"/>
              <w:bottom w:val="nil"/>
              <w:right w:val="nil"/>
            </w:tcBorders>
          </w:tcPr>
          <w:p w14:paraId="5C19A824" w14:textId="77777777" w:rsidR="00D60469" w:rsidRPr="00FD0D8E" w:rsidRDefault="00D60469" w:rsidP="00C74EB6">
            <w:pPr>
              <w:autoSpaceDE w:val="0"/>
              <w:autoSpaceDN w:val="0"/>
              <w:adjustRightInd w:val="0"/>
              <w:jc w:val="center"/>
              <w:rPr>
                <w:kern w:val="0"/>
                <w:szCs w:val="21"/>
              </w:rPr>
            </w:pPr>
          </w:p>
        </w:tc>
      </w:tr>
      <w:tr w:rsidR="00D60469" w:rsidRPr="00FD0D8E" w14:paraId="6DF88DA4" w14:textId="77777777" w:rsidTr="00C45901">
        <w:tc>
          <w:tcPr>
            <w:tcW w:w="1165" w:type="pct"/>
            <w:tcBorders>
              <w:top w:val="nil"/>
              <w:left w:val="nil"/>
              <w:bottom w:val="nil"/>
              <w:right w:val="nil"/>
            </w:tcBorders>
          </w:tcPr>
          <w:p w14:paraId="3F8D72E8"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307DF6E3" w14:textId="77777777" w:rsidR="00D60469" w:rsidRPr="00FD0D8E" w:rsidRDefault="00D60469" w:rsidP="00C74EB6">
            <w:pPr>
              <w:autoSpaceDE w:val="0"/>
              <w:autoSpaceDN w:val="0"/>
              <w:adjustRightInd w:val="0"/>
              <w:jc w:val="center"/>
              <w:rPr>
                <w:kern w:val="0"/>
                <w:szCs w:val="21"/>
              </w:rPr>
            </w:pPr>
            <w:r w:rsidRPr="00FD0D8E">
              <w:rPr>
                <w:kern w:val="0"/>
                <w:szCs w:val="21"/>
              </w:rPr>
              <w:t>(0.003)</w:t>
            </w:r>
          </w:p>
        </w:tc>
        <w:tc>
          <w:tcPr>
            <w:tcW w:w="1278" w:type="pct"/>
            <w:tcBorders>
              <w:top w:val="nil"/>
              <w:left w:val="nil"/>
              <w:bottom w:val="nil"/>
              <w:right w:val="nil"/>
            </w:tcBorders>
          </w:tcPr>
          <w:p w14:paraId="6B753CAD" w14:textId="77777777" w:rsidR="00D60469" w:rsidRPr="00FD0D8E" w:rsidRDefault="00D60469" w:rsidP="00C74EB6">
            <w:pPr>
              <w:autoSpaceDE w:val="0"/>
              <w:autoSpaceDN w:val="0"/>
              <w:adjustRightInd w:val="0"/>
              <w:jc w:val="center"/>
              <w:rPr>
                <w:kern w:val="0"/>
                <w:szCs w:val="21"/>
              </w:rPr>
            </w:pPr>
          </w:p>
        </w:tc>
        <w:tc>
          <w:tcPr>
            <w:tcW w:w="1279" w:type="pct"/>
            <w:tcBorders>
              <w:top w:val="nil"/>
              <w:left w:val="nil"/>
              <w:bottom w:val="nil"/>
              <w:right w:val="nil"/>
            </w:tcBorders>
          </w:tcPr>
          <w:p w14:paraId="0BA5AD5D" w14:textId="77777777" w:rsidR="00D60469" w:rsidRPr="00FD0D8E" w:rsidRDefault="00D60469" w:rsidP="00C74EB6">
            <w:pPr>
              <w:autoSpaceDE w:val="0"/>
              <w:autoSpaceDN w:val="0"/>
              <w:adjustRightInd w:val="0"/>
              <w:jc w:val="center"/>
              <w:rPr>
                <w:kern w:val="0"/>
                <w:szCs w:val="21"/>
              </w:rPr>
            </w:pPr>
          </w:p>
        </w:tc>
      </w:tr>
      <w:tr w:rsidR="00D60469" w:rsidRPr="00FD0D8E" w14:paraId="31BDDFA0" w14:textId="77777777" w:rsidTr="00C45901">
        <w:tc>
          <w:tcPr>
            <w:tcW w:w="1165" w:type="pct"/>
            <w:tcBorders>
              <w:top w:val="nil"/>
              <w:left w:val="nil"/>
              <w:bottom w:val="nil"/>
              <w:right w:val="nil"/>
            </w:tcBorders>
          </w:tcPr>
          <w:p w14:paraId="735ECA01" w14:textId="43735FEA" w:rsidR="00D60469" w:rsidRPr="00FD0D8E" w:rsidRDefault="00D9560C" w:rsidP="00C74EB6">
            <w:pPr>
              <w:autoSpaceDE w:val="0"/>
              <w:autoSpaceDN w:val="0"/>
              <w:adjustRightInd w:val="0"/>
              <w:rPr>
                <w:kern w:val="0"/>
                <w:szCs w:val="21"/>
              </w:rPr>
            </w:pPr>
            <w:proofErr w:type="spellStart"/>
            <w:r w:rsidRPr="00FD0D8E">
              <w:rPr>
                <w:kern w:val="0"/>
                <w:szCs w:val="21"/>
              </w:rPr>
              <w:t>OC</w:t>
            </w:r>
            <w:r w:rsidR="00D60469" w:rsidRPr="00FD0D8E">
              <w:rPr>
                <w:kern w:val="0"/>
                <w:szCs w:val="21"/>
              </w:rPr>
              <w:t>_adjust</w:t>
            </w:r>
            <w:proofErr w:type="spellEnd"/>
          </w:p>
        </w:tc>
        <w:tc>
          <w:tcPr>
            <w:tcW w:w="1277" w:type="pct"/>
            <w:tcBorders>
              <w:top w:val="nil"/>
              <w:left w:val="nil"/>
              <w:bottom w:val="nil"/>
              <w:right w:val="nil"/>
            </w:tcBorders>
          </w:tcPr>
          <w:p w14:paraId="16788B44" w14:textId="77777777" w:rsidR="00D60469" w:rsidRPr="00FD0D8E" w:rsidRDefault="00D60469" w:rsidP="00C74EB6">
            <w:pPr>
              <w:autoSpaceDE w:val="0"/>
              <w:autoSpaceDN w:val="0"/>
              <w:adjustRightInd w:val="0"/>
              <w:jc w:val="center"/>
              <w:rPr>
                <w:kern w:val="0"/>
                <w:szCs w:val="21"/>
              </w:rPr>
            </w:pPr>
          </w:p>
        </w:tc>
        <w:tc>
          <w:tcPr>
            <w:tcW w:w="1278" w:type="pct"/>
            <w:tcBorders>
              <w:top w:val="nil"/>
              <w:left w:val="nil"/>
              <w:bottom w:val="nil"/>
              <w:right w:val="nil"/>
            </w:tcBorders>
          </w:tcPr>
          <w:p w14:paraId="29836FC5" w14:textId="77777777" w:rsidR="00D60469" w:rsidRPr="00FD0D8E" w:rsidRDefault="00D60469" w:rsidP="00C74EB6">
            <w:pPr>
              <w:autoSpaceDE w:val="0"/>
              <w:autoSpaceDN w:val="0"/>
              <w:adjustRightInd w:val="0"/>
              <w:jc w:val="center"/>
              <w:rPr>
                <w:kern w:val="0"/>
                <w:szCs w:val="21"/>
              </w:rPr>
            </w:pPr>
            <w:r w:rsidRPr="00FD0D8E">
              <w:rPr>
                <w:kern w:val="0"/>
                <w:szCs w:val="21"/>
              </w:rPr>
              <w:t>0.107</w:t>
            </w:r>
            <w:r w:rsidRPr="00FD0D8E">
              <w:rPr>
                <w:kern w:val="0"/>
                <w:szCs w:val="21"/>
                <w:vertAlign w:val="superscript"/>
              </w:rPr>
              <w:t>***</w:t>
            </w:r>
          </w:p>
        </w:tc>
        <w:tc>
          <w:tcPr>
            <w:tcW w:w="1279" w:type="pct"/>
            <w:tcBorders>
              <w:top w:val="nil"/>
              <w:left w:val="nil"/>
              <w:bottom w:val="nil"/>
              <w:right w:val="nil"/>
            </w:tcBorders>
          </w:tcPr>
          <w:p w14:paraId="326397A8" w14:textId="77777777" w:rsidR="00D60469" w:rsidRPr="00FD0D8E" w:rsidRDefault="00D60469" w:rsidP="00C74EB6">
            <w:pPr>
              <w:autoSpaceDE w:val="0"/>
              <w:autoSpaceDN w:val="0"/>
              <w:adjustRightInd w:val="0"/>
              <w:jc w:val="center"/>
              <w:rPr>
                <w:kern w:val="0"/>
                <w:szCs w:val="21"/>
              </w:rPr>
            </w:pPr>
          </w:p>
        </w:tc>
      </w:tr>
      <w:tr w:rsidR="00D60469" w:rsidRPr="00FD0D8E" w14:paraId="049BFD44" w14:textId="77777777" w:rsidTr="00C45901">
        <w:tc>
          <w:tcPr>
            <w:tcW w:w="1165" w:type="pct"/>
            <w:tcBorders>
              <w:top w:val="nil"/>
              <w:left w:val="nil"/>
              <w:bottom w:val="nil"/>
              <w:right w:val="nil"/>
            </w:tcBorders>
          </w:tcPr>
          <w:p w14:paraId="5C38BD90"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07CD1F3F" w14:textId="77777777" w:rsidR="00D60469" w:rsidRPr="00FD0D8E" w:rsidRDefault="00D60469" w:rsidP="00C74EB6">
            <w:pPr>
              <w:autoSpaceDE w:val="0"/>
              <w:autoSpaceDN w:val="0"/>
              <w:adjustRightInd w:val="0"/>
              <w:jc w:val="center"/>
              <w:rPr>
                <w:kern w:val="0"/>
                <w:szCs w:val="21"/>
              </w:rPr>
            </w:pPr>
          </w:p>
        </w:tc>
        <w:tc>
          <w:tcPr>
            <w:tcW w:w="1278" w:type="pct"/>
            <w:tcBorders>
              <w:top w:val="nil"/>
              <w:left w:val="nil"/>
              <w:bottom w:val="nil"/>
              <w:right w:val="nil"/>
            </w:tcBorders>
          </w:tcPr>
          <w:p w14:paraId="633476DF" w14:textId="77777777" w:rsidR="00D60469" w:rsidRPr="00FD0D8E" w:rsidRDefault="00D60469" w:rsidP="00C74EB6">
            <w:pPr>
              <w:autoSpaceDE w:val="0"/>
              <w:autoSpaceDN w:val="0"/>
              <w:adjustRightInd w:val="0"/>
              <w:jc w:val="center"/>
              <w:rPr>
                <w:kern w:val="0"/>
                <w:szCs w:val="21"/>
              </w:rPr>
            </w:pPr>
            <w:r w:rsidRPr="00FD0D8E">
              <w:rPr>
                <w:kern w:val="0"/>
                <w:szCs w:val="21"/>
              </w:rPr>
              <w:t>(0.027)</w:t>
            </w:r>
          </w:p>
        </w:tc>
        <w:tc>
          <w:tcPr>
            <w:tcW w:w="1279" w:type="pct"/>
            <w:tcBorders>
              <w:top w:val="nil"/>
              <w:left w:val="nil"/>
              <w:bottom w:val="nil"/>
              <w:right w:val="nil"/>
            </w:tcBorders>
          </w:tcPr>
          <w:p w14:paraId="6EC131AF" w14:textId="77777777" w:rsidR="00D60469" w:rsidRPr="00FD0D8E" w:rsidRDefault="00D60469" w:rsidP="00C74EB6">
            <w:pPr>
              <w:autoSpaceDE w:val="0"/>
              <w:autoSpaceDN w:val="0"/>
              <w:adjustRightInd w:val="0"/>
              <w:jc w:val="center"/>
              <w:rPr>
                <w:kern w:val="0"/>
                <w:szCs w:val="21"/>
              </w:rPr>
            </w:pPr>
          </w:p>
        </w:tc>
      </w:tr>
      <w:tr w:rsidR="00D60469" w:rsidRPr="00FD0D8E" w14:paraId="4ADC01E6" w14:textId="77777777" w:rsidTr="00C45901">
        <w:tc>
          <w:tcPr>
            <w:tcW w:w="1165" w:type="pct"/>
            <w:tcBorders>
              <w:top w:val="nil"/>
              <w:left w:val="nil"/>
              <w:bottom w:val="nil"/>
              <w:right w:val="nil"/>
            </w:tcBorders>
          </w:tcPr>
          <w:p w14:paraId="6F4FC263" w14:textId="1BF010AC" w:rsidR="00D60469" w:rsidRPr="00FD0D8E" w:rsidRDefault="00D9560C" w:rsidP="00C74EB6">
            <w:pPr>
              <w:autoSpaceDE w:val="0"/>
              <w:autoSpaceDN w:val="0"/>
              <w:adjustRightInd w:val="0"/>
              <w:rPr>
                <w:kern w:val="0"/>
                <w:szCs w:val="21"/>
              </w:rPr>
            </w:pPr>
            <w:proofErr w:type="spellStart"/>
            <w:r w:rsidRPr="00FD0D8E">
              <w:rPr>
                <w:kern w:val="0"/>
                <w:szCs w:val="21"/>
              </w:rPr>
              <w:t>OC</w:t>
            </w:r>
            <w:r w:rsidR="00D60469" w:rsidRPr="00FD0D8E">
              <w:rPr>
                <w:rFonts w:hint="eastAsia"/>
                <w:kern w:val="0"/>
                <w:szCs w:val="21"/>
              </w:rPr>
              <w:t>_idrank</w:t>
            </w:r>
            <w:proofErr w:type="spellEnd"/>
          </w:p>
        </w:tc>
        <w:tc>
          <w:tcPr>
            <w:tcW w:w="1277" w:type="pct"/>
            <w:tcBorders>
              <w:top w:val="nil"/>
              <w:left w:val="nil"/>
              <w:bottom w:val="nil"/>
              <w:right w:val="nil"/>
            </w:tcBorders>
          </w:tcPr>
          <w:p w14:paraId="61E14201" w14:textId="77777777" w:rsidR="00D60469" w:rsidRPr="00FD0D8E" w:rsidRDefault="00D60469" w:rsidP="00C74EB6">
            <w:pPr>
              <w:autoSpaceDE w:val="0"/>
              <w:autoSpaceDN w:val="0"/>
              <w:adjustRightInd w:val="0"/>
              <w:jc w:val="center"/>
              <w:rPr>
                <w:kern w:val="0"/>
                <w:szCs w:val="21"/>
              </w:rPr>
            </w:pPr>
          </w:p>
        </w:tc>
        <w:tc>
          <w:tcPr>
            <w:tcW w:w="1278" w:type="pct"/>
            <w:tcBorders>
              <w:top w:val="nil"/>
              <w:left w:val="nil"/>
              <w:bottom w:val="nil"/>
              <w:right w:val="nil"/>
            </w:tcBorders>
          </w:tcPr>
          <w:p w14:paraId="19AE0BE3" w14:textId="77777777" w:rsidR="00D60469" w:rsidRPr="00FD0D8E" w:rsidRDefault="00D60469" w:rsidP="00C74EB6">
            <w:pPr>
              <w:autoSpaceDE w:val="0"/>
              <w:autoSpaceDN w:val="0"/>
              <w:adjustRightInd w:val="0"/>
              <w:jc w:val="center"/>
              <w:rPr>
                <w:kern w:val="0"/>
                <w:szCs w:val="21"/>
              </w:rPr>
            </w:pPr>
          </w:p>
        </w:tc>
        <w:tc>
          <w:tcPr>
            <w:tcW w:w="1279" w:type="pct"/>
            <w:tcBorders>
              <w:top w:val="nil"/>
              <w:left w:val="nil"/>
              <w:bottom w:val="nil"/>
              <w:right w:val="nil"/>
            </w:tcBorders>
          </w:tcPr>
          <w:p w14:paraId="450AD00B" w14:textId="77777777" w:rsidR="00D60469" w:rsidRPr="00FD0D8E" w:rsidRDefault="00D60469" w:rsidP="00C74EB6">
            <w:pPr>
              <w:autoSpaceDE w:val="0"/>
              <w:autoSpaceDN w:val="0"/>
              <w:adjustRightInd w:val="0"/>
              <w:jc w:val="center"/>
              <w:rPr>
                <w:kern w:val="0"/>
                <w:szCs w:val="21"/>
              </w:rPr>
            </w:pPr>
            <w:r w:rsidRPr="00FD0D8E">
              <w:rPr>
                <w:kern w:val="0"/>
                <w:szCs w:val="21"/>
              </w:rPr>
              <w:t>0.003</w:t>
            </w:r>
            <w:r w:rsidRPr="00FD0D8E">
              <w:rPr>
                <w:kern w:val="0"/>
                <w:szCs w:val="21"/>
                <w:vertAlign w:val="superscript"/>
              </w:rPr>
              <w:t>*</w:t>
            </w:r>
          </w:p>
        </w:tc>
      </w:tr>
      <w:tr w:rsidR="00D60469" w:rsidRPr="00FD0D8E" w14:paraId="34287349" w14:textId="77777777" w:rsidTr="00C45901">
        <w:tc>
          <w:tcPr>
            <w:tcW w:w="1165" w:type="pct"/>
            <w:tcBorders>
              <w:top w:val="nil"/>
              <w:left w:val="nil"/>
              <w:bottom w:val="nil"/>
              <w:right w:val="nil"/>
            </w:tcBorders>
          </w:tcPr>
          <w:p w14:paraId="7541AE77"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73CF0A3B" w14:textId="77777777" w:rsidR="00D60469" w:rsidRPr="00FD0D8E" w:rsidRDefault="00D60469" w:rsidP="00C74EB6">
            <w:pPr>
              <w:autoSpaceDE w:val="0"/>
              <w:autoSpaceDN w:val="0"/>
              <w:adjustRightInd w:val="0"/>
              <w:jc w:val="center"/>
              <w:rPr>
                <w:kern w:val="0"/>
                <w:szCs w:val="21"/>
              </w:rPr>
            </w:pPr>
          </w:p>
        </w:tc>
        <w:tc>
          <w:tcPr>
            <w:tcW w:w="1278" w:type="pct"/>
            <w:tcBorders>
              <w:top w:val="nil"/>
              <w:left w:val="nil"/>
              <w:bottom w:val="nil"/>
              <w:right w:val="nil"/>
            </w:tcBorders>
          </w:tcPr>
          <w:p w14:paraId="68C87523" w14:textId="77777777" w:rsidR="00D60469" w:rsidRPr="00FD0D8E" w:rsidRDefault="00D60469" w:rsidP="00C74EB6">
            <w:pPr>
              <w:autoSpaceDE w:val="0"/>
              <w:autoSpaceDN w:val="0"/>
              <w:adjustRightInd w:val="0"/>
              <w:jc w:val="center"/>
              <w:rPr>
                <w:kern w:val="0"/>
                <w:szCs w:val="21"/>
              </w:rPr>
            </w:pPr>
          </w:p>
        </w:tc>
        <w:tc>
          <w:tcPr>
            <w:tcW w:w="1279" w:type="pct"/>
            <w:tcBorders>
              <w:top w:val="nil"/>
              <w:left w:val="nil"/>
              <w:bottom w:val="nil"/>
              <w:right w:val="nil"/>
            </w:tcBorders>
          </w:tcPr>
          <w:p w14:paraId="6D42BBB8" w14:textId="77777777" w:rsidR="00D60469" w:rsidRPr="00FD0D8E" w:rsidRDefault="00D60469" w:rsidP="00C74EB6">
            <w:pPr>
              <w:autoSpaceDE w:val="0"/>
              <w:autoSpaceDN w:val="0"/>
              <w:adjustRightInd w:val="0"/>
              <w:jc w:val="center"/>
              <w:rPr>
                <w:kern w:val="0"/>
                <w:szCs w:val="21"/>
              </w:rPr>
            </w:pPr>
            <w:r w:rsidRPr="00FD0D8E">
              <w:rPr>
                <w:kern w:val="0"/>
                <w:szCs w:val="21"/>
              </w:rPr>
              <w:t>(0.002)</w:t>
            </w:r>
          </w:p>
        </w:tc>
      </w:tr>
      <w:tr w:rsidR="00D60469" w:rsidRPr="00FD0D8E" w14:paraId="2D155C49" w14:textId="77777777" w:rsidTr="00C45901">
        <w:tc>
          <w:tcPr>
            <w:tcW w:w="1165" w:type="pct"/>
            <w:tcBorders>
              <w:top w:val="nil"/>
              <w:left w:val="nil"/>
              <w:bottom w:val="nil"/>
              <w:right w:val="nil"/>
            </w:tcBorders>
          </w:tcPr>
          <w:p w14:paraId="0EDB91A9" w14:textId="77777777" w:rsidR="00D60469" w:rsidRPr="00FD0D8E" w:rsidRDefault="00D60469" w:rsidP="00C74EB6">
            <w:pPr>
              <w:autoSpaceDE w:val="0"/>
              <w:autoSpaceDN w:val="0"/>
              <w:adjustRightInd w:val="0"/>
              <w:rPr>
                <w:kern w:val="0"/>
                <w:szCs w:val="21"/>
              </w:rPr>
            </w:pPr>
            <w:r w:rsidRPr="00FD0D8E">
              <w:rPr>
                <w:kern w:val="0"/>
                <w:szCs w:val="21"/>
              </w:rPr>
              <w:t>BH</w:t>
            </w:r>
          </w:p>
        </w:tc>
        <w:tc>
          <w:tcPr>
            <w:tcW w:w="1277" w:type="pct"/>
            <w:tcBorders>
              <w:top w:val="nil"/>
              <w:left w:val="nil"/>
              <w:bottom w:val="nil"/>
              <w:right w:val="nil"/>
            </w:tcBorders>
          </w:tcPr>
          <w:p w14:paraId="186FC794" w14:textId="77777777" w:rsidR="00D60469" w:rsidRPr="00FD0D8E" w:rsidRDefault="00D60469" w:rsidP="00C74EB6">
            <w:pPr>
              <w:autoSpaceDE w:val="0"/>
              <w:autoSpaceDN w:val="0"/>
              <w:adjustRightInd w:val="0"/>
              <w:jc w:val="center"/>
              <w:rPr>
                <w:kern w:val="0"/>
                <w:szCs w:val="21"/>
              </w:rPr>
            </w:pPr>
            <w:r w:rsidRPr="00FD0D8E">
              <w:rPr>
                <w:kern w:val="0"/>
                <w:szCs w:val="21"/>
              </w:rPr>
              <w:t>0.122</w:t>
            </w:r>
            <w:r w:rsidRPr="00FD0D8E">
              <w:rPr>
                <w:kern w:val="0"/>
                <w:szCs w:val="21"/>
                <w:vertAlign w:val="superscript"/>
              </w:rPr>
              <w:t>***</w:t>
            </w:r>
          </w:p>
        </w:tc>
        <w:tc>
          <w:tcPr>
            <w:tcW w:w="1278" w:type="pct"/>
            <w:tcBorders>
              <w:top w:val="nil"/>
              <w:left w:val="nil"/>
              <w:bottom w:val="nil"/>
              <w:right w:val="nil"/>
            </w:tcBorders>
          </w:tcPr>
          <w:p w14:paraId="134841AD" w14:textId="77777777" w:rsidR="00D60469" w:rsidRPr="00FD0D8E" w:rsidRDefault="00D60469"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c>
          <w:tcPr>
            <w:tcW w:w="1279" w:type="pct"/>
            <w:tcBorders>
              <w:top w:val="nil"/>
              <w:left w:val="nil"/>
              <w:bottom w:val="nil"/>
              <w:right w:val="nil"/>
            </w:tcBorders>
          </w:tcPr>
          <w:p w14:paraId="560C3335" w14:textId="77777777" w:rsidR="00D60469" w:rsidRPr="00FD0D8E" w:rsidRDefault="00D60469" w:rsidP="00C74EB6">
            <w:pPr>
              <w:autoSpaceDE w:val="0"/>
              <w:autoSpaceDN w:val="0"/>
              <w:adjustRightInd w:val="0"/>
              <w:jc w:val="center"/>
              <w:rPr>
                <w:kern w:val="0"/>
                <w:szCs w:val="21"/>
              </w:rPr>
            </w:pPr>
            <w:r w:rsidRPr="00FD0D8E">
              <w:rPr>
                <w:kern w:val="0"/>
                <w:szCs w:val="21"/>
              </w:rPr>
              <w:t>0.122</w:t>
            </w:r>
            <w:r w:rsidRPr="00FD0D8E">
              <w:rPr>
                <w:kern w:val="0"/>
                <w:szCs w:val="21"/>
                <w:vertAlign w:val="superscript"/>
              </w:rPr>
              <w:t>***</w:t>
            </w:r>
          </w:p>
        </w:tc>
      </w:tr>
      <w:tr w:rsidR="00D60469" w:rsidRPr="00FD0D8E" w14:paraId="1D062080" w14:textId="77777777" w:rsidTr="00C45901">
        <w:tc>
          <w:tcPr>
            <w:tcW w:w="1165" w:type="pct"/>
            <w:tcBorders>
              <w:top w:val="nil"/>
              <w:left w:val="nil"/>
              <w:bottom w:val="nil"/>
              <w:right w:val="nil"/>
            </w:tcBorders>
          </w:tcPr>
          <w:p w14:paraId="278222CE"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467DFAD9"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c>
          <w:tcPr>
            <w:tcW w:w="1278" w:type="pct"/>
            <w:tcBorders>
              <w:top w:val="nil"/>
              <w:left w:val="nil"/>
              <w:bottom w:val="nil"/>
              <w:right w:val="nil"/>
            </w:tcBorders>
          </w:tcPr>
          <w:p w14:paraId="6A0D31A5"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c>
          <w:tcPr>
            <w:tcW w:w="1279" w:type="pct"/>
            <w:tcBorders>
              <w:top w:val="nil"/>
              <w:left w:val="nil"/>
              <w:bottom w:val="nil"/>
              <w:right w:val="nil"/>
            </w:tcBorders>
          </w:tcPr>
          <w:p w14:paraId="1736667A"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r>
      <w:tr w:rsidR="00D60469" w:rsidRPr="00FD0D8E" w14:paraId="50D60784" w14:textId="77777777" w:rsidTr="00C45901">
        <w:tc>
          <w:tcPr>
            <w:tcW w:w="1165" w:type="pct"/>
            <w:tcBorders>
              <w:top w:val="nil"/>
              <w:left w:val="nil"/>
              <w:bottom w:val="nil"/>
              <w:right w:val="nil"/>
            </w:tcBorders>
          </w:tcPr>
          <w:p w14:paraId="0F19A199" w14:textId="77777777" w:rsidR="00D60469" w:rsidRPr="00FD0D8E" w:rsidRDefault="00D60469" w:rsidP="00C74EB6">
            <w:pPr>
              <w:autoSpaceDE w:val="0"/>
              <w:autoSpaceDN w:val="0"/>
              <w:adjustRightInd w:val="0"/>
              <w:rPr>
                <w:kern w:val="0"/>
                <w:szCs w:val="21"/>
              </w:rPr>
            </w:pPr>
            <w:r w:rsidRPr="00FD0D8E">
              <w:rPr>
                <w:kern w:val="0"/>
                <w:szCs w:val="21"/>
              </w:rPr>
              <w:t>Big4</w:t>
            </w:r>
          </w:p>
        </w:tc>
        <w:tc>
          <w:tcPr>
            <w:tcW w:w="1277" w:type="pct"/>
            <w:tcBorders>
              <w:top w:val="nil"/>
              <w:left w:val="nil"/>
              <w:bottom w:val="nil"/>
              <w:right w:val="nil"/>
            </w:tcBorders>
          </w:tcPr>
          <w:p w14:paraId="65592EEA" w14:textId="77777777" w:rsidR="00D60469" w:rsidRPr="00FD0D8E" w:rsidRDefault="00D60469" w:rsidP="00C74EB6">
            <w:pPr>
              <w:autoSpaceDE w:val="0"/>
              <w:autoSpaceDN w:val="0"/>
              <w:adjustRightInd w:val="0"/>
              <w:jc w:val="center"/>
              <w:rPr>
                <w:kern w:val="0"/>
                <w:szCs w:val="21"/>
              </w:rPr>
            </w:pPr>
            <w:r w:rsidRPr="00FD0D8E">
              <w:rPr>
                <w:kern w:val="0"/>
                <w:szCs w:val="21"/>
              </w:rPr>
              <w:t>0.062</w:t>
            </w:r>
            <w:r w:rsidRPr="00FD0D8E">
              <w:rPr>
                <w:kern w:val="0"/>
                <w:szCs w:val="21"/>
                <w:vertAlign w:val="superscript"/>
              </w:rPr>
              <w:t>***</w:t>
            </w:r>
          </w:p>
        </w:tc>
        <w:tc>
          <w:tcPr>
            <w:tcW w:w="1278" w:type="pct"/>
            <w:tcBorders>
              <w:top w:val="nil"/>
              <w:left w:val="nil"/>
              <w:bottom w:val="nil"/>
              <w:right w:val="nil"/>
            </w:tcBorders>
          </w:tcPr>
          <w:p w14:paraId="2969BA06" w14:textId="77777777" w:rsidR="00D60469" w:rsidRPr="00FD0D8E" w:rsidRDefault="00D60469" w:rsidP="00C74EB6">
            <w:pPr>
              <w:autoSpaceDE w:val="0"/>
              <w:autoSpaceDN w:val="0"/>
              <w:adjustRightInd w:val="0"/>
              <w:jc w:val="center"/>
              <w:rPr>
                <w:kern w:val="0"/>
                <w:szCs w:val="21"/>
              </w:rPr>
            </w:pPr>
            <w:r w:rsidRPr="00FD0D8E">
              <w:rPr>
                <w:kern w:val="0"/>
                <w:szCs w:val="21"/>
              </w:rPr>
              <w:t>0.055</w:t>
            </w:r>
            <w:r w:rsidRPr="00FD0D8E">
              <w:rPr>
                <w:kern w:val="0"/>
                <w:szCs w:val="21"/>
                <w:vertAlign w:val="superscript"/>
              </w:rPr>
              <w:t>***</w:t>
            </w:r>
          </w:p>
        </w:tc>
        <w:tc>
          <w:tcPr>
            <w:tcW w:w="1279" w:type="pct"/>
            <w:tcBorders>
              <w:top w:val="nil"/>
              <w:left w:val="nil"/>
              <w:bottom w:val="nil"/>
              <w:right w:val="nil"/>
            </w:tcBorders>
          </w:tcPr>
          <w:p w14:paraId="58124B0D" w14:textId="77777777" w:rsidR="00D60469" w:rsidRPr="00FD0D8E" w:rsidRDefault="00D60469" w:rsidP="00C74EB6">
            <w:pPr>
              <w:autoSpaceDE w:val="0"/>
              <w:autoSpaceDN w:val="0"/>
              <w:adjustRightInd w:val="0"/>
              <w:jc w:val="center"/>
              <w:rPr>
                <w:kern w:val="0"/>
                <w:szCs w:val="21"/>
              </w:rPr>
            </w:pPr>
            <w:r w:rsidRPr="00FD0D8E">
              <w:rPr>
                <w:kern w:val="0"/>
                <w:szCs w:val="21"/>
              </w:rPr>
              <w:t>0.061</w:t>
            </w:r>
            <w:r w:rsidRPr="00FD0D8E">
              <w:rPr>
                <w:kern w:val="0"/>
                <w:szCs w:val="21"/>
                <w:vertAlign w:val="superscript"/>
              </w:rPr>
              <w:t>***</w:t>
            </w:r>
          </w:p>
        </w:tc>
      </w:tr>
      <w:tr w:rsidR="00D60469" w:rsidRPr="00FD0D8E" w14:paraId="0A506360" w14:textId="77777777" w:rsidTr="00C45901">
        <w:tc>
          <w:tcPr>
            <w:tcW w:w="1165" w:type="pct"/>
            <w:tcBorders>
              <w:top w:val="nil"/>
              <w:left w:val="nil"/>
              <w:bottom w:val="nil"/>
              <w:right w:val="nil"/>
            </w:tcBorders>
          </w:tcPr>
          <w:p w14:paraId="3DEB2BF8"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02029AD8" w14:textId="77777777" w:rsidR="00D60469" w:rsidRPr="00FD0D8E" w:rsidRDefault="00D60469" w:rsidP="00C74EB6">
            <w:pPr>
              <w:autoSpaceDE w:val="0"/>
              <w:autoSpaceDN w:val="0"/>
              <w:adjustRightInd w:val="0"/>
              <w:jc w:val="center"/>
              <w:rPr>
                <w:kern w:val="0"/>
                <w:szCs w:val="21"/>
              </w:rPr>
            </w:pPr>
            <w:r w:rsidRPr="00FD0D8E">
              <w:rPr>
                <w:kern w:val="0"/>
                <w:szCs w:val="21"/>
              </w:rPr>
              <w:t>(0.004)</w:t>
            </w:r>
          </w:p>
        </w:tc>
        <w:tc>
          <w:tcPr>
            <w:tcW w:w="1278" w:type="pct"/>
            <w:tcBorders>
              <w:top w:val="nil"/>
              <w:left w:val="nil"/>
              <w:bottom w:val="nil"/>
              <w:right w:val="nil"/>
            </w:tcBorders>
          </w:tcPr>
          <w:p w14:paraId="38FB0A77" w14:textId="77777777" w:rsidR="00D60469" w:rsidRPr="00FD0D8E" w:rsidRDefault="00D60469" w:rsidP="00C74EB6">
            <w:pPr>
              <w:autoSpaceDE w:val="0"/>
              <w:autoSpaceDN w:val="0"/>
              <w:adjustRightInd w:val="0"/>
              <w:jc w:val="center"/>
              <w:rPr>
                <w:kern w:val="0"/>
                <w:szCs w:val="21"/>
              </w:rPr>
            </w:pPr>
            <w:r w:rsidRPr="00FD0D8E">
              <w:rPr>
                <w:kern w:val="0"/>
                <w:szCs w:val="21"/>
              </w:rPr>
              <w:t>(0.005)</w:t>
            </w:r>
          </w:p>
        </w:tc>
        <w:tc>
          <w:tcPr>
            <w:tcW w:w="1279" w:type="pct"/>
            <w:tcBorders>
              <w:top w:val="nil"/>
              <w:left w:val="nil"/>
              <w:bottom w:val="nil"/>
              <w:right w:val="nil"/>
            </w:tcBorders>
          </w:tcPr>
          <w:p w14:paraId="11CD4157"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r>
      <w:tr w:rsidR="00D60469" w:rsidRPr="00FD0D8E" w14:paraId="0CB52ED9" w14:textId="77777777" w:rsidTr="00C45901">
        <w:tc>
          <w:tcPr>
            <w:tcW w:w="1165" w:type="pct"/>
            <w:tcBorders>
              <w:top w:val="nil"/>
              <w:left w:val="nil"/>
              <w:bottom w:val="nil"/>
              <w:right w:val="nil"/>
            </w:tcBorders>
          </w:tcPr>
          <w:p w14:paraId="49011944" w14:textId="77777777" w:rsidR="00D60469" w:rsidRPr="00FD0D8E" w:rsidRDefault="00D60469" w:rsidP="00C74EB6">
            <w:pPr>
              <w:autoSpaceDE w:val="0"/>
              <w:autoSpaceDN w:val="0"/>
              <w:adjustRightInd w:val="0"/>
              <w:rPr>
                <w:kern w:val="0"/>
                <w:szCs w:val="21"/>
              </w:rPr>
            </w:pPr>
            <w:r w:rsidRPr="00FD0D8E">
              <w:rPr>
                <w:kern w:val="0"/>
                <w:szCs w:val="21"/>
              </w:rPr>
              <w:t>Lev</w:t>
            </w:r>
          </w:p>
        </w:tc>
        <w:tc>
          <w:tcPr>
            <w:tcW w:w="1277" w:type="pct"/>
            <w:tcBorders>
              <w:top w:val="nil"/>
              <w:left w:val="nil"/>
              <w:bottom w:val="nil"/>
              <w:right w:val="nil"/>
            </w:tcBorders>
          </w:tcPr>
          <w:p w14:paraId="4A3312CE" w14:textId="77777777" w:rsidR="00D60469" w:rsidRPr="00FD0D8E" w:rsidRDefault="00D60469" w:rsidP="00C74EB6">
            <w:pPr>
              <w:autoSpaceDE w:val="0"/>
              <w:autoSpaceDN w:val="0"/>
              <w:adjustRightInd w:val="0"/>
              <w:jc w:val="center"/>
              <w:rPr>
                <w:kern w:val="0"/>
                <w:szCs w:val="21"/>
              </w:rPr>
            </w:pPr>
            <w:r w:rsidRPr="00FD0D8E">
              <w:rPr>
                <w:kern w:val="0"/>
                <w:szCs w:val="21"/>
              </w:rPr>
              <w:t>0.060</w:t>
            </w:r>
            <w:r w:rsidRPr="00FD0D8E">
              <w:rPr>
                <w:kern w:val="0"/>
                <w:szCs w:val="21"/>
                <w:vertAlign w:val="superscript"/>
              </w:rPr>
              <w:t>***</w:t>
            </w:r>
          </w:p>
        </w:tc>
        <w:tc>
          <w:tcPr>
            <w:tcW w:w="1278" w:type="pct"/>
            <w:tcBorders>
              <w:top w:val="nil"/>
              <w:left w:val="nil"/>
              <w:bottom w:val="nil"/>
              <w:right w:val="nil"/>
            </w:tcBorders>
          </w:tcPr>
          <w:p w14:paraId="24653F28" w14:textId="77777777" w:rsidR="00D60469" w:rsidRPr="00FD0D8E" w:rsidRDefault="00D60469" w:rsidP="00C74EB6">
            <w:pPr>
              <w:autoSpaceDE w:val="0"/>
              <w:autoSpaceDN w:val="0"/>
              <w:adjustRightInd w:val="0"/>
              <w:jc w:val="center"/>
              <w:rPr>
                <w:kern w:val="0"/>
                <w:szCs w:val="21"/>
              </w:rPr>
            </w:pPr>
            <w:r w:rsidRPr="00FD0D8E">
              <w:rPr>
                <w:kern w:val="0"/>
                <w:szCs w:val="21"/>
              </w:rPr>
              <w:t>0.045</w:t>
            </w:r>
            <w:r w:rsidRPr="00FD0D8E">
              <w:rPr>
                <w:kern w:val="0"/>
                <w:szCs w:val="21"/>
                <w:vertAlign w:val="superscript"/>
              </w:rPr>
              <w:t>***</w:t>
            </w:r>
          </w:p>
        </w:tc>
        <w:tc>
          <w:tcPr>
            <w:tcW w:w="1279" w:type="pct"/>
            <w:tcBorders>
              <w:top w:val="nil"/>
              <w:left w:val="nil"/>
              <w:bottom w:val="nil"/>
              <w:right w:val="nil"/>
            </w:tcBorders>
          </w:tcPr>
          <w:p w14:paraId="5B349E99" w14:textId="77777777" w:rsidR="00D60469" w:rsidRPr="00FD0D8E" w:rsidRDefault="00D60469" w:rsidP="00C74EB6">
            <w:pPr>
              <w:autoSpaceDE w:val="0"/>
              <w:autoSpaceDN w:val="0"/>
              <w:adjustRightInd w:val="0"/>
              <w:jc w:val="center"/>
              <w:rPr>
                <w:kern w:val="0"/>
                <w:szCs w:val="21"/>
              </w:rPr>
            </w:pPr>
            <w:r w:rsidRPr="00FD0D8E">
              <w:rPr>
                <w:kern w:val="0"/>
                <w:szCs w:val="21"/>
              </w:rPr>
              <w:t>0.059</w:t>
            </w:r>
            <w:r w:rsidRPr="00FD0D8E">
              <w:rPr>
                <w:kern w:val="0"/>
                <w:szCs w:val="21"/>
                <w:vertAlign w:val="superscript"/>
              </w:rPr>
              <w:t>***</w:t>
            </w:r>
          </w:p>
        </w:tc>
      </w:tr>
      <w:tr w:rsidR="00D60469" w:rsidRPr="00FD0D8E" w14:paraId="59714936" w14:textId="77777777" w:rsidTr="00C45901">
        <w:tc>
          <w:tcPr>
            <w:tcW w:w="1165" w:type="pct"/>
            <w:tcBorders>
              <w:top w:val="nil"/>
              <w:left w:val="nil"/>
              <w:bottom w:val="nil"/>
              <w:right w:val="nil"/>
            </w:tcBorders>
          </w:tcPr>
          <w:p w14:paraId="1DD2F774"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416BCE98" w14:textId="77777777" w:rsidR="00D60469" w:rsidRPr="00FD0D8E" w:rsidRDefault="00D60469" w:rsidP="00C74EB6">
            <w:pPr>
              <w:autoSpaceDE w:val="0"/>
              <w:autoSpaceDN w:val="0"/>
              <w:adjustRightInd w:val="0"/>
              <w:jc w:val="center"/>
              <w:rPr>
                <w:kern w:val="0"/>
                <w:szCs w:val="21"/>
              </w:rPr>
            </w:pPr>
            <w:r w:rsidRPr="00FD0D8E">
              <w:rPr>
                <w:kern w:val="0"/>
                <w:szCs w:val="21"/>
              </w:rPr>
              <w:t>(0.014)</w:t>
            </w:r>
          </w:p>
        </w:tc>
        <w:tc>
          <w:tcPr>
            <w:tcW w:w="1278" w:type="pct"/>
            <w:tcBorders>
              <w:top w:val="nil"/>
              <w:left w:val="nil"/>
              <w:bottom w:val="nil"/>
              <w:right w:val="nil"/>
            </w:tcBorders>
          </w:tcPr>
          <w:p w14:paraId="5FE1728F" w14:textId="77777777" w:rsidR="00D60469" w:rsidRPr="00FD0D8E" w:rsidRDefault="00D60469" w:rsidP="00C74EB6">
            <w:pPr>
              <w:autoSpaceDE w:val="0"/>
              <w:autoSpaceDN w:val="0"/>
              <w:adjustRightInd w:val="0"/>
              <w:jc w:val="center"/>
              <w:rPr>
                <w:kern w:val="0"/>
                <w:szCs w:val="21"/>
              </w:rPr>
            </w:pPr>
            <w:r w:rsidRPr="00FD0D8E">
              <w:rPr>
                <w:kern w:val="0"/>
                <w:szCs w:val="21"/>
              </w:rPr>
              <w:t>(0.016)</w:t>
            </w:r>
          </w:p>
        </w:tc>
        <w:tc>
          <w:tcPr>
            <w:tcW w:w="1279" w:type="pct"/>
            <w:tcBorders>
              <w:top w:val="nil"/>
              <w:left w:val="nil"/>
              <w:bottom w:val="nil"/>
              <w:right w:val="nil"/>
            </w:tcBorders>
          </w:tcPr>
          <w:p w14:paraId="66F4D3E1" w14:textId="77777777" w:rsidR="00D60469" w:rsidRPr="00FD0D8E" w:rsidRDefault="00D60469" w:rsidP="00C74EB6">
            <w:pPr>
              <w:autoSpaceDE w:val="0"/>
              <w:autoSpaceDN w:val="0"/>
              <w:adjustRightInd w:val="0"/>
              <w:jc w:val="center"/>
              <w:rPr>
                <w:kern w:val="0"/>
                <w:szCs w:val="21"/>
              </w:rPr>
            </w:pPr>
            <w:r w:rsidRPr="00FD0D8E">
              <w:rPr>
                <w:kern w:val="0"/>
                <w:szCs w:val="21"/>
              </w:rPr>
              <w:t>(0.012)</w:t>
            </w:r>
          </w:p>
        </w:tc>
      </w:tr>
      <w:tr w:rsidR="00D60469" w:rsidRPr="00FD0D8E" w14:paraId="22000B54" w14:textId="77777777" w:rsidTr="00C45901">
        <w:tc>
          <w:tcPr>
            <w:tcW w:w="1165" w:type="pct"/>
            <w:tcBorders>
              <w:top w:val="nil"/>
              <w:left w:val="nil"/>
              <w:bottom w:val="nil"/>
              <w:right w:val="nil"/>
            </w:tcBorders>
          </w:tcPr>
          <w:p w14:paraId="6A127ABA" w14:textId="77777777" w:rsidR="00D60469" w:rsidRPr="00FD0D8E" w:rsidRDefault="00D60469" w:rsidP="00C74EB6">
            <w:pPr>
              <w:autoSpaceDE w:val="0"/>
              <w:autoSpaceDN w:val="0"/>
              <w:adjustRightInd w:val="0"/>
              <w:rPr>
                <w:kern w:val="0"/>
                <w:szCs w:val="21"/>
              </w:rPr>
            </w:pPr>
            <w:r w:rsidRPr="00FD0D8E">
              <w:rPr>
                <w:kern w:val="0"/>
                <w:szCs w:val="21"/>
              </w:rPr>
              <w:t>FTA</w:t>
            </w:r>
          </w:p>
        </w:tc>
        <w:tc>
          <w:tcPr>
            <w:tcW w:w="1277" w:type="pct"/>
            <w:tcBorders>
              <w:top w:val="nil"/>
              <w:left w:val="nil"/>
              <w:bottom w:val="nil"/>
              <w:right w:val="nil"/>
            </w:tcBorders>
          </w:tcPr>
          <w:p w14:paraId="61FB10CD" w14:textId="77777777" w:rsidR="00D60469" w:rsidRPr="00FD0D8E" w:rsidRDefault="00D60469"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c>
          <w:tcPr>
            <w:tcW w:w="1278" w:type="pct"/>
            <w:tcBorders>
              <w:top w:val="nil"/>
              <w:left w:val="nil"/>
              <w:bottom w:val="nil"/>
              <w:right w:val="nil"/>
            </w:tcBorders>
          </w:tcPr>
          <w:p w14:paraId="77C08380" w14:textId="77777777" w:rsidR="00D60469" w:rsidRPr="00FD0D8E" w:rsidRDefault="00D60469" w:rsidP="00C74EB6">
            <w:pPr>
              <w:autoSpaceDE w:val="0"/>
              <w:autoSpaceDN w:val="0"/>
              <w:adjustRightInd w:val="0"/>
              <w:jc w:val="center"/>
              <w:rPr>
                <w:kern w:val="0"/>
                <w:szCs w:val="21"/>
              </w:rPr>
            </w:pPr>
            <w:r w:rsidRPr="00FD0D8E">
              <w:rPr>
                <w:kern w:val="0"/>
                <w:szCs w:val="21"/>
              </w:rPr>
              <w:t>-0.033</w:t>
            </w:r>
            <w:r w:rsidRPr="00FD0D8E">
              <w:rPr>
                <w:kern w:val="0"/>
                <w:szCs w:val="21"/>
                <w:vertAlign w:val="superscript"/>
              </w:rPr>
              <w:t>***</w:t>
            </w:r>
          </w:p>
        </w:tc>
        <w:tc>
          <w:tcPr>
            <w:tcW w:w="1279" w:type="pct"/>
            <w:tcBorders>
              <w:top w:val="nil"/>
              <w:left w:val="nil"/>
              <w:bottom w:val="nil"/>
              <w:right w:val="nil"/>
            </w:tcBorders>
          </w:tcPr>
          <w:p w14:paraId="2F81CF72" w14:textId="77777777" w:rsidR="00D60469" w:rsidRPr="00FD0D8E" w:rsidRDefault="00D60469" w:rsidP="00C74EB6">
            <w:pPr>
              <w:autoSpaceDE w:val="0"/>
              <w:autoSpaceDN w:val="0"/>
              <w:adjustRightInd w:val="0"/>
              <w:jc w:val="center"/>
              <w:rPr>
                <w:kern w:val="0"/>
                <w:szCs w:val="21"/>
              </w:rPr>
            </w:pPr>
            <w:r w:rsidRPr="00FD0D8E">
              <w:rPr>
                <w:kern w:val="0"/>
                <w:szCs w:val="21"/>
              </w:rPr>
              <w:t>-0.033</w:t>
            </w:r>
            <w:r w:rsidRPr="00FD0D8E">
              <w:rPr>
                <w:kern w:val="0"/>
                <w:szCs w:val="21"/>
                <w:vertAlign w:val="superscript"/>
              </w:rPr>
              <w:t>**</w:t>
            </w:r>
          </w:p>
        </w:tc>
      </w:tr>
      <w:tr w:rsidR="00D60469" w:rsidRPr="00FD0D8E" w14:paraId="1DDBD7DA" w14:textId="77777777" w:rsidTr="00C45901">
        <w:tc>
          <w:tcPr>
            <w:tcW w:w="1165" w:type="pct"/>
            <w:tcBorders>
              <w:top w:val="nil"/>
              <w:left w:val="nil"/>
              <w:bottom w:val="nil"/>
              <w:right w:val="nil"/>
            </w:tcBorders>
          </w:tcPr>
          <w:p w14:paraId="76BF50DB"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248DDC5E" w14:textId="77777777" w:rsidR="00D60469" w:rsidRPr="00FD0D8E" w:rsidRDefault="00D60469" w:rsidP="00C74EB6">
            <w:pPr>
              <w:autoSpaceDE w:val="0"/>
              <w:autoSpaceDN w:val="0"/>
              <w:adjustRightInd w:val="0"/>
              <w:jc w:val="center"/>
              <w:rPr>
                <w:kern w:val="0"/>
                <w:szCs w:val="21"/>
              </w:rPr>
            </w:pPr>
            <w:r w:rsidRPr="00FD0D8E">
              <w:rPr>
                <w:kern w:val="0"/>
                <w:szCs w:val="21"/>
              </w:rPr>
              <w:t>(0.007)</w:t>
            </w:r>
          </w:p>
        </w:tc>
        <w:tc>
          <w:tcPr>
            <w:tcW w:w="1278" w:type="pct"/>
            <w:tcBorders>
              <w:top w:val="nil"/>
              <w:left w:val="nil"/>
              <w:bottom w:val="nil"/>
              <w:right w:val="nil"/>
            </w:tcBorders>
          </w:tcPr>
          <w:p w14:paraId="714BD0E5" w14:textId="77777777" w:rsidR="00D60469" w:rsidRPr="00FD0D8E" w:rsidRDefault="00D60469" w:rsidP="00C74EB6">
            <w:pPr>
              <w:autoSpaceDE w:val="0"/>
              <w:autoSpaceDN w:val="0"/>
              <w:adjustRightInd w:val="0"/>
              <w:jc w:val="center"/>
              <w:rPr>
                <w:kern w:val="0"/>
                <w:szCs w:val="21"/>
              </w:rPr>
            </w:pPr>
            <w:r w:rsidRPr="00FD0D8E">
              <w:rPr>
                <w:kern w:val="0"/>
                <w:szCs w:val="21"/>
              </w:rPr>
              <w:t>(0.007)</w:t>
            </w:r>
          </w:p>
        </w:tc>
        <w:tc>
          <w:tcPr>
            <w:tcW w:w="1279" w:type="pct"/>
            <w:tcBorders>
              <w:top w:val="nil"/>
              <w:left w:val="nil"/>
              <w:bottom w:val="nil"/>
              <w:right w:val="nil"/>
            </w:tcBorders>
          </w:tcPr>
          <w:p w14:paraId="0499DDBA" w14:textId="77777777" w:rsidR="00D60469" w:rsidRPr="00FD0D8E" w:rsidRDefault="00D60469" w:rsidP="00C74EB6">
            <w:pPr>
              <w:autoSpaceDE w:val="0"/>
              <w:autoSpaceDN w:val="0"/>
              <w:adjustRightInd w:val="0"/>
              <w:jc w:val="center"/>
              <w:rPr>
                <w:kern w:val="0"/>
                <w:szCs w:val="21"/>
              </w:rPr>
            </w:pPr>
            <w:r w:rsidRPr="00FD0D8E">
              <w:rPr>
                <w:kern w:val="0"/>
                <w:szCs w:val="21"/>
              </w:rPr>
              <w:t>(0.014)</w:t>
            </w:r>
          </w:p>
        </w:tc>
      </w:tr>
      <w:tr w:rsidR="00D60469" w:rsidRPr="00FD0D8E" w14:paraId="3D48D95B" w14:textId="77777777" w:rsidTr="00C45901">
        <w:tc>
          <w:tcPr>
            <w:tcW w:w="1165" w:type="pct"/>
            <w:tcBorders>
              <w:top w:val="nil"/>
              <w:left w:val="nil"/>
              <w:bottom w:val="nil"/>
              <w:right w:val="nil"/>
            </w:tcBorders>
          </w:tcPr>
          <w:p w14:paraId="15F49147" w14:textId="77777777" w:rsidR="00D60469" w:rsidRPr="00FD0D8E" w:rsidRDefault="00D60469" w:rsidP="00C74EB6">
            <w:pPr>
              <w:autoSpaceDE w:val="0"/>
              <w:autoSpaceDN w:val="0"/>
              <w:adjustRightInd w:val="0"/>
              <w:rPr>
                <w:kern w:val="0"/>
                <w:szCs w:val="21"/>
              </w:rPr>
            </w:pPr>
            <w:r w:rsidRPr="00FD0D8E">
              <w:rPr>
                <w:kern w:val="0"/>
                <w:szCs w:val="21"/>
              </w:rPr>
              <w:t>Cash</w:t>
            </w:r>
          </w:p>
        </w:tc>
        <w:tc>
          <w:tcPr>
            <w:tcW w:w="1277" w:type="pct"/>
            <w:tcBorders>
              <w:top w:val="nil"/>
              <w:left w:val="nil"/>
              <w:bottom w:val="nil"/>
              <w:right w:val="nil"/>
            </w:tcBorders>
          </w:tcPr>
          <w:p w14:paraId="6276046B" w14:textId="77777777" w:rsidR="00D60469" w:rsidRPr="00FD0D8E" w:rsidRDefault="00D60469" w:rsidP="00C74EB6">
            <w:pPr>
              <w:autoSpaceDE w:val="0"/>
              <w:autoSpaceDN w:val="0"/>
              <w:adjustRightInd w:val="0"/>
              <w:jc w:val="center"/>
              <w:rPr>
                <w:kern w:val="0"/>
                <w:szCs w:val="21"/>
              </w:rPr>
            </w:pPr>
            <w:r w:rsidRPr="00FD0D8E">
              <w:rPr>
                <w:kern w:val="0"/>
                <w:szCs w:val="21"/>
              </w:rPr>
              <w:t>0.039</w:t>
            </w:r>
          </w:p>
        </w:tc>
        <w:tc>
          <w:tcPr>
            <w:tcW w:w="1278" w:type="pct"/>
            <w:tcBorders>
              <w:top w:val="nil"/>
              <w:left w:val="nil"/>
              <w:bottom w:val="nil"/>
              <w:right w:val="nil"/>
            </w:tcBorders>
          </w:tcPr>
          <w:p w14:paraId="64945C7A" w14:textId="77777777" w:rsidR="00D60469" w:rsidRPr="00FD0D8E" w:rsidRDefault="00D60469" w:rsidP="00C74EB6">
            <w:pPr>
              <w:autoSpaceDE w:val="0"/>
              <w:autoSpaceDN w:val="0"/>
              <w:adjustRightInd w:val="0"/>
              <w:jc w:val="center"/>
              <w:rPr>
                <w:kern w:val="0"/>
                <w:szCs w:val="21"/>
              </w:rPr>
            </w:pPr>
            <w:r w:rsidRPr="00FD0D8E">
              <w:rPr>
                <w:kern w:val="0"/>
                <w:szCs w:val="21"/>
              </w:rPr>
              <w:t>0.030</w:t>
            </w:r>
          </w:p>
        </w:tc>
        <w:tc>
          <w:tcPr>
            <w:tcW w:w="1279" w:type="pct"/>
            <w:tcBorders>
              <w:top w:val="nil"/>
              <w:left w:val="nil"/>
              <w:bottom w:val="nil"/>
              <w:right w:val="nil"/>
            </w:tcBorders>
          </w:tcPr>
          <w:p w14:paraId="2AACABD5" w14:textId="77777777" w:rsidR="00D60469" w:rsidRPr="00FD0D8E" w:rsidRDefault="00D60469" w:rsidP="00C74EB6">
            <w:pPr>
              <w:autoSpaceDE w:val="0"/>
              <w:autoSpaceDN w:val="0"/>
              <w:adjustRightInd w:val="0"/>
              <w:jc w:val="center"/>
              <w:rPr>
                <w:kern w:val="0"/>
                <w:szCs w:val="21"/>
              </w:rPr>
            </w:pPr>
            <w:r w:rsidRPr="00FD0D8E">
              <w:rPr>
                <w:kern w:val="0"/>
                <w:szCs w:val="21"/>
              </w:rPr>
              <w:t>0.038</w:t>
            </w:r>
            <w:r w:rsidRPr="00FD0D8E">
              <w:rPr>
                <w:kern w:val="0"/>
                <w:szCs w:val="21"/>
                <w:vertAlign w:val="superscript"/>
              </w:rPr>
              <w:t>**</w:t>
            </w:r>
          </w:p>
        </w:tc>
      </w:tr>
      <w:tr w:rsidR="00D60469" w:rsidRPr="00FD0D8E" w14:paraId="75947769" w14:textId="77777777" w:rsidTr="00C45901">
        <w:tc>
          <w:tcPr>
            <w:tcW w:w="1165" w:type="pct"/>
            <w:tcBorders>
              <w:top w:val="nil"/>
              <w:left w:val="nil"/>
              <w:bottom w:val="nil"/>
              <w:right w:val="nil"/>
            </w:tcBorders>
          </w:tcPr>
          <w:p w14:paraId="2EC73CC5"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2C731AB3" w14:textId="77777777" w:rsidR="00D60469" w:rsidRPr="00FD0D8E" w:rsidRDefault="00D60469" w:rsidP="00C74EB6">
            <w:pPr>
              <w:autoSpaceDE w:val="0"/>
              <w:autoSpaceDN w:val="0"/>
              <w:adjustRightInd w:val="0"/>
              <w:jc w:val="center"/>
              <w:rPr>
                <w:kern w:val="0"/>
                <w:szCs w:val="21"/>
              </w:rPr>
            </w:pPr>
            <w:r w:rsidRPr="00FD0D8E">
              <w:rPr>
                <w:kern w:val="0"/>
                <w:szCs w:val="21"/>
              </w:rPr>
              <w:t>(0.024)</w:t>
            </w:r>
          </w:p>
        </w:tc>
        <w:tc>
          <w:tcPr>
            <w:tcW w:w="1278" w:type="pct"/>
            <w:tcBorders>
              <w:top w:val="nil"/>
              <w:left w:val="nil"/>
              <w:bottom w:val="nil"/>
              <w:right w:val="nil"/>
            </w:tcBorders>
          </w:tcPr>
          <w:p w14:paraId="56D4034B" w14:textId="77777777" w:rsidR="00D60469" w:rsidRPr="00FD0D8E" w:rsidRDefault="00D60469" w:rsidP="00C74EB6">
            <w:pPr>
              <w:autoSpaceDE w:val="0"/>
              <w:autoSpaceDN w:val="0"/>
              <w:adjustRightInd w:val="0"/>
              <w:jc w:val="center"/>
              <w:rPr>
                <w:kern w:val="0"/>
                <w:szCs w:val="21"/>
              </w:rPr>
            </w:pPr>
            <w:r w:rsidRPr="00FD0D8E">
              <w:rPr>
                <w:kern w:val="0"/>
                <w:szCs w:val="21"/>
              </w:rPr>
              <w:t>(0.025)</w:t>
            </w:r>
          </w:p>
        </w:tc>
        <w:tc>
          <w:tcPr>
            <w:tcW w:w="1279" w:type="pct"/>
            <w:tcBorders>
              <w:top w:val="nil"/>
              <w:left w:val="nil"/>
              <w:bottom w:val="nil"/>
              <w:right w:val="nil"/>
            </w:tcBorders>
          </w:tcPr>
          <w:p w14:paraId="1E8F2BEA" w14:textId="77777777" w:rsidR="00D60469" w:rsidRPr="00FD0D8E" w:rsidRDefault="00D60469" w:rsidP="00C74EB6">
            <w:pPr>
              <w:autoSpaceDE w:val="0"/>
              <w:autoSpaceDN w:val="0"/>
              <w:adjustRightInd w:val="0"/>
              <w:jc w:val="center"/>
              <w:rPr>
                <w:kern w:val="0"/>
                <w:szCs w:val="21"/>
              </w:rPr>
            </w:pPr>
            <w:r w:rsidRPr="00FD0D8E">
              <w:rPr>
                <w:kern w:val="0"/>
                <w:szCs w:val="21"/>
              </w:rPr>
              <w:t>(0.018)</w:t>
            </w:r>
          </w:p>
        </w:tc>
      </w:tr>
      <w:tr w:rsidR="00D60469" w:rsidRPr="00FD0D8E" w14:paraId="055A63A9" w14:textId="77777777" w:rsidTr="00C45901">
        <w:tc>
          <w:tcPr>
            <w:tcW w:w="1165" w:type="pct"/>
            <w:tcBorders>
              <w:top w:val="nil"/>
              <w:left w:val="nil"/>
              <w:bottom w:val="nil"/>
              <w:right w:val="nil"/>
            </w:tcBorders>
          </w:tcPr>
          <w:p w14:paraId="5BB5FB51" w14:textId="77777777" w:rsidR="00D60469" w:rsidRPr="00FD0D8E" w:rsidRDefault="00D60469" w:rsidP="00C74EB6">
            <w:pPr>
              <w:autoSpaceDE w:val="0"/>
              <w:autoSpaceDN w:val="0"/>
              <w:adjustRightInd w:val="0"/>
              <w:rPr>
                <w:kern w:val="0"/>
                <w:szCs w:val="21"/>
              </w:rPr>
            </w:pPr>
            <w:r w:rsidRPr="00FD0D8E">
              <w:rPr>
                <w:kern w:val="0"/>
                <w:szCs w:val="21"/>
              </w:rPr>
              <w:t>Volatility</w:t>
            </w:r>
          </w:p>
        </w:tc>
        <w:tc>
          <w:tcPr>
            <w:tcW w:w="1277" w:type="pct"/>
            <w:tcBorders>
              <w:top w:val="nil"/>
              <w:left w:val="nil"/>
              <w:bottom w:val="nil"/>
              <w:right w:val="nil"/>
            </w:tcBorders>
          </w:tcPr>
          <w:p w14:paraId="6F773C26" w14:textId="77777777" w:rsidR="00D60469" w:rsidRPr="00FD0D8E" w:rsidRDefault="00D60469" w:rsidP="00C74EB6">
            <w:pPr>
              <w:autoSpaceDE w:val="0"/>
              <w:autoSpaceDN w:val="0"/>
              <w:adjustRightInd w:val="0"/>
              <w:jc w:val="center"/>
              <w:rPr>
                <w:kern w:val="0"/>
                <w:szCs w:val="21"/>
              </w:rPr>
            </w:pPr>
            <w:r w:rsidRPr="00FD0D8E">
              <w:rPr>
                <w:kern w:val="0"/>
                <w:szCs w:val="21"/>
              </w:rPr>
              <w:t>0.067</w:t>
            </w:r>
          </w:p>
        </w:tc>
        <w:tc>
          <w:tcPr>
            <w:tcW w:w="1278" w:type="pct"/>
            <w:tcBorders>
              <w:top w:val="nil"/>
              <w:left w:val="nil"/>
              <w:bottom w:val="nil"/>
              <w:right w:val="nil"/>
            </w:tcBorders>
          </w:tcPr>
          <w:p w14:paraId="4C4B62F5" w14:textId="77777777" w:rsidR="00D60469" w:rsidRPr="00FD0D8E" w:rsidRDefault="00D60469" w:rsidP="00C74EB6">
            <w:pPr>
              <w:autoSpaceDE w:val="0"/>
              <w:autoSpaceDN w:val="0"/>
              <w:adjustRightInd w:val="0"/>
              <w:jc w:val="center"/>
              <w:rPr>
                <w:kern w:val="0"/>
                <w:szCs w:val="21"/>
              </w:rPr>
            </w:pPr>
            <w:r w:rsidRPr="00FD0D8E">
              <w:rPr>
                <w:kern w:val="0"/>
                <w:szCs w:val="21"/>
              </w:rPr>
              <w:t>0.081</w:t>
            </w:r>
          </w:p>
        </w:tc>
        <w:tc>
          <w:tcPr>
            <w:tcW w:w="1279" w:type="pct"/>
            <w:tcBorders>
              <w:top w:val="nil"/>
              <w:left w:val="nil"/>
              <w:bottom w:val="nil"/>
              <w:right w:val="nil"/>
            </w:tcBorders>
          </w:tcPr>
          <w:p w14:paraId="0320333D" w14:textId="77777777" w:rsidR="00D60469" w:rsidRPr="00FD0D8E" w:rsidRDefault="00D60469" w:rsidP="00C74EB6">
            <w:pPr>
              <w:autoSpaceDE w:val="0"/>
              <w:autoSpaceDN w:val="0"/>
              <w:adjustRightInd w:val="0"/>
              <w:jc w:val="center"/>
              <w:rPr>
                <w:kern w:val="0"/>
                <w:szCs w:val="21"/>
              </w:rPr>
            </w:pPr>
            <w:r w:rsidRPr="00FD0D8E">
              <w:rPr>
                <w:kern w:val="0"/>
                <w:szCs w:val="21"/>
              </w:rPr>
              <w:t>0.067</w:t>
            </w:r>
            <w:r w:rsidRPr="00FD0D8E">
              <w:rPr>
                <w:kern w:val="0"/>
                <w:szCs w:val="21"/>
                <w:vertAlign w:val="superscript"/>
              </w:rPr>
              <w:t>**</w:t>
            </w:r>
          </w:p>
        </w:tc>
      </w:tr>
      <w:tr w:rsidR="00D60469" w:rsidRPr="00FD0D8E" w14:paraId="41196F0B" w14:textId="77777777" w:rsidTr="00C45901">
        <w:tc>
          <w:tcPr>
            <w:tcW w:w="1165" w:type="pct"/>
            <w:tcBorders>
              <w:top w:val="nil"/>
              <w:left w:val="nil"/>
              <w:bottom w:val="nil"/>
              <w:right w:val="nil"/>
            </w:tcBorders>
          </w:tcPr>
          <w:p w14:paraId="77ADFC39"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68B1FF85" w14:textId="77777777" w:rsidR="00D60469" w:rsidRPr="00FD0D8E" w:rsidRDefault="00D60469" w:rsidP="00C74EB6">
            <w:pPr>
              <w:autoSpaceDE w:val="0"/>
              <w:autoSpaceDN w:val="0"/>
              <w:adjustRightInd w:val="0"/>
              <w:jc w:val="center"/>
              <w:rPr>
                <w:kern w:val="0"/>
                <w:szCs w:val="21"/>
              </w:rPr>
            </w:pPr>
            <w:r w:rsidRPr="00FD0D8E">
              <w:rPr>
                <w:kern w:val="0"/>
                <w:szCs w:val="21"/>
              </w:rPr>
              <w:t>(0.047)</w:t>
            </w:r>
          </w:p>
        </w:tc>
        <w:tc>
          <w:tcPr>
            <w:tcW w:w="1278" w:type="pct"/>
            <w:tcBorders>
              <w:top w:val="nil"/>
              <w:left w:val="nil"/>
              <w:bottom w:val="nil"/>
              <w:right w:val="nil"/>
            </w:tcBorders>
          </w:tcPr>
          <w:p w14:paraId="0FA486BB" w14:textId="77777777" w:rsidR="00D60469" w:rsidRPr="00FD0D8E" w:rsidRDefault="00D60469" w:rsidP="00C74EB6">
            <w:pPr>
              <w:autoSpaceDE w:val="0"/>
              <w:autoSpaceDN w:val="0"/>
              <w:adjustRightInd w:val="0"/>
              <w:jc w:val="center"/>
              <w:rPr>
                <w:kern w:val="0"/>
                <w:szCs w:val="21"/>
              </w:rPr>
            </w:pPr>
            <w:r w:rsidRPr="00FD0D8E">
              <w:rPr>
                <w:kern w:val="0"/>
                <w:szCs w:val="21"/>
              </w:rPr>
              <w:t>(0.051)</w:t>
            </w:r>
          </w:p>
        </w:tc>
        <w:tc>
          <w:tcPr>
            <w:tcW w:w="1279" w:type="pct"/>
            <w:tcBorders>
              <w:top w:val="nil"/>
              <w:left w:val="nil"/>
              <w:bottom w:val="nil"/>
              <w:right w:val="nil"/>
            </w:tcBorders>
          </w:tcPr>
          <w:p w14:paraId="35D17F9D" w14:textId="77777777" w:rsidR="00D60469" w:rsidRPr="00FD0D8E" w:rsidRDefault="00D60469" w:rsidP="00C74EB6">
            <w:pPr>
              <w:autoSpaceDE w:val="0"/>
              <w:autoSpaceDN w:val="0"/>
              <w:adjustRightInd w:val="0"/>
              <w:jc w:val="center"/>
              <w:rPr>
                <w:kern w:val="0"/>
                <w:szCs w:val="21"/>
              </w:rPr>
            </w:pPr>
            <w:r w:rsidRPr="00FD0D8E">
              <w:rPr>
                <w:kern w:val="0"/>
                <w:szCs w:val="21"/>
              </w:rPr>
              <w:t>(0.031)</w:t>
            </w:r>
          </w:p>
        </w:tc>
      </w:tr>
      <w:tr w:rsidR="00D60469" w:rsidRPr="00FD0D8E" w14:paraId="4206E364" w14:textId="77777777" w:rsidTr="00C45901">
        <w:tc>
          <w:tcPr>
            <w:tcW w:w="1165" w:type="pct"/>
            <w:tcBorders>
              <w:top w:val="nil"/>
              <w:left w:val="nil"/>
              <w:bottom w:val="nil"/>
              <w:right w:val="nil"/>
            </w:tcBorders>
          </w:tcPr>
          <w:p w14:paraId="07C5DE01" w14:textId="77777777" w:rsidR="00D60469" w:rsidRPr="00FD0D8E" w:rsidRDefault="00D60469" w:rsidP="00C74EB6">
            <w:pPr>
              <w:autoSpaceDE w:val="0"/>
              <w:autoSpaceDN w:val="0"/>
              <w:adjustRightInd w:val="0"/>
              <w:rPr>
                <w:kern w:val="0"/>
                <w:szCs w:val="21"/>
              </w:rPr>
            </w:pPr>
            <w:r w:rsidRPr="00FD0D8E">
              <w:rPr>
                <w:kern w:val="0"/>
                <w:szCs w:val="21"/>
              </w:rPr>
              <w:t>PB</w:t>
            </w:r>
          </w:p>
        </w:tc>
        <w:tc>
          <w:tcPr>
            <w:tcW w:w="1277" w:type="pct"/>
            <w:tcBorders>
              <w:top w:val="nil"/>
              <w:left w:val="nil"/>
              <w:bottom w:val="nil"/>
              <w:right w:val="nil"/>
            </w:tcBorders>
          </w:tcPr>
          <w:p w14:paraId="4CE27A25"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c>
          <w:tcPr>
            <w:tcW w:w="1278" w:type="pct"/>
            <w:tcBorders>
              <w:top w:val="nil"/>
              <w:left w:val="nil"/>
              <w:bottom w:val="nil"/>
              <w:right w:val="nil"/>
            </w:tcBorders>
          </w:tcPr>
          <w:p w14:paraId="2774B69C" w14:textId="77777777" w:rsidR="00D60469" w:rsidRPr="00FD0D8E" w:rsidRDefault="00D60469" w:rsidP="00C74EB6">
            <w:pPr>
              <w:autoSpaceDE w:val="0"/>
              <w:autoSpaceDN w:val="0"/>
              <w:adjustRightInd w:val="0"/>
              <w:jc w:val="center"/>
              <w:rPr>
                <w:kern w:val="0"/>
                <w:szCs w:val="21"/>
              </w:rPr>
            </w:pPr>
            <w:r w:rsidRPr="00FD0D8E">
              <w:rPr>
                <w:kern w:val="0"/>
                <w:szCs w:val="21"/>
              </w:rPr>
              <w:t>-0.000</w:t>
            </w:r>
          </w:p>
        </w:tc>
        <w:tc>
          <w:tcPr>
            <w:tcW w:w="1279" w:type="pct"/>
            <w:tcBorders>
              <w:top w:val="nil"/>
              <w:left w:val="nil"/>
              <w:bottom w:val="nil"/>
              <w:right w:val="nil"/>
            </w:tcBorders>
          </w:tcPr>
          <w:p w14:paraId="438E37FE"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r>
      <w:tr w:rsidR="00D60469" w:rsidRPr="00FD0D8E" w14:paraId="23855A02" w14:textId="77777777" w:rsidTr="00C45901">
        <w:tc>
          <w:tcPr>
            <w:tcW w:w="1165" w:type="pct"/>
            <w:tcBorders>
              <w:top w:val="nil"/>
              <w:left w:val="nil"/>
              <w:bottom w:val="nil"/>
              <w:right w:val="nil"/>
            </w:tcBorders>
          </w:tcPr>
          <w:p w14:paraId="1D4E3E2F"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5DB45628"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c>
          <w:tcPr>
            <w:tcW w:w="1278" w:type="pct"/>
            <w:tcBorders>
              <w:top w:val="nil"/>
              <w:left w:val="nil"/>
              <w:bottom w:val="nil"/>
              <w:right w:val="nil"/>
            </w:tcBorders>
          </w:tcPr>
          <w:p w14:paraId="6A5A2880"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c>
          <w:tcPr>
            <w:tcW w:w="1279" w:type="pct"/>
            <w:tcBorders>
              <w:top w:val="nil"/>
              <w:left w:val="nil"/>
              <w:bottom w:val="nil"/>
              <w:right w:val="nil"/>
            </w:tcBorders>
          </w:tcPr>
          <w:p w14:paraId="1FD0ACE4"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r>
      <w:tr w:rsidR="00D60469" w:rsidRPr="00FD0D8E" w14:paraId="3B8CCB97" w14:textId="77777777" w:rsidTr="00C45901">
        <w:tc>
          <w:tcPr>
            <w:tcW w:w="1165" w:type="pct"/>
            <w:tcBorders>
              <w:top w:val="nil"/>
              <w:left w:val="nil"/>
              <w:bottom w:val="nil"/>
              <w:right w:val="nil"/>
            </w:tcBorders>
          </w:tcPr>
          <w:p w14:paraId="4DDAB486" w14:textId="77777777" w:rsidR="00D60469" w:rsidRPr="00FD0D8E" w:rsidRDefault="00D60469" w:rsidP="00C74EB6">
            <w:pPr>
              <w:autoSpaceDE w:val="0"/>
              <w:autoSpaceDN w:val="0"/>
              <w:adjustRightInd w:val="0"/>
              <w:rPr>
                <w:kern w:val="0"/>
                <w:szCs w:val="21"/>
              </w:rPr>
            </w:pPr>
            <w:proofErr w:type="spellStart"/>
            <w:r w:rsidRPr="00FD0D8E">
              <w:rPr>
                <w:kern w:val="0"/>
                <w:szCs w:val="21"/>
              </w:rPr>
              <w:t>GrowthRev</w:t>
            </w:r>
            <w:proofErr w:type="spellEnd"/>
          </w:p>
        </w:tc>
        <w:tc>
          <w:tcPr>
            <w:tcW w:w="1277" w:type="pct"/>
            <w:tcBorders>
              <w:top w:val="nil"/>
              <w:left w:val="nil"/>
              <w:bottom w:val="nil"/>
              <w:right w:val="nil"/>
            </w:tcBorders>
          </w:tcPr>
          <w:p w14:paraId="5A4C628D"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c>
          <w:tcPr>
            <w:tcW w:w="1278" w:type="pct"/>
            <w:tcBorders>
              <w:top w:val="nil"/>
              <w:left w:val="nil"/>
              <w:bottom w:val="nil"/>
              <w:right w:val="nil"/>
            </w:tcBorders>
          </w:tcPr>
          <w:p w14:paraId="3F6DAE50" w14:textId="77777777" w:rsidR="00D60469" w:rsidRPr="00FD0D8E" w:rsidRDefault="00D60469" w:rsidP="00C74EB6">
            <w:pPr>
              <w:autoSpaceDE w:val="0"/>
              <w:autoSpaceDN w:val="0"/>
              <w:adjustRightInd w:val="0"/>
              <w:jc w:val="center"/>
              <w:rPr>
                <w:kern w:val="0"/>
                <w:szCs w:val="21"/>
              </w:rPr>
            </w:pPr>
            <w:r w:rsidRPr="00FD0D8E">
              <w:rPr>
                <w:kern w:val="0"/>
                <w:szCs w:val="21"/>
              </w:rPr>
              <w:t>0.007</w:t>
            </w:r>
          </w:p>
        </w:tc>
        <w:tc>
          <w:tcPr>
            <w:tcW w:w="1279" w:type="pct"/>
            <w:tcBorders>
              <w:top w:val="nil"/>
              <w:left w:val="nil"/>
              <w:bottom w:val="nil"/>
              <w:right w:val="nil"/>
            </w:tcBorders>
          </w:tcPr>
          <w:p w14:paraId="6DC50CE6"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r>
      <w:tr w:rsidR="00D60469" w:rsidRPr="00FD0D8E" w14:paraId="53D1A98B" w14:textId="77777777" w:rsidTr="00C45901">
        <w:tc>
          <w:tcPr>
            <w:tcW w:w="1165" w:type="pct"/>
            <w:tcBorders>
              <w:top w:val="nil"/>
              <w:left w:val="nil"/>
              <w:bottom w:val="nil"/>
              <w:right w:val="nil"/>
            </w:tcBorders>
          </w:tcPr>
          <w:p w14:paraId="236B3966"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6385B3DA" w14:textId="77777777" w:rsidR="00D60469" w:rsidRPr="00FD0D8E" w:rsidRDefault="00D60469" w:rsidP="00C74EB6">
            <w:pPr>
              <w:autoSpaceDE w:val="0"/>
              <w:autoSpaceDN w:val="0"/>
              <w:adjustRightInd w:val="0"/>
              <w:jc w:val="center"/>
              <w:rPr>
                <w:kern w:val="0"/>
                <w:szCs w:val="21"/>
              </w:rPr>
            </w:pPr>
            <w:r w:rsidRPr="00FD0D8E">
              <w:rPr>
                <w:kern w:val="0"/>
                <w:szCs w:val="21"/>
              </w:rPr>
              <w:t>(0.005)</w:t>
            </w:r>
          </w:p>
        </w:tc>
        <w:tc>
          <w:tcPr>
            <w:tcW w:w="1278" w:type="pct"/>
            <w:tcBorders>
              <w:top w:val="nil"/>
              <w:left w:val="nil"/>
              <w:bottom w:val="nil"/>
              <w:right w:val="nil"/>
            </w:tcBorders>
          </w:tcPr>
          <w:p w14:paraId="1B519C12"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c>
          <w:tcPr>
            <w:tcW w:w="1279" w:type="pct"/>
            <w:tcBorders>
              <w:top w:val="nil"/>
              <w:left w:val="nil"/>
              <w:bottom w:val="nil"/>
              <w:right w:val="nil"/>
            </w:tcBorders>
          </w:tcPr>
          <w:p w14:paraId="24DD2B45"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r>
      <w:tr w:rsidR="00D60469" w:rsidRPr="00FD0D8E" w14:paraId="7671FEAF" w14:textId="77777777" w:rsidTr="00C45901">
        <w:tc>
          <w:tcPr>
            <w:tcW w:w="1165" w:type="pct"/>
            <w:tcBorders>
              <w:top w:val="nil"/>
              <w:left w:val="nil"/>
              <w:bottom w:val="nil"/>
              <w:right w:val="nil"/>
            </w:tcBorders>
          </w:tcPr>
          <w:p w14:paraId="2D620B2B" w14:textId="77777777" w:rsidR="00D60469" w:rsidRPr="00FD0D8E" w:rsidRDefault="00D60469" w:rsidP="00C74EB6">
            <w:pPr>
              <w:autoSpaceDE w:val="0"/>
              <w:autoSpaceDN w:val="0"/>
              <w:adjustRightInd w:val="0"/>
              <w:rPr>
                <w:kern w:val="0"/>
                <w:szCs w:val="21"/>
              </w:rPr>
            </w:pPr>
            <w:r w:rsidRPr="00FD0D8E">
              <w:rPr>
                <w:kern w:val="0"/>
                <w:szCs w:val="21"/>
              </w:rPr>
              <w:t>ROA</w:t>
            </w:r>
          </w:p>
        </w:tc>
        <w:tc>
          <w:tcPr>
            <w:tcW w:w="1277" w:type="pct"/>
            <w:tcBorders>
              <w:top w:val="nil"/>
              <w:left w:val="nil"/>
              <w:bottom w:val="nil"/>
              <w:right w:val="nil"/>
            </w:tcBorders>
          </w:tcPr>
          <w:p w14:paraId="25534A03" w14:textId="77777777" w:rsidR="00D60469" w:rsidRPr="00FD0D8E" w:rsidRDefault="00D60469" w:rsidP="00C74EB6">
            <w:pPr>
              <w:autoSpaceDE w:val="0"/>
              <w:autoSpaceDN w:val="0"/>
              <w:adjustRightInd w:val="0"/>
              <w:jc w:val="center"/>
              <w:rPr>
                <w:kern w:val="0"/>
                <w:szCs w:val="21"/>
              </w:rPr>
            </w:pPr>
            <w:r w:rsidRPr="00FD0D8E">
              <w:rPr>
                <w:kern w:val="0"/>
                <w:szCs w:val="21"/>
              </w:rPr>
              <w:t>-0.028</w:t>
            </w:r>
          </w:p>
        </w:tc>
        <w:tc>
          <w:tcPr>
            <w:tcW w:w="1278" w:type="pct"/>
            <w:tcBorders>
              <w:top w:val="nil"/>
              <w:left w:val="nil"/>
              <w:bottom w:val="nil"/>
              <w:right w:val="nil"/>
            </w:tcBorders>
          </w:tcPr>
          <w:p w14:paraId="074B2352" w14:textId="77777777" w:rsidR="00D60469" w:rsidRPr="00FD0D8E" w:rsidRDefault="00D60469" w:rsidP="00C74EB6">
            <w:pPr>
              <w:autoSpaceDE w:val="0"/>
              <w:autoSpaceDN w:val="0"/>
              <w:adjustRightInd w:val="0"/>
              <w:jc w:val="center"/>
              <w:rPr>
                <w:kern w:val="0"/>
                <w:szCs w:val="21"/>
              </w:rPr>
            </w:pPr>
            <w:r w:rsidRPr="00FD0D8E">
              <w:rPr>
                <w:kern w:val="0"/>
                <w:szCs w:val="21"/>
              </w:rPr>
              <w:t>-0.052</w:t>
            </w:r>
          </w:p>
        </w:tc>
        <w:tc>
          <w:tcPr>
            <w:tcW w:w="1279" w:type="pct"/>
            <w:tcBorders>
              <w:top w:val="nil"/>
              <w:left w:val="nil"/>
              <w:bottom w:val="nil"/>
              <w:right w:val="nil"/>
            </w:tcBorders>
          </w:tcPr>
          <w:p w14:paraId="6896A62D" w14:textId="77777777" w:rsidR="00D60469" w:rsidRPr="00FD0D8E" w:rsidRDefault="00D60469" w:rsidP="00C74EB6">
            <w:pPr>
              <w:autoSpaceDE w:val="0"/>
              <w:autoSpaceDN w:val="0"/>
              <w:adjustRightInd w:val="0"/>
              <w:jc w:val="center"/>
              <w:rPr>
                <w:kern w:val="0"/>
                <w:szCs w:val="21"/>
              </w:rPr>
            </w:pPr>
            <w:r w:rsidRPr="00FD0D8E">
              <w:rPr>
                <w:kern w:val="0"/>
                <w:szCs w:val="21"/>
              </w:rPr>
              <w:t>-0.029</w:t>
            </w:r>
          </w:p>
        </w:tc>
      </w:tr>
      <w:tr w:rsidR="00D60469" w:rsidRPr="00FD0D8E" w14:paraId="4C65160D" w14:textId="77777777" w:rsidTr="00C45901">
        <w:tc>
          <w:tcPr>
            <w:tcW w:w="1165" w:type="pct"/>
            <w:tcBorders>
              <w:top w:val="nil"/>
              <w:left w:val="nil"/>
              <w:bottom w:val="nil"/>
              <w:right w:val="nil"/>
            </w:tcBorders>
          </w:tcPr>
          <w:p w14:paraId="0E4486D3"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75F4FAE1" w14:textId="77777777" w:rsidR="00D60469" w:rsidRPr="00FD0D8E" w:rsidRDefault="00D60469" w:rsidP="00C74EB6">
            <w:pPr>
              <w:autoSpaceDE w:val="0"/>
              <w:autoSpaceDN w:val="0"/>
              <w:adjustRightInd w:val="0"/>
              <w:jc w:val="center"/>
              <w:rPr>
                <w:kern w:val="0"/>
                <w:szCs w:val="21"/>
              </w:rPr>
            </w:pPr>
            <w:r w:rsidRPr="00FD0D8E">
              <w:rPr>
                <w:kern w:val="0"/>
                <w:szCs w:val="21"/>
              </w:rPr>
              <w:t>(0.039)</w:t>
            </w:r>
          </w:p>
        </w:tc>
        <w:tc>
          <w:tcPr>
            <w:tcW w:w="1278" w:type="pct"/>
            <w:tcBorders>
              <w:top w:val="nil"/>
              <w:left w:val="nil"/>
              <w:bottom w:val="nil"/>
              <w:right w:val="nil"/>
            </w:tcBorders>
          </w:tcPr>
          <w:p w14:paraId="52498CB6" w14:textId="77777777" w:rsidR="00D60469" w:rsidRPr="00FD0D8E" w:rsidRDefault="00D60469" w:rsidP="00C74EB6">
            <w:pPr>
              <w:autoSpaceDE w:val="0"/>
              <w:autoSpaceDN w:val="0"/>
              <w:adjustRightInd w:val="0"/>
              <w:jc w:val="center"/>
              <w:rPr>
                <w:kern w:val="0"/>
                <w:szCs w:val="21"/>
              </w:rPr>
            </w:pPr>
            <w:r w:rsidRPr="00FD0D8E">
              <w:rPr>
                <w:kern w:val="0"/>
                <w:szCs w:val="21"/>
              </w:rPr>
              <w:t>(0.039)</w:t>
            </w:r>
          </w:p>
        </w:tc>
        <w:tc>
          <w:tcPr>
            <w:tcW w:w="1279" w:type="pct"/>
            <w:tcBorders>
              <w:top w:val="nil"/>
              <w:left w:val="nil"/>
              <w:bottom w:val="nil"/>
              <w:right w:val="nil"/>
            </w:tcBorders>
          </w:tcPr>
          <w:p w14:paraId="6AA80F6F" w14:textId="77777777" w:rsidR="00D60469" w:rsidRPr="00FD0D8E" w:rsidRDefault="00D60469" w:rsidP="00C74EB6">
            <w:pPr>
              <w:autoSpaceDE w:val="0"/>
              <w:autoSpaceDN w:val="0"/>
              <w:adjustRightInd w:val="0"/>
              <w:jc w:val="center"/>
              <w:rPr>
                <w:kern w:val="0"/>
                <w:szCs w:val="21"/>
              </w:rPr>
            </w:pPr>
            <w:r w:rsidRPr="00FD0D8E">
              <w:rPr>
                <w:kern w:val="0"/>
                <w:szCs w:val="21"/>
              </w:rPr>
              <w:t>(0.042)</w:t>
            </w:r>
          </w:p>
        </w:tc>
      </w:tr>
      <w:tr w:rsidR="00D60469" w:rsidRPr="00FD0D8E" w14:paraId="364DDB7B" w14:textId="77777777" w:rsidTr="00C45901">
        <w:tc>
          <w:tcPr>
            <w:tcW w:w="1165" w:type="pct"/>
            <w:tcBorders>
              <w:top w:val="nil"/>
              <w:left w:val="nil"/>
              <w:bottom w:val="nil"/>
              <w:right w:val="nil"/>
            </w:tcBorders>
          </w:tcPr>
          <w:p w14:paraId="5D0BCCCF" w14:textId="77777777" w:rsidR="00D60469" w:rsidRPr="00FD0D8E" w:rsidRDefault="00D60469" w:rsidP="00C74EB6">
            <w:pPr>
              <w:autoSpaceDE w:val="0"/>
              <w:autoSpaceDN w:val="0"/>
              <w:adjustRightInd w:val="0"/>
              <w:rPr>
                <w:kern w:val="0"/>
                <w:szCs w:val="21"/>
              </w:rPr>
            </w:pPr>
            <w:r w:rsidRPr="00FD0D8E">
              <w:rPr>
                <w:kern w:val="0"/>
                <w:szCs w:val="21"/>
              </w:rPr>
              <w:t>Penalty</w:t>
            </w:r>
          </w:p>
        </w:tc>
        <w:tc>
          <w:tcPr>
            <w:tcW w:w="1277" w:type="pct"/>
            <w:tcBorders>
              <w:top w:val="nil"/>
              <w:left w:val="nil"/>
              <w:bottom w:val="nil"/>
              <w:right w:val="nil"/>
            </w:tcBorders>
          </w:tcPr>
          <w:p w14:paraId="28BD041B"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c>
          <w:tcPr>
            <w:tcW w:w="1278" w:type="pct"/>
            <w:tcBorders>
              <w:top w:val="nil"/>
              <w:left w:val="nil"/>
              <w:bottom w:val="nil"/>
              <w:right w:val="nil"/>
            </w:tcBorders>
          </w:tcPr>
          <w:p w14:paraId="765350A7" w14:textId="77777777" w:rsidR="00D60469" w:rsidRPr="00FD0D8E" w:rsidRDefault="00D60469" w:rsidP="00C74EB6">
            <w:pPr>
              <w:autoSpaceDE w:val="0"/>
              <w:autoSpaceDN w:val="0"/>
              <w:adjustRightInd w:val="0"/>
              <w:jc w:val="center"/>
              <w:rPr>
                <w:kern w:val="0"/>
                <w:szCs w:val="21"/>
              </w:rPr>
            </w:pPr>
            <w:r w:rsidRPr="00FD0D8E">
              <w:rPr>
                <w:kern w:val="0"/>
                <w:szCs w:val="21"/>
              </w:rPr>
              <w:t>0.007</w:t>
            </w:r>
          </w:p>
        </w:tc>
        <w:tc>
          <w:tcPr>
            <w:tcW w:w="1279" w:type="pct"/>
            <w:tcBorders>
              <w:top w:val="nil"/>
              <w:left w:val="nil"/>
              <w:bottom w:val="nil"/>
              <w:right w:val="nil"/>
            </w:tcBorders>
          </w:tcPr>
          <w:p w14:paraId="754A167E" w14:textId="77777777" w:rsidR="00D60469" w:rsidRPr="00FD0D8E" w:rsidRDefault="00D60469" w:rsidP="00C74EB6">
            <w:pPr>
              <w:autoSpaceDE w:val="0"/>
              <w:autoSpaceDN w:val="0"/>
              <w:adjustRightInd w:val="0"/>
              <w:jc w:val="center"/>
              <w:rPr>
                <w:kern w:val="0"/>
                <w:szCs w:val="21"/>
              </w:rPr>
            </w:pPr>
            <w:r w:rsidRPr="00FD0D8E">
              <w:rPr>
                <w:kern w:val="0"/>
                <w:szCs w:val="21"/>
              </w:rPr>
              <w:t>0.006</w:t>
            </w:r>
          </w:p>
        </w:tc>
      </w:tr>
      <w:tr w:rsidR="00D60469" w:rsidRPr="00FD0D8E" w14:paraId="1885106F" w14:textId="77777777" w:rsidTr="00C45901">
        <w:tc>
          <w:tcPr>
            <w:tcW w:w="1165" w:type="pct"/>
            <w:tcBorders>
              <w:top w:val="nil"/>
              <w:left w:val="nil"/>
              <w:bottom w:val="nil"/>
              <w:right w:val="nil"/>
            </w:tcBorders>
          </w:tcPr>
          <w:p w14:paraId="63E9D353"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1C5D0899" w14:textId="77777777" w:rsidR="00D60469" w:rsidRPr="00FD0D8E" w:rsidRDefault="00D60469" w:rsidP="00C74EB6">
            <w:pPr>
              <w:autoSpaceDE w:val="0"/>
              <w:autoSpaceDN w:val="0"/>
              <w:adjustRightInd w:val="0"/>
              <w:jc w:val="center"/>
              <w:rPr>
                <w:kern w:val="0"/>
                <w:szCs w:val="21"/>
              </w:rPr>
            </w:pPr>
            <w:r w:rsidRPr="00FD0D8E">
              <w:rPr>
                <w:kern w:val="0"/>
                <w:szCs w:val="21"/>
              </w:rPr>
              <w:t>(0.008)</w:t>
            </w:r>
          </w:p>
        </w:tc>
        <w:tc>
          <w:tcPr>
            <w:tcW w:w="1278" w:type="pct"/>
            <w:tcBorders>
              <w:top w:val="nil"/>
              <w:left w:val="nil"/>
              <w:bottom w:val="nil"/>
              <w:right w:val="nil"/>
            </w:tcBorders>
          </w:tcPr>
          <w:p w14:paraId="381F8935" w14:textId="77777777" w:rsidR="00D60469" w:rsidRPr="00FD0D8E" w:rsidRDefault="00D60469" w:rsidP="00C74EB6">
            <w:pPr>
              <w:autoSpaceDE w:val="0"/>
              <w:autoSpaceDN w:val="0"/>
              <w:adjustRightInd w:val="0"/>
              <w:jc w:val="center"/>
              <w:rPr>
                <w:kern w:val="0"/>
                <w:szCs w:val="21"/>
              </w:rPr>
            </w:pPr>
            <w:r w:rsidRPr="00FD0D8E">
              <w:rPr>
                <w:kern w:val="0"/>
                <w:szCs w:val="21"/>
              </w:rPr>
              <w:t>(0.008)</w:t>
            </w:r>
          </w:p>
        </w:tc>
        <w:tc>
          <w:tcPr>
            <w:tcW w:w="1279" w:type="pct"/>
            <w:tcBorders>
              <w:top w:val="nil"/>
              <w:left w:val="nil"/>
              <w:bottom w:val="nil"/>
              <w:right w:val="nil"/>
            </w:tcBorders>
          </w:tcPr>
          <w:p w14:paraId="2CDF95DD" w14:textId="77777777" w:rsidR="00D60469" w:rsidRPr="00FD0D8E" w:rsidRDefault="00D60469" w:rsidP="00C74EB6">
            <w:pPr>
              <w:autoSpaceDE w:val="0"/>
              <w:autoSpaceDN w:val="0"/>
              <w:adjustRightInd w:val="0"/>
              <w:jc w:val="center"/>
              <w:rPr>
                <w:kern w:val="0"/>
                <w:szCs w:val="21"/>
              </w:rPr>
            </w:pPr>
            <w:r w:rsidRPr="00FD0D8E">
              <w:rPr>
                <w:kern w:val="0"/>
                <w:szCs w:val="21"/>
              </w:rPr>
              <w:t>(0.007)</w:t>
            </w:r>
          </w:p>
        </w:tc>
      </w:tr>
      <w:tr w:rsidR="00D60469" w:rsidRPr="00FD0D8E" w14:paraId="3471667C" w14:textId="77777777" w:rsidTr="00C45901">
        <w:tc>
          <w:tcPr>
            <w:tcW w:w="1165" w:type="pct"/>
            <w:tcBorders>
              <w:top w:val="nil"/>
              <w:left w:val="nil"/>
              <w:bottom w:val="nil"/>
              <w:right w:val="nil"/>
            </w:tcBorders>
          </w:tcPr>
          <w:p w14:paraId="43D4414C" w14:textId="77777777" w:rsidR="00D60469" w:rsidRPr="00FD0D8E" w:rsidRDefault="00D60469" w:rsidP="00C74EB6">
            <w:pPr>
              <w:autoSpaceDE w:val="0"/>
              <w:autoSpaceDN w:val="0"/>
              <w:adjustRightInd w:val="0"/>
              <w:rPr>
                <w:kern w:val="0"/>
                <w:szCs w:val="21"/>
              </w:rPr>
            </w:pPr>
            <w:proofErr w:type="spellStart"/>
            <w:r w:rsidRPr="00FD0D8E">
              <w:rPr>
                <w:kern w:val="0"/>
                <w:szCs w:val="21"/>
              </w:rPr>
              <w:t>IndepR</w:t>
            </w:r>
            <w:proofErr w:type="spellEnd"/>
          </w:p>
        </w:tc>
        <w:tc>
          <w:tcPr>
            <w:tcW w:w="1277" w:type="pct"/>
            <w:tcBorders>
              <w:top w:val="nil"/>
              <w:left w:val="nil"/>
              <w:bottom w:val="nil"/>
              <w:right w:val="nil"/>
            </w:tcBorders>
          </w:tcPr>
          <w:p w14:paraId="40D9EBAF" w14:textId="77777777" w:rsidR="00D60469" w:rsidRPr="00FD0D8E" w:rsidRDefault="00D60469" w:rsidP="00C74EB6">
            <w:pPr>
              <w:autoSpaceDE w:val="0"/>
              <w:autoSpaceDN w:val="0"/>
              <w:adjustRightInd w:val="0"/>
              <w:jc w:val="center"/>
              <w:rPr>
                <w:kern w:val="0"/>
                <w:szCs w:val="21"/>
              </w:rPr>
            </w:pPr>
            <w:r w:rsidRPr="00FD0D8E">
              <w:rPr>
                <w:kern w:val="0"/>
                <w:szCs w:val="21"/>
              </w:rPr>
              <w:t>0.023</w:t>
            </w:r>
          </w:p>
        </w:tc>
        <w:tc>
          <w:tcPr>
            <w:tcW w:w="1278" w:type="pct"/>
            <w:tcBorders>
              <w:top w:val="nil"/>
              <w:left w:val="nil"/>
              <w:bottom w:val="nil"/>
              <w:right w:val="nil"/>
            </w:tcBorders>
          </w:tcPr>
          <w:p w14:paraId="033361B5" w14:textId="77777777" w:rsidR="00D60469" w:rsidRPr="00FD0D8E" w:rsidRDefault="00D60469" w:rsidP="00C74EB6">
            <w:pPr>
              <w:autoSpaceDE w:val="0"/>
              <w:autoSpaceDN w:val="0"/>
              <w:adjustRightInd w:val="0"/>
              <w:jc w:val="center"/>
              <w:rPr>
                <w:kern w:val="0"/>
                <w:szCs w:val="21"/>
              </w:rPr>
            </w:pPr>
            <w:r w:rsidRPr="00FD0D8E">
              <w:rPr>
                <w:kern w:val="0"/>
                <w:szCs w:val="21"/>
              </w:rPr>
              <w:t>0.012</w:t>
            </w:r>
          </w:p>
        </w:tc>
        <w:tc>
          <w:tcPr>
            <w:tcW w:w="1279" w:type="pct"/>
            <w:tcBorders>
              <w:top w:val="nil"/>
              <w:left w:val="nil"/>
              <w:bottom w:val="nil"/>
              <w:right w:val="nil"/>
            </w:tcBorders>
          </w:tcPr>
          <w:p w14:paraId="65381B04" w14:textId="77777777" w:rsidR="00D60469" w:rsidRPr="00FD0D8E" w:rsidRDefault="00D60469" w:rsidP="00C74EB6">
            <w:pPr>
              <w:autoSpaceDE w:val="0"/>
              <w:autoSpaceDN w:val="0"/>
              <w:adjustRightInd w:val="0"/>
              <w:jc w:val="center"/>
              <w:rPr>
                <w:kern w:val="0"/>
                <w:szCs w:val="21"/>
              </w:rPr>
            </w:pPr>
            <w:r w:rsidRPr="00FD0D8E">
              <w:rPr>
                <w:kern w:val="0"/>
                <w:szCs w:val="21"/>
              </w:rPr>
              <w:t>0.021</w:t>
            </w:r>
          </w:p>
        </w:tc>
      </w:tr>
      <w:tr w:rsidR="00D60469" w:rsidRPr="00FD0D8E" w14:paraId="2AF85493" w14:textId="77777777" w:rsidTr="00C45901">
        <w:tc>
          <w:tcPr>
            <w:tcW w:w="1165" w:type="pct"/>
            <w:tcBorders>
              <w:top w:val="nil"/>
              <w:left w:val="nil"/>
              <w:bottom w:val="nil"/>
              <w:right w:val="nil"/>
            </w:tcBorders>
          </w:tcPr>
          <w:p w14:paraId="7D758174"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1FF43A40" w14:textId="77777777" w:rsidR="00D60469" w:rsidRPr="00FD0D8E" w:rsidRDefault="00D60469" w:rsidP="00C74EB6">
            <w:pPr>
              <w:autoSpaceDE w:val="0"/>
              <w:autoSpaceDN w:val="0"/>
              <w:adjustRightInd w:val="0"/>
              <w:jc w:val="center"/>
              <w:rPr>
                <w:kern w:val="0"/>
                <w:szCs w:val="21"/>
              </w:rPr>
            </w:pPr>
            <w:r w:rsidRPr="00FD0D8E">
              <w:rPr>
                <w:kern w:val="0"/>
                <w:szCs w:val="21"/>
              </w:rPr>
              <w:t>(0.015)</w:t>
            </w:r>
          </w:p>
        </w:tc>
        <w:tc>
          <w:tcPr>
            <w:tcW w:w="1278" w:type="pct"/>
            <w:tcBorders>
              <w:top w:val="nil"/>
              <w:left w:val="nil"/>
              <w:bottom w:val="nil"/>
              <w:right w:val="nil"/>
            </w:tcBorders>
          </w:tcPr>
          <w:p w14:paraId="776B6D82" w14:textId="77777777" w:rsidR="00D60469" w:rsidRPr="00FD0D8E" w:rsidRDefault="00D60469" w:rsidP="00C74EB6">
            <w:pPr>
              <w:autoSpaceDE w:val="0"/>
              <w:autoSpaceDN w:val="0"/>
              <w:adjustRightInd w:val="0"/>
              <w:jc w:val="center"/>
              <w:rPr>
                <w:kern w:val="0"/>
                <w:szCs w:val="21"/>
              </w:rPr>
            </w:pPr>
            <w:r w:rsidRPr="00FD0D8E">
              <w:rPr>
                <w:kern w:val="0"/>
                <w:szCs w:val="21"/>
              </w:rPr>
              <w:t>(0.015)</w:t>
            </w:r>
          </w:p>
        </w:tc>
        <w:tc>
          <w:tcPr>
            <w:tcW w:w="1279" w:type="pct"/>
            <w:tcBorders>
              <w:top w:val="nil"/>
              <w:left w:val="nil"/>
              <w:bottom w:val="nil"/>
              <w:right w:val="nil"/>
            </w:tcBorders>
          </w:tcPr>
          <w:p w14:paraId="6F550045" w14:textId="77777777" w:rsidR="00D60469" w:rsidRPr="00FD0D8E" w:rsidRDefault="00D60469" w:rsidP="00C74EB6">
            <w:pPr>
              <w:autoSpaceDE w:val="0"/>
              <w:autoSpaceDN w:val="0"/>
              <w:adjustRightInd w:val="0"/>
              <w:jc w:val="center"/>
              <w:rPr>
                <w:kern w:val="0"/>
                <w:szCs w:val="21"/>
              </w:rPr>
            </w:pPr>
            <w:r w:rsidRPr="00FD0D8E">
              <w:rPr>
                <w:kern w:val="0"/>
                <w:szCs w:val="21"/>
              </w:rPr>
              <w:t>(0.028)</w:t>
            </w:r>
          </w:p>
        </w:tc>
      </w:tr>
      <w:tr w:rsidR="00D60469" w:rsidRPr="00FD0D8E" w14:paraId="3380DA9F" w14:textId="77777777" w:rsidTr="00C45901">
        <w:tc>
          <w:tcPr>
            <w:tcW w:w="1165" w:type="pct"/>
            <w:tcBorders>
              <w:top w:val="nil"/>
              <w:left w:val="nil"/>
              <w:bottom w:val="nil"/>
              <w:right w:val="nil"/>
            </w:tcBorders>
          </w:tcPr>
          <w:p w14:paraId="13D14879" w14:textId="77777777" w:rsidR="00D60469" w:rsidRPr="00FD0D8E" w:rsidRDefault="00D60469" w:rsidP="00C74EB6">
            <w:pPr>
              <w:autoSpaceDE w:val="0"/>
              <w:autoSpaceDN w:val="0"/>
              <w:adjustRightInd w:val="0"/>
              <w:rPr>
                <w:kern w:val="0"/>
                <w:szCs w:val="21"/>
              </w:rPr>
            </w:pPr>
            <w:proofErr w:type="spellStart"/>
            <w:r w:rsidRPr="00FD0D8E">
              <w:rPr>
                <w:kern w:val="0"/>
                <w:szCs w:val="21"/>
              </w:rPr>
              <w:t>DSize</w:t>
            </w:r>
            <w:proofErr w:type="spellEnd"/>
          </w:p>
        </w:tc>
        <w:tc>
          <w:tcPr>
            <w:tcW w:w="1277" w:type="pct"/>
            <w:tcBorders>
              <w:top w:val="nil"/>
              <w:left w:val="nil"/>
              <w:bottom w:val="nil"/>
              <w:right w:val="nil"/>
            </w:tcBorders>
          </w:tcPr>
          <w:p w14:paraId="5ED5FEDB" w14:textId="77777777" w:rsidR="00D60469" w:rsidRPr="00FD0D8E" w:rsidRDefault="00D60469"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278" w:type="pct"/>
            <w:tcBorders>
              <w:top w:val="nil"/>
              <w:left w:val="nil"/>
              <w:bottom w:val="nil"/>
              <w:right w:val="nil"/>
            </w:tcBorders>
          </w:tcPr>
          <w:p w14:paraId="529EFA8A" w14:textId="77777777" w:rsidR="00D60469" w:rsidRPr="00FD0D8E" w:rsidRDefault="00D60469"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c>
          <w:tcPr>
            <w:tcW w:w="1279" w:type="pct"/>
            <w:tcBorders>
              <w:top w:val="nil"/>
              <w:left w:val="nil"/>
              <w:bottom w:val="nil"/>
              <w:right w:val="nil"/>
            </w:tcBorders>
          </w:tcPr>
          <w:p w14:paraId="37FE57F3" w14:textId="77777777" w:rsidR="00D60469" w:rsidRPr="00FD0D8E" w:rsidRDefault="00D60469" w:rsidP="00C74EB6">
            <w:pPr>
              <w:autoSpaceDE w:val="0"/>
              <w:autoSpaceDN w:val="0"/>
              <w:adjustRightInd w:val="0"/>
              <w:jc w:val="center"/>
              <w:rPr>
                <w:kern w:val="0"/>
                <w:szCs w:val="21"/>
              </w:rPr>
            </w:pPr>
            <w:r w:rsidRPr="00FD0D8E">
              <w:rPr>
                <w:kern w:val="0"/>
                <w:szCs w:val="21"/>
              </w:rPr>
              <w:t>0.002</w:t>
            </w:r>
            <w:r w:rsidRPr="00FD0D8E">
              <w:rPr>
                <w:kern w:val="0"/>
                <w:szCs w:val="21"/>
                <w:vertAlign w:val="superscript"/>
              </w:rPr>
              <w:t>**</w:t>
            </w:r>
          </w:p>
        </w:tc>
      </w:tr>
      <w:tr w:rsidR="00D60469" w:rsidRPr="00FD0D8E" w14:paraId="6A374748" w14:textId="77777777" w:rsidTr="00C45901">
        <w:tc>
          <w:tcPr>
            <w:tcW w:w="1165" w:type="pct"/>
            <w:tcBorders>
              <w:top w:val="nil"/>
              <w:left w:val="nil"/>
              <w:bottom w:val="nil"/>
              <w:right w:val="nil"/>
            </w:tcBorders>
          </w:tcPr>
          <w:p w14:paraId="714FDB54"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1F9E0FFE"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c>
          <w:tcPr>
            <w:tcW w:w="1278" w:type="pct"/>
            <w:tcBorders>
              <w:top w:val="nil"/>
              <w:left w:val="nil"/>
              <w:bottom w:val="nil"/>
              <w:right w:val="nil"/>
            </w:tcBorders>
          </w:tcPr>
          <w:p w14:paraId="0DD83B19"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c>
          <w:tcPr>
            <w:tcW w:w="1279" w:type="pct"/>
            <w:tcBorders>
              <w:top w:val="nil"/>
              <w:left w:val="nil"/>
              <w:bottom w:val="nil"/>
              <w:right w:val="nil"/>
            </w:tcBorders>
          </w:tcPr>
          <w:p w14:paraId="3B5FEDEC" w14:textId="77777777" w:rsidR="00D60469" w:rsidRPr="00FD0D8E" w:rsidRDefault="00D60469" w:rsidP="00C74EB6">
            <w:pPr>
              <w:autoSpaceDE w:val="0"/>
              <w:autoSpaceDN w:val="0"/>
              <w:adjustRightInd w:val="0"/>
              <w:jc w:val="center"/>
              <w:rPr>
                <w:kern w:val="0"/>
                <w:szCs w:val="21"/>
              </w:rPr>
            </w:pPr>
            <w:r w:rsidRPr="00FD0D8E">
              <w:rPr>
                <w:kern w:val="0"/>
                <w:szCs w:val="21"/>
              </w:rPr>
              <w:t>(0.001)</w:t>
            </w:r>
          </w:p>
        </w:tc>
      </w:tr>
      <w:tr w:rsidR="00D60469" w:rsidRPr="00FD0D8E" w14:paraId="571F18B2" w14:textId="77777777" w:rsidTr="00C45901">
        <w:tc>
          <w:tcPr>
            <w:tcW w:w="1165" w:type="pct"/>
            <w:tcBorders>
              <w:top w:val="nil"/>
              <w:left w:val="nil"/>
              <w:bottom w:val="nil"/>
              <w:right w:val="nil"/>
            </w:tcBorders>
          </w:tcPr>
          <w:p w14:paraId="65B6791C" w14:textId="77777777" w:rsidR="00D60469" w:rsidRPr="00FD0D8E" w:rsidRDefault="00D60469" w:rsidP="00C74EB6">
            <w:pPr>
              <w:autoSpaceDE w:val="0"/>
              <w:autoSpaceDN w:val="0"/>
              <w:adjustRightInd w:val="0"/>
              <w:rPr>
                <w:kern w:val="0"/>
                <w:szCs w:val="21"/>
              </w:rPr>
            </w:pPr>
            <w:r w:rsidRPr="00FD0D8E">
              <w:rPr>
                <w:kern w:val="0"/>
                <w:szCs w:val="21"/>
              </w:rPr>
              <w:t>Duality</w:t>
            </w:r>
          </w:p>
        </w:tc>
        <w:tc>
          <w:tcPr>
            <w:tcW w:w="1277" w:type="pct"/>
            <w:tcBorders>
              <w:top w:val="nil"/>
              <w:left w:val="nil"/>
              <w:bottom w:val="nil"/>
              <w:right w:val="nil"/>
            </w:tcBorders>
          </w:tcPr>
          <w:p w14:paraId="24510CDA" w14:textId="77777777" w:rsidR="00D60469" w:rsidRPr="00FD0D8E" w:rsidRDefault="00D60469" w:rsidP="00C74EB6">
            <w:pPr>
              <w:autoSpaceDE w:val="0"/>
              <w:autoSpaceDN w:val="0"/>
              <w:adjustRightInd w:val="0"/>
              <w:jc w:val="center"/>
              <w:rPr>
                <w:kern w:val="0"/>
                <w:szCs w:val="21"/>
              </w:rPr>
            </w:pPr>
            <w:r w:rsidRPr="00FD0D8E">
              <w:rPr>
                <w:kern w:val="0"/>
                <w:szCs w:val="21"/>
              </w:rPr>
              <w:t>-0.023</w:t>
            </w:r>
            <w:r w:rsidRPr="00FD0D8E">
              <w:rPr>
                <w:kern w:val="0"/>
                <w:szCs w:val="21"/>
                <w:vertAlign w:val="superscript"/>
              </w:rPr>
              <w:t>***</w:t>
            </w:r>
          </w:p>
        </w:tc>
        <w:tc>
          <w:tcPr>
            <w:tcW w:w="1278" w:type="pct"/>
            <w:tcBorders>
              <w:top w:val="nil"/>
              <w:left w:val="nil"/>
              <w:bottom w:val="nil"/>
              <w:right w:val="nil"/>
            </w:tcBorders>
          </w:tcPr>
          <w:p w14:paraId="5466CD54" w14:textId="77777777" w:rsidR="00D60469" w:rsidRPr="00FD0D8E" w:rsidRDefault="00D60469"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c>
          <w:tcPr>
            <w:tcW w:w="1279" w:type="pct"/>
            <w:tcBorders>
              <w:top w:val="nil"/>
              <w:left w:val="nil"/>
              <w:bottom w:val="nil"/>
              <w:right w:val="nil"/>
            </w:tcBorders>
          </w:tcPr>
          <w:p w14:paraId="06DFE9F5" w14:textId="77777777" w:rsidR="00D60469" w:rsidRPr="00FD0D8E" w:rsidRDefault="00D60469" w:rsidP="00C74EB6">
            <w:pPr>
              <w:autoSpaceDE w:val="0"/>
              <w:autoSpaceDN w:val="0"/>
              <w:adjustRightInd w:val="0"/>
              <w:jc w:val="center"/>
              <w:rPr>
                <w:kern w:val="0"/>
                <w:szCs w:val="21"/>
              </w:rPr>
            </w:pPr>
            <w:r w:rsidRPr="00FD0D8E">
              <w:rPr>
                <w:kern w:val="0"/>
                <w:szCs w:val="21"/>
              </w:rPr>
              <w:t>-0.024</w:t>
            </w:r>
            <w:r w:rsidRPr="00FD0D8E">
              <w:rPr>
                <w:kern w:val="0"/>
                <w:szCs w:val="21"/>
                <w:vertAlign w:val="superscript"/>
              </w:rPr>
              <w:t>***</w:t>
            </w:r>
          </w:p>
        </w:tc>
      </w:tr>
      <w:tr w:rsidR="00D60469" w:rsidRPr="00FD0D8E" w14:paraId="5E37C35E" w14:textId="77777777" w:rsidTr="00C45901">
        <w:tc>
          <w:tcPr>
            <w:tcW w:w="1165" w:type="pct"/>
            <w:tcBorders>
              <w:top w:val="nil"/>
              <w:left w:val="nil"/>
              <w:bottom w:val="nil"/>
              <w:right w:val="nil"/>
            </w:tcBorders>
          </w:tcPr>
          <w:p w14:paraId="5F034372"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1B3F6401" w14:textId="77777777" w:rsidR="00D60469" w:rsidRPr="00FD0D8E" w:rsidRDefault="00D60469" w:rsidP="00C74EB6">
            <w:pPr>
              <w:autoSpaceDE w:val="0"/>
              <w:autoSpaceDN w:val="0"/>
              <w:adjustRightInd w:val="0"/>
              <w:jc w:val="center"/>
              <w:rPr>
                <w:kern w:val="0"/>
                <w:szCs w:val="21"/>
              </w:rPr>
            </w:pPr>
            <w:r w:rsidRPr="00FD0D8E">
              <w:rPr>
                <w:kern w:val="0"/>
                <w:szCs w:val="21"/>
              </w:rPr>
              <w:t>(0.005)</w:t>
            </w:r>
          </w:p>
        </w:tc>
        <w:tc>
          <w:tcPr>
            <w:tcW w:w="1278" w:type="pct"/>
            <w:tcBorders>
              <w:top w:val="nil"/>
              <w:left w:val="nil"/>
              <w:bottom w:val="nil"/>
              <w:right w:val="nil"/>
            </w:tcBorders>
          </w:tcPr>
          <w:p w14:paraId="69EC29F1" w14:textId="77777777" w:rsidR="00D60469" w:rsidRPr="00FD0D8E" w:rsidRDefault="00D60469" w:rsidP="00C74EB6">
            <w:pPr>
              <w:autoSpaceDE w:val="0"/>
              <w:autoSpaceDN w:val="0"/>
              <w:adjustRightInd w:val="0"/>
              <w:jc w:val="center"/>
              <w:rPr>
                <w:kern w:val="0"/>
                <w:szCs w:val="21"/>
              </w:rPr>
            </w:pPr>
            <w:r w:rsidRPr="00FD0D8E">
              <w:rPr>
                <w:kern w:val="0"/>
                <w:szCs w:val="21"/>
              </w:rPr>
              <w:t>(0.005)</w:t>
            </w:r>
          </w:p>
        </w:tc>
        <w:tc>
          <w:tcPr>
            <w:tcW w:w="1279" w:type="pct"/>
            <w:tcBorders>
              <w:top w:val="nil"/>
              <w:left w:val="nil"/>
              <w:bottom w:val="nil"/>
              <w:right w:val="nil"/>
            </w:tcBorders>
          </w:tcPr>
          <w:p w14:paraId="2411E981" w14:textId="77777777" w:rsidR="00D60469" w:rsidRPr="00FD0D8E" w:rsidRDefault="00D60469" w:rsidP="00C74EB6">
            <w:pPr>
              <w:autoSpaceDE w:val="0"/>
              <w:autoSpaceDN w:val="0"/>
              <w:adjustRightInd w:val="0"/>
              <w:jc w:val="center"/>
              <w:rPr>
                <w:kern w:val="0"/>
                <w:szCs w:val="21"/>
              </w:rPr>
            </w:pPr>
            <w:r w:rsidRPr="00FD0D8E">
              <w:rPr>
                <w:kern w:val="0"/>
                <w:szCs w:val="21"/>
              </w:rPr>
              <w:t>(0.004)</w:t>
            </w:r>
          </w:p>
        </w:tc>
      </w:tr>
      <w:tr w:rsidR="00D60469" w:rsidRPr="00FD0D8E" w14:paraId="07C6290C" w14:textId="77777777" w:rsidTr="00C45901">
        <w:tc>
          <w:tcPr>
            <w:tcW w:w="1165" w:type="pct"/>
            <w:tcBorders>
              <w:top w:val="nil"/>
              <w:left w:val="nil"/>
              <w:bottom w:val="nil"/>
              <w:right w:val="nil"/>
            </w:tcBorders>
          </w:tcPr>
          <w:p w14:paraId="1C4ECE42" w14:textId="77777777" w:rsidR="00D60469" w:rsidRPr="00FD0D8E" w:rsidRDefault="00D60469" w:rsidP="00C74EB6">
            <w:pPr>
              <w:autoSpaceDE w:val="0"/>
              <w:autoSpaceDN w:val="0"/>
              <w:adjustRightInd w:val="0"/>
              <w:rPr>
                <w:kern w:val="0"/>
                <w:szCs w:val="21"/>
              </w:rPr>
            </w:pPr>
            <w:r w:rsidRPr="00FD0D8E">
              <w:rPr>
                <w:kern w:val="0"/>
                <w:szCs w:val="21"/>
              </w:rPr>
              <w:t>DOSR</w:t>
            </w:r>
          </w:p>
        </w:tc>
        <w:tc>
          <w:tcPr>
            <w:tcW w:w="1277" w:type="pct"/>
            <w:tcBorders>
              <w:top w:val="nil"/>
              <w:left w:val="nil"/>
              <w:bottom w:val="nil"/>
              <w:right w:val="nil"/>
            </w:tcBorders>
          </w:tcPr>
          <w:p w14:paraId="164B7D0A" w14:textId="77777777" w:rsidR="00D60469" w:rsidRPr="00FD0D8E" w:rsidRDefault="00D60469" w:rsidP="00C74EB6">
            <w:pPr>
              <w:autoSpaceDE w:val="0"/>
              <w:autoSpaceDN w:val="0"/>
              <w:adjustRightInd w:val="0"/>
              <w:jc w:val="center"/>
              <w:rPr>
                <w:kern w:val="0"/>
                <w:szCs w:val="21"/>
              </w:rPr>
            </w:pPr>
            <w:r w:rsidRPr="00FD0D8E">
              <w:rPr>
                <w:kern w:val="0"/>
                <w:szCs w:val="21"/>
              </w:rPr>
              <w:t>-0.086</w:t>
            </w:r>
            <w:r w:rsidRPr="00FD0D8E">
              <w:rPr>
                <w:kern w:val="0"/>
                <w:szCs w:val="21"/>
                <w:vertAlign w:val="superscript"/>
              </w:rPr>
              <w:t>***</w:t>
            </w:r>
          </w:p>
        </w:tc>
        <w:tc>
          <w:tcPr>
            <w:tcW w:w="1278" w:type="pct"/>
            <w:tcBorders>
              <w:top w:val="nil"/>
              <w:left w:val="nil"/>
              <w:bottom w:val="nil"/>
              <w:right w:val="nil"/>
            </w:tcBorders>
          </w:tcPr>
          <w:p w14:paraId="6908B1E9" w14:textId="77777777" w:rsidR="00D60469" w:rsidRPr="00FD0D8E" w:rsidRDefault="00D60469" w:rsidP="00C74EB6">
            <w:pPr>
              <w:autoSpaceDE w:val="0"/>
              <w:autoSpaceDN w:val="0"/>
              <w:adjustRightInd w:val="0"/>
              <w:jc w:val="center"/>
              <w:rPr>
                <w:kern w:val="0"/>
                <w:szCs w:val="21"/>
              </w:rPr>
            </w:pPr>
            <w:r w:rsidRPr="00FD0D8E">
              <w:rPr>
                <w:kern w:val="0"/>
                <w:szCs w:val="21"/>
              </w:rPr>
              <w:t>-0.085</w:t>
            </w:r>
            <w:r w:rsidRPr="00FD0D8E">
              <w:rPr>
                <w:kern w:val="0"/>
                <w:szCs w:val="21"/>
                <w:vertAlign w:val="superscript"/>
              </w:rPr>
              <w:t>***</w:t>
            </w:r>
          </w:p>
        </w:tc>
        <w:tc>
          <w:tcPr>
            <w:tcW w:w="1279" w:type="pct"/>
            <w:tcBorders>
              <w:top w:val="nil"/>
              <w:left w:val="nil"/>
              <w:bottom w:val="nil"/>
              <w:right w:val="nil"/>
            </w:tcBorders>
          </w:tcPr>
          <w:p w14:paraId="0D9E2A37" w14:textId="77777777" w:rsidR="00D60469" w:rsidRPr="00FD0D8E" w:rsidRDefault="00D60469" w:rsidP="00C74EB6">
            <w:pPr>
              <w:autoSpaceDE w:val="0"/>
              <w:autoSpaceDN w:val="0"/>
              <w:adjustRightInd w:val="0"/>
              <w:jc w:val="center"/>
              <w:rPr>
                <w:kern w:val="0"/>
                <w:szCs w:val="21"/>
              </w:rPr>
            </w:pPr>
            <w:r w:rsidRPr="00FD0D8E">
              <w:rPr>
                <w:kern w:val="0"/>
                <w:szCs w:val="21"/>
              </w:rPr>
              <w:t>-0.087</w:t>
            </w:r>
            <w:r w:rsidRPr="00FD0D8E">
              <w:rPr>
                <w:kern w:val="0"/>
                <w:szCs w:val="21"/>
                <w:vertAlign w:val="superscript"/>
              </w:rPr>
              <w:t>***</w:t>
            </w:r>
          </w:p>
        </w:tc>
      </w:tr>
      <w:tr w:rsidR="00D60469" w:rsidRPr="00FD0D8E" w14:paraId="7CA33053" w14:textId="77777777" w:rsidTr="00C45901">
        <w:tc>
          <w:tcPr>
            <w:tcW w:w="1165" w:type="pct"/>
            <w:tcBorders>
              <w:top w:val="nil"/>
              <w:left w:val="nil"/>
              <w:bottom w:val="nil"/>
              <w:right w:val="nil"/>
            </w:tcBorders>
          </w:tcPr>
          <w:p w14:paraId="58215327"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117FD5F0" w14:textId="77777777" w:rsidR="00D60469" w:rsidRPr="00FD0D8E" w:rsidRDefault="00D60469" w:rsidP="00C74EB6">
            <w:pPr>
              <w:autoSpaceDE w:val="0"/>
              <w:autoSpaceDN w:val="0"/>
              <w:adjustRightInd w:val="0"/>
              <w:jc w:val="center"/>
              <w:rPr>
                <w:kern w:val="0"/>
                <w:szCs w:val="21"/>
              </w:rPr>
            </w:pPr>
            <w:r w:rsidRPr="00FD0D8E">
              <w:rPr>
                <w:kern w:val="0"/>
                <w:szCs w:val="21"/>
              </w:rPr>
              <w:t>(0.011)</w:t>
            </w:r>
          </w:p>
        </w:tc>
        <w:tc>
          <w:tcPr>
            <w:tcW w:w="1278" w:type="pct"/>
            <w:tcBorders>
              <w:top w:val="nil"/>
              <w:left w:val="nil"/>
              <w:bottom w:val="nil"/>
              <w:right w:val="nil"/>
            </w:tcBorders>
          </w:tcPr>
          <w:p w14:paraId="703F18B3" w14:textId="77777777" w:rsidR="00D60469" w:rsidRPr="00FD0D8E" w:rsidRDefault="00D60469" w:rsidP="00C74EB6">
            <w:pPr>
              <w:autoSpaceDE w:val="0"/>
              <w:autoSpaceDN w:val="0"/>
              <w:adjustRightInd w:val="0"/>
              <w:jc w:val="center"/>
              <w:rPr>
                <w:kern w:val="0"/>
                <w:szCs w:val="21"/>
              </w:rPr>
            </w:pPr>
            <w:r w:rsidRPr="00FD0D8E">
              <w:rPr>
                <w:kern w:val="0"/>
                <w:szCs w:val="21"/>
              </w:rPr>
              <w:t>(0.011)</w:t>
            </w:r>
          </w:p>
        </w:tc>
        <w:tc>
          <w:tcPr>
            <w:tcW w:w="1279" w:type="pct"/>
            <w:tcBorders>
              <w:top w:val="nil"/>
              <w:left w:val="nil"/>
              <w:bottom w:val="nil"/>
              <w:right w:val="nil"/>
            </w:tcBorders>
          </w:tcPr>
          <w:p w14:paraId="3FA373ED" w14:textId="77777777" w:rsidR="00D60469" w:rsidRPr="00FD0D8E" w:rsidRDefault="00D60469" w:rsidP="00C74EB6">
            <w:pPr>
              <w:autoSpaceDE w:val="0"/>
              <w:autoSpaceDN w:val="0"/>
              <w:adjustRightInd w:val="0"/>
              <w:jc w:val="center"/>
              <w:rPr>
                <w:kern w:val="0"/>
                <w:szCs w:val="21"/>
              </w:rPr>
            </w:pPr>
            <w:r w:rsidRPr="00FD0D8E">
              <w:rPr>
                <w:kern w:val="0"/>
                <w:szCs w:val="21"/>
              </w:rPr>
              <w:t>(0.013)</w:t>
            </w:r>
          </w:p>
        </w:tc>
      </w:tr>
      <w:tr w:rsidR="00D60469" w:rsidRPr="00FD0D8E" w14:paraId="1DF5C161" w14:textId="77777777" w:rsidTr="00C45901">
        <w:tc>
          <w:tcPr>
            <w:tcW w:w="1165" w:type="pct"/>
            <w:tcBorders>
              <w:top w:val="nil"/>
              <w:left w:val="nil"/>
              <w:bottom w:val="nil"/>
              <w:right w:val="nil"/>
            </w:tcBorders>
          </w:tcPr>
          <w:p w14:paraId="1B81C934" w14:textId="77777777" w:rsidR="00D60469" w:rsidRPr="00FD0D8E" w:rsidRDefault="00D60469" w:rsidP="00C74EB6">
            <w:pPr>
              <w:autoSpaceDE w:val="0"/>
              <w:autoSpaceDN w:val="0"/>
              <w:adjustRightInd w:val="0"/>
              <w:rPr>
                <w:kern w:val="0"/>
                <w:szCs w:val="21"/>
              </w:rPr>
            </w:pPr>
            <w:r w:rsidRPr="00FD0D8E">
              <w:rPr>
                <w:kern w:val="0"/>
                <w:szCs w:val="21"/>
              </w:rPr>
              <w:t>SOE</w:t>
            </w:r>
          </w:p>
        </w:tc>
        <w:tc>
          <w:tcPr>
            <w:tcW w:w="1277" w:type="pct"/>
            <w:tcBorders>
              <w:top w:val="nil"/>
              <w:left w:val="nil"/>
              <w:bottom w:val="nil"/>
              <w:right w:val="nil"/>
            </w:tcBorders>
          </w:tcPr>
          <w:p w14:paraId="5D109CD7" w14:textId="77777777" w:rsidR="00D60469" w:rsidRPr="00FD0D8E" w:rsidRDefault="00D60469" w:rsidP="00C74EB6">
            <w:pPr>
              <w:autoSpaceDE w:val="0"/>
              <w:autoSpaceDN w:val="0"/>
              <w:adjustRightInd w:val="0"/>
              <w:jc w:val="center"/>
              <w:rPr>
                <w:kern w:val="0"/>
                <w:szCs w:val="21"/>
              </w:rPr>
            </w:pPr>
            <w:r w:rsidRPr="00FD0D8E">
              <w:rPr>
                <w:kern w:val="0"/>
                <w:szCs w:val="21"/>
              </w:rPr>
              <w:t>0.022</w:t>
            </w:r>
            <w:r w:rsidRPr="00FD0D8E">
              <w:rPr>
                <w:kern w:val="0"/>
                <w:szCs w:val="21"/>
                <w:vertAlign w:val="superscript"/>
              </w:rPr>
              <w:t>***</w:t>
            </w:r>
          </w:p>
        </w:tc>
        <w:tc>
          <w:tcPr>
            <w:tcW w:w="1278" w:type="pct"/>
            <w:tcBorders>
              <w:top w:val="nil"/>
              <w:left w:val="nil"/>
              <w:bottom w:val="nil"/>
              <w:right w:val="nil"/>
            </w:tcBorders>
          </w:tcPr>
          <w:p w14:paraId="615DD2D9" w14:textId="77777777" w:rsidR="00D60469" w:rsidRPr="00FD0D8E" w:rsidRDefault="00D60469"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c>
          <w:tcPr>
            <w:tcW w:w="1279" w:type="pct"/>
            <w:tcBorders>
              <w:top w:val="nil"/>
              <w:left w:val="nil"/>
              <w:bottom w:val="nil"/>
              <w:right w:val="nil"/>
            </w:tcBorders>
          </w:tcPr>
          <w:p w14:paraId="676EBA80" w14:textId="77777777" w:rsidR="00D60469" w:rsidRPr="00FD0D8E" w:rsidRDefault="00D60469" w:rsidP="00C74EB6">
            <w:pPr>
              <w:autoSpaceDE w:val="0"/>
              <w:autoSpaceDN w:val="0"/>
              <w:adjustRightInd w:val="0"/>
              <w:jc w:val="center"/>
              <w:rPr>
                <w:kern w:val="0"/>
                <w:szCs w:val="21"/>
              </w:rPr>
            </w:pPr>
            <w:r w:rsidRPr="00FD0D8E">
              <w:rPr>
                <w:kern w:val="0"/>
                <w:szCs w:val="21"/>
              </w:rPr>
              <w:t>0.021</w:t>
            </w:r>
            <w:r w:rsidRPr="00FD0D8E">
              <w:rPr>
                <w:kern w:val="0"/>
                <w:szCs w:val="21"/>
                <w:vertAlign w:val="superscript"/>
              </w:rPr>
              <w:t>***</w:t>
            </w:r>
          </w:p>
        </w:tc>
      </w:tr>
      <w:tr w:rsidR="00D60469" w:rsidRPr="00FD0D8E" w14:paraId="29E39975" w14:textId="77777777" w:rsidTr="00C45901">
        <w:tc>
          <w:tcPr>
            <w:tcW w:w="1165" w:type="pct"/>
            <w:tcBorders>
              <w:top w:val="nil"/>
              <w:left w:val="nil"/>
              <w:bottom w:val="nil"/>
              <w:right w:val="nil"/>
            </w:tcBorders>
          </w:tcPr>
          <w:p w14:paraId="780869E5"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75D37737" w14:textId="77777777" w:rsidR="00D60469" w:rsidRPr="00FD0D8E" w:rsidRDefault="00D60469" w:rsidP="00C74EB6">
            <w:pPr>
              <w:autoSpaceDE w:val="0"/>
              <w:autoSpaceDN w:val="0"/>
              <w:adjustRightInd w:val="0"/>
              <w:jc w:val="center"/>
              <w:rPr>
                <w:kern w:val="0"/>
                <w:szCs w:val="21"/>
              </w:rPr>
            </w:pPr>
            <w:r w:rsidRPr="00FD0D8E">
              <w:rPr>
                <w:kern w:val="0"/>
                <w:szCs w:val="21"/>
              </w:rPr>
              <w:t>(0.003)</w:t>
            </w:r>
          </w:p>
        </w:tc>
        <w:tc>
          <w:tcPr>
            <w:tcW w:w="1278" w:type="pct"/>
            <w:tcBorders>
              <w:top w:val="nil"/>
              <w:left w:val="nil"/>
              <w:bottom w:val="nil"/>
              <w:right w:val="nil"/>
            </w:tcBorders>
          </w:tcPr>
          <w:p w14:paraId="4C917117" w14:textId="77777777" w:rsidR="00D60469" w:rsidRPr="00FD0D8E" w:rsidRDefault="00D60469" w:rsidP="00C74EB6">
            <w:pPr>
              <w:autoSpaceDE w:val="0"/>
              <w:autoSpaceDN w:val="0"/>
              <w:adjustRightInd w:val="0"/>
              <w:jc w:val="center"/>
              <w:rPr>
                <w:kern w:val="0"/>
                <w:szCs w:val="21"/>
              </w:rPr>
            </w:pPr>
            <w:r w:rsidRPr="00FD0D8E">
              <w:rPr>
                <w:kern w:val="0"/>
                <w:szCs w:val="21"/>
              </w:rPr>
              <w:t>(0.003)</w:t>
            </w:r>
          </w:p>
        </w:tc>
        <w:tc>
          <w:tcPr>
            <w:tcW w:w="1279" w:type="pct"/>
            <w:tcBorders>
              <w:top w:val="nil"/>
              <w:left w:val="nil"/>
              <w:bottom w:val="nil"/>
              <w:right w:val="nil"/>
            </w:tcBorders>
          </w:tcPr>
          <w:p w14:paraId="02AC5FCB" w14:textId="77777777" w:rsidR="00D60469" w:rsidRPr="00FD0D8E" w:rsidRDefault="00D60469" w:rsidP="00C74EB6">
            <w:pPr>
              <w:autoSpaceDE w:val="0"/>
              <w:autoSpaceDN w:val="0"/>
              <w:adjustRightInd w:val="0"/>
              <w:jc w:val="center"/>
              <w:rPr>
                <w:kern w:val="0"/>
                <w:szCs w:val="21"/>
              </w:rPr>
            </w:pPr>
            <w:r w:rsidRPr="00FD0D8E">
              <w:rPr>
                <w:kern w:val="0"/>
                <w:szCs w:val="21"/>
              </w:rPr>
              <w:t>(0.004)</w:t>
            </w:r>
          </w:p>
        </w:tc>
      </w:tr>
      <w:tr w:rsidR="00D60469" w:rsidRPr="00FD0D8E" w14:paraId="69C099F8" w14:textId="77777777" w:rsidTr="00C45901">
        <w:tc>
          <w:tcPr>
            <w:tcW w:w="1165" w:type="pct"/>
            <w:tcBorders>
              <w:top w:val="nil"/>
              <w:left w:val="nil"/>
              <w:bottom w:val="nil"/>
              <w:right w:val="nil"/>
            </w:tcBorders>
          </w:tcPr>
          <w:p w14:paraId="1B82E584" w14:textId="77777777" w:rsidR="00D60469" w:rsidRPr="00FD0D8E" w:rsidRDefault="00D60469" w:rsidP="00C74EB6">
            <w:pPr>
              <w:autoSpaceDE w:val="0"/>
              <w:autoSpaceDN w:val="0"/>
              <w:adjustRightInd w:val="0"/>
              <w:rPr>
                <w:kern w:val="0"/>
                <w:szCs w:val="21"/>
              </w:rPr>
            </w:pPr>
            <w:r w:rsidRPr="00FD0D8E">
              <w:rPr>
                <w:kern w:val="0"/>
                <w:szCs w:val="21"/>
              </w:rPr>
              <w:t>Size</w:t>
            </w:r>
          </w:p>
        </w:tc>
        <w:tc>
          <w:tcPr>
            <w:tcW w:w="1277" w:type="pct"/>
            <w:tcBorders>
              <w:top w:val="nil"/>
              <w:left w:val="nil"/>
              <w:bottom w:val="nil"/>
              <w:right w:val="nil"/>
            </w:tcBorders>
          </w:tcPr>
          <w:p w14:paraId="07ABB26D" w14:textId="77777777" w:rsidR="00D60469" w:rsidRPr="00FD0D8E" w:rsidRDefault="00D60469" w:rsidP="00C74EB6">
            <w:pPr>
              <w:autoSpaceDE w:val="0"/>
              <w:autoSpaceDN w:val="0"/>
              <w:adjustRightInd w:val="0"/>
              <w:jc w:val="center"/>
              <w:rPr>
                <w:kern w:val="0"/>
                <w:szCs w:val="21"/>
              </w:rPr>
            </w:pPr>
            <w:r w:rsidRPr="00FD0D8E">
              <w:rPr>
                <w:kern w:val="0"/>
                <w:szCs w:val="21"/>
              </w:rPr>
              <w:t>0.026</w:t>
            </w:r>
            <w:r w:rsidRPr="00FD0D8E">
              <w:rPr>
                <w:kern w:val="0"/>
                <w:szCs w:val="21"/>
                <w:vertAlign w:val="superscript"/>
              </w:rPr>
              <w:t>***</w:t>
            </w:r>
          </w:p>
        </w:tc>
        <w:tc>
          <w:tcPr>
            <w:tcW w:w="1278" w:type="pct"/>
            <w:tcBorders>
              <w:top w:val="nil"/>
              <w:left w:val="nil"/>
              <w:bottom w:val="nil"/>
              <w:right w:val="nil"/>
            </w:tcBorders>
          </w:tcPr>
          <w:p w14:paraId="60E8BF49" w14:textId="77777777" w:rsidR="00D60469" w:rsidRPr="00FD0D8E" w:rsidRDefault="00D60469" w:rsidP="00C74EB6">
            <w:pPr>
              <w:autoSpaceDE w:val="0"/>
              <w:autoSpaceDN w:val="0"/>
              <w:adjustRightInd w:val="0"/>
              <w:jc w:val="center"/>
              <w:rPr>
                <w:kern w:val="0"/>
                <w:szCs w:val="21"/>
              </w:rPr>
            </w:pPr>
            <w:r w:rsidRPr="00FD0D8E">
              <w:rPr>
                <w:kern w:val="0"/>
                <w:szCs w:val="21"/>
              </w:rPr>
              <w:t>0.020</w:t>
            </w:r>
            <w:r w:rsidRPr="00FD0D8E">
              <w:rPr>
                <w:kern w:val="0"/>
                <w:szCs w:val="21"/>
                <w:vertAlign w:val="superscript"/>
              </w:rPr>
              <w:t>***</w:t>
            </w:r>
          </w:p>
        </w:tc>
        <w:tc>
          <w:tcPr>
            <w:tcW w:w="1279" w:type="pct"/>
            <w:tcBorders>
              <w:top w:val="nil"/>
              <w:left w:val="nil"/>
              <w:bottom w:val="nil"/>
              <w:right w:val="nil"/>
            </w:tcBorders>
          </w:tcPr>
          <w:p w14:paraId="5BFF3C7E" w14:textId="77777777" w:rsidR="00D60469" w:rsidRPr="00FD0D8E" w:rsidRDefault="00D60469" w:rsidP="00C74EB6">
            <w:pPr>
              <w:autoSpaceDE w:val="0"/>
              <w:autoSpaceDN w:val="0"/>
              <w:adjustRightInd w:val="0"/>
              <w:jc w:val="center"/>
              <w:rPr>
                <w:kern w:val="0"/>
                <w:szCs w:val="21"/>
              </w:rPr>
            </w:pPr>
            <w:r w:rsidRPr="00FD0D8E">
              <w:rPr>
                <w:kern w:val="0"/>
                <w:szCs w:val="21"/>
              </w:rPr>
              <w:t>0.026</w:t>
            </w:r>
            <w:r w:rsidRPr="00FD0D8E">
              <w:rPr>
                <w:kern w:val="0"/>
                <w:szCs w:val="21"/>
                <w:vertAlign w:val="superscript"/>
              </w:rPr>
              <w:t>***</w:t>
            </w:r>
          </w:p>
        </w:tc>
      </w:tr>
      <w:tr w:rsidR="00D60469" w:rsidRPr="00FD0D8E" w14:paraId="7BC4D56D" w14:textId="77777777" w:rsidTr="00C45901">
        <w:tc>
          <w:tcPr>
            <w:tcW w:w="1165" w:type="pct"/>
            <w:tcBorders>
              <w:top w:val="nil"/>
              <w:left w:val="nil"/>
              <w:bottom w:val="nil"/>
              <w:right w:val="nil"/>
            </w:tcBorders>
          </w:tcPr>
          <w:p w14:paraId="1CDFA406" w14:textId="77777777" w:rsidR="00D60469" w:rsidRPr="00FD0D8E" w:rsidRDefault="00D60469" w:rsidP="00C74EB6">
            <w:pPr>
              <w:autoSpaceDE w:val="0"/>
              <w:autoSpaceDN w:val="0"/>
              <w:adjustRightInd w:val="0"/>
              <w:rPr>
                <w:kern w:val="0"/>
                <w:szCs w:val="21"/>
              </w:rPr>
            </w:pPr>
          </w:p>
        </w:tc>
        <w:tc>
          <w:tcPr>
            <w:tcW w:w="1277" w:type="pct"/>
            <w:tcBorders>
              <w:top w:val="nil"/>
              <w:left w:val="nil"/>
              <w:bottom w:val="nil"/>
              <w:right w:val="nil"/>
            </w:tcBorders>
          </w:tcPr>
          <w:p w14:paraId="4AA4475B" w14:textId="77777777" w:rsidR="00D60469" w:rsidRPr="00FD0D8E" w:rsidRDefault="00D60469" w:rsidP="00C74EB6">
            <w:pPr>
              <w:autoSpaceDE w:val="0"/>
              <w:autoSpaceDN w:val="0"/>
              <w:adjustRightInd w:val="0"/>
              <w:jc w:val="center"/>
              <w:rPr>
                <w:kern w:val="0"/>
                <w:szCs w:val="21"/>
              </w:rPr>
            </w:pPr>
            <w:r w:rsidRPr="00FD0D8E">
              <w:rPr>
                <w:kern w:val="0"/>
                <w:szCs w:val="21"/>
              </w:rPr>
              <w:t>(0.002)</w:t>
            </w:r>
          </w:p>
        </w:tc>
        <w:tc>
          <w:tcPr>
            <w:tcW w:w="1278" w:type="pct"/>
            <w:tcBorders>
              <w:top w:val="nil"/>
              <w:left w:val="nil"/>
              <w:bottom w:val="nil"/>
              <w:right w:val="nil"/>
            </w:tcBorders>
          </w:tcPr>
          <w:p w14:paraId="1B524B59" w14:textId="77777777" w:rsidR="00D60469" w:rsidRPr="00FD0D8E" w:rsidRDefault="00D60469" w:rsidP="00C74EB6">
            <w:pPr>
              <w:autoSpaceDE w:val="0"/>
              <w:autoSpaceDN w:val="0"/>
              <w:adjustRightInd w:val="0"/>
              <w:jc w:val="center"/>
              <w:rPr>
                <w:kern w:val="0"/>
                <w:szCs w:val="21"/>
              </w:rPr>
            </w:pPr>
            <w:r w:rsidRPr="00FD0D8E">
              <w:rPr>
                <w:kern w:val="0"/>
                <w:szCs w:val="21"/>
              </w:rPr>
              <w:t>(0.002)</w:t>
            </w:r>
          </w:p>
        </w:tc>
        <w:tc>
          <w:tcPr>
            <w:tcW w:w="1279" w:type="pct"/>
            <w:tcBorders>
              <w:top w:val="nil"/>
              <w:left w:val="nil"/>
              <w:bottom w:val="nil"/>
              <w:right w:val="nil"/>
            </w:tcBorders>
          </w:tcPr>
          <w:p w14:paraId="3F214E47" w14:textId="77777777" w:rsidR="00D60469" w:rsidRPr="00FD0D8E" w:rsidRDefault="00D60469" w:rsidP="00C74EB6">
            <w:pPr>
              <w:autoSpaceDE w:val="0"/>
              <w:autoSpaceDN w:val="0"/>
              <w:adjustRightInd w:val="0"/>
              <w:jc w:val="center"/>
              <w:rPr>
                <w:kern w:val="0"/>
                <w:szCs w:val="21"/>
              </w:rPr>
            </w:pPr>
            <w:r w:rsidRPr="00FD0D8E">
              <w:rPr>
                <w:kern w:val="0"/>
                <w:szCs w:val="21"/>
              </w:rPr>
              <w:t>(0.005)</w:t>
            </w:r>
          </w:p>
        </w:tc>
      </w:tr>
      <w:tr w:rsidR="007F210E" w:rsidRPr="00FD0D8E" w14:paraId="35A67821" w14:textId="77777777" w:rsidTr="00C45901">
        <w:tc>
          <w:tcPr>
            <w:tcW w:w="1165" w:type="pct"/>
            <w:tcBorders>
              <w:top w:val="nil"/>
              <w:left w:val="nil"/>
              <w:bottom w:val="nil"/>
              <w:right w:val="nil"/>
            </w:tcBorders>
            <w:vAlign w:val="center"/>
          </w:tcPr>
          <w:p w14:paraId="734EEF07" w14:textId="78816CDF" w:rsidR="007F210E" w:rsidRPr="00FD0D8E" w:rsidRDefault="007F210E" w:rsidP="00C74EB6">
            <w:pPr>
              <w:autoSpaceDE w:val="0"/>
              <w:autoSpaceDN w:val="0"/>
              <w:adjustRightInd w:val="0"/>
              <w:rPr>
                <w:kern w:val="0"/>
                <w:szCs w:val="21"/>
              </w:rPr>
            </w:pPr>
            <w:r w:rsidRPr="00FD0D8E">
              <w:rPr>
                <w:kern w:val="0"/>
                <w:szCs w:val="21"/>
              </w:rPr>
              <w:t>行业</w:t>
            </w:r>
            <w:r w:rsidRPr="00FD0D8E">
              <w:rPr>
                <w:kern w:val="0"/>
                <w:szCs w:val="21"/>
              </w:rPr>
              <w:t>FE</w:t>
            </w:r>
          </w:p>
        </w:tc>
        <w:tc>
          <w:tcPr>
            <w:tcW w:w="1277" w:type="pct"/>
            <w:tcBorders>
              <w:top w:val="nil"/>
              <w:left w:val="nil"/>
              <w:bottom w:val="nil"/>
              <w:right w:val="nil"/>
            </w:tcBorders>
          </w:tcPr>
          <w:p w14:paraId="3634D269" w14:textId="183AAE43"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1278" w:type="pct"/>
            <w:tcBorders>
              <w:top w:val="nil"/>
              <w:left w:val="nil"/>
              <w:bottom w:val="nil"/>
              <w:right w:val="nil"/>
            </w:tcBorders>
          </w:tcPr>
          <w:p w14:paraId="2378CB28" w14:textId="1E3BEE93"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1279" w:type="pct"/>
            <w:tcBorders>
              <w:top w:val="nil"/>
              <w:left w:val="nil"/>
              <w:bottom w:val="nil"/>
              <w:right w:val="nil"/>
            </w:tcBorders>
          </w:tcPr>
          <w:p w14:paraId="6C167C2B" w14:textId="7C3C33A6"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r>
      <w:tr w:rsidR="007F210E" w:rsidRPr="00FD0D8E" w14:paraId="7CB58ED9" w14:textId="77777777" w:rsidTr="00C45901">
        <w:tc>
          <w:tcPr>
            <w:tcW w:w="1165" w:type="pct"/>
            <w:tcBorders>
              <w:top w:val="nil"/>
              <w:left w:val="nil"/>
              <w:bottom w:val="nil"/>
              <w:right w:val="nil"/>
            </w:tcBorders>
            <w:vAlign w:val="center"/>
          </w:tcPr>
          <w:p w14:paraId="5363D2AB" w14:textId="2C9654A0" w:rsidR="007F210E" w:rsidRPr="00FD0D8E" w:rsidRDefault="007F210E" w:rsidP="00C74EB6">
            <w:pPr>
              <w:autoSpaceDE w:val="0"/>
              <w:autoSpaceDN w:val="0"/>
              <w:adjustRightInd w:val="0"/>
              <w:rPr>
                <w:kern w:val="0"/>
                <w:szCs w:val="21"/>
              </w:rPr>
            </w:pPr>
            <w:r w:rsidRPr="00FD0D8E">
              <w:rPr>
                <w:kern w:val="0"/>
                <w:szCs w:val="21"/>
              </w:rPr>
              <w:t>年份</w:t>
            </w:r>
            <w:r w:rsidRPr="00FD0D8E">
              <w:rPr>
                <w:kern w:val="0"/>
                <w:szCs w:val="21"/>
              </w:rPr>
              <w:t>FE</w:t>
            </w:r>
          </w:p>
        </w:tc>
        <w:tc>
          <w:tcPr>
            <w:tcW w:w="1277" w:type="pct"/>
            <w:tcBorders>
              <w:top w:val="nil"/>
              <w:left w:val="nil"/>
              <w:bottom w:val="nil"/>
              <w:right w:val="nil"/>
            </w:tcBorders>
          </w:tcPr>
          <w:p w14:paraId="3795D57F" w14:textId="1E395891"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1278" w:type="pct"/>
            <w:tcBorders>
              <w:top w:val="nil"/>
              <w:left w:val="nil"/>
              <w:bottom w:val="nil"/>
              <w:right w:val="nil"/>
            </w:tcBorders>
          </w:tcPr>
          <w:p w14:paraId="0A2C27C8" w14:textId="19076F5F"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c>
          <w:tcPr>
            <w:tcW w:w="1279" w:type="pct"/>
            <w:tcBorders>
              <w:top w:val="nil"/>
              <w:left w:val="nil"/>
              <w:bottom w:val="nil"/>
              <w:right w:val="nil"/>
            </w:tcBorders>
          </w:tcPr>
          <w:p w14:paraId="5AFED170" w14:textId="4D4847EF" w:rsidR="007F210E" w:rsidRPr="00FD0D8E" w:rsidRDefault="007F210E" w:rsidP="00C74EB6">
            <w:pPr>
              <w:autoSpaceDE w:val="0"/>
              <w:autoSpaceDN w:val="0"/>
              <w:adjustRightInd w:val="0"/>
              <w:jc w:val="center"/>
              <w:rPr>
                <w:kern w:val="0"/>
                <w:szCs w:val="21"/>
              </w:rPr>
            </w:pPr>
            <w:r w:rsidRPr="00FD0D8E">
              <w:rPr>
                <w:rFonts w:hint="eastAsia"/>
                <w:kern w:val="0"/>
                <w:szCs w:val="21"/>
              </w:rPr>
              <w:t>控制</w:t>
            </w:r>
          </w:p>
        </w:tc>
      </w:tr>
      <w:tr w:rsidR="007F210E" w:rsidRPr="00FD0D8E" w14:paraId="641C666E" w14:textId="77777777" w:rsidTr="009D0FC5">
        <w:tc>
          <w:tcPr>
            <w:tcW w:w="1165" w:type="pct"/>
            <w:tcBorders>
              <w:top w:val="nil"/>
              <w:left w:val="nil"/>
              <w:right w:val="nil"/>
            </w:tcBorders>
          </w:tcPr>
          <w:p w14:paraId="7D33F95A" w14:textId="712D5B27" w:rsidR="007F210E" w:rsidRPr="00FD0D8E" w:rsidRDefault="007F210E" w:rsidP="00C74EB6">
            <w:pPr>
              <w:autoSpaceDE w:val="0"/>
              <w:autoSpaceDN w:val="0"/>
              <w:adjustRightInd w:val="0"/>
              <w:rPr>
                <w:kern w:val="0"/>
                <w:szCs w:val="21"/>
              </w:rPr>
            </w:pPr>
            <w:r w:rsidRPr="00FD0D8E">
              <w:rPr>
                <w:kern w:val="0"/>
                <w:szCs w:val="21"/>
              </w:rPr>
              <w:t>N</w:t>
            </w:r>
          </w:p>
        </w:tc>
        <w:tc>
          <w:tcPr>
            <w:tcW w:w="1277" w:type="pct"/>
            <w:tcBorders>
              <w:top w:val="nil"/>
              <w:left w:val="nil"/>
              <w:right w:val="nil"/>
            </w:tcBorders>
          </w:tcPr>
          <w:p w14:paraId="4DF1E2E9" w14:textId="740EDB14" w:rsidR="007F210E" w:rsidRPr="00FD0D8E" w:rsidRDefault="007F210E" w:rsidP="00C74EB6">
            <w:pPr>
              <w:autoSpaceDE w:val="0"/>
              <w:autoSpaceDN w:val="0"/>
              <w:adjustRightInd w:val="0"/>
              <w:jc w:val="center"/>
              <w:rPr>
                <w:kern w:val="0"/>
                <w:szCs w:val="21"/>
              </w:rPr>
            </w:pPr>
            <w:r w:rsidRPr="00FD0D8E">
              <w:rPr>
                <w:kern w:val="0"/>
                <w:szCs w:val="21"/>
              </w:rPr>
              <w:t>20815</w:t>
            </w:r>
          </w:p>
        </w:tc>
        <w:tc>
          <w:tcPr>
            <w:tcW w:w="1278" w:type="pct"/>
            <w:tcBorders>
              <w:top w:val="nil"/>
              <w:left w:val="nil"/>
              <w:right w:val="nil"/>
            </w:tcBorders>
          </w:tcPr>
          <w:p w14:paraId="539AF02A" w14:textId="78F78E77" w:rsidR="007F210E" w:rsidRPr="00FD0D8E" w:rsidRDefault="007F210E" w:rsidP="00C74EB6">
            <w:pPr>
              <w:autoSpaceDE w:val="0"/>
              <w:autoSpaceDN w:val="0"/>
              <w:adjustRightInd w:val="0"/>
              <w:jc w:val="center"/>
              <w:rPr>
                <w:kern w:val="0"/>
                <w:szCs w:val="21"/>
              </w:rPr>
            </w:pPr>
            <w:r w:rsidRPr="00FD0D8E">
              <w:rPr>
                <w:kern w:val="0"/>
                <w:szCs w:val="21"/>
              </w:rPr>
              <w:t>20815</w:t>
            </w:r>
          </w:p>
        </w:tc>
        <w:tc>
          <w:tcPr>
            <w:tcW w:w="1279" w:type="pct"/>
            <w:tcBorders>
              <w:top w:val="nil"/>
              <w:left w:val="nil"/>
              <w:right w:val="nil"/>
            </w:tcBorders>
          </w:tcPr>
          <w:p w14:paraId="79FC6E32" w14:textId="4C216357" w:rsidR="007F210E" w:rsidRPr="00FD0D8E" w:rsidRDefault="007F210E" w:rsidP="00C74EB6">
            <w:pPr>
              <w:autoSpaceDE w:val="0"/>
              <w:autoSpaceDN w:val="0"/>
              <w:adjustRightInd w:val="0"/>
              <w:jc w:val="center"/>
              <w:rPr>
                <w:kern w:val="0"/>
                <w:szCs w:val="21"/>
              </w:rPr>
            </w:pPr>
            <w:r w:rsidRPr="00FD0D8E">
              <w:rPr>
                <w:kern w:val="0"/>
                <w:szCs w:val="21"/>
              </w:rPr>
              <w:t>20815</w:t>
            </w:r>
          </w:p>
        </w:tc>
      </w:tr>
      <w:tr w:rsidR="009D0FC5" w:rsidRPr="00FD0D8E" w14:paraId="48FB0206" w14:textId="77777777" w:rsidTr="009D0FC5">
        <w:tc>
          <w:tcPr>
            <w:tcW w:w="1165" w:type="pct"/>
            <w:tcBorders>
              <w:top w:val="nil"/>
              <w:left w:val="nil"/>
              <w:bottom w:val="single" w:sz="4" w:space="0" w:color="auto"/>
              <w:right w:val="nil"/>
            </w:tcBorders>
            <w:vAlign w:val="center"/>
          </w:tcPr>
          <w:p w14:paraId="505D0583" w14:textId="7EA821AB" w:rsidR="009D0FC5" w:rsidRPr="00FD0D8E" w:rsidRDefault="009D0FC5" w:rsidP="00C74EB6">
            <w:pPr>
              <w:autoSpaceDE w:val="0"/>
              <w:autoSpaceDN w:val="0"/>
              <w:adjustRightInd w:val="0"/>
              <w:rPr>
                <w:kern w:val="0"/>
                <w:szCs w:val="21"/>
              </w:rPr>
            </w:pPr>
            <w:r w:rsidRPr="00FD0D8E">
              <w:rPr>
                <w:kern w:val="0"/>
                <w:szCs w:val="21"/>
              </w:rPr>
              <w:t>Pseudo R²</w:t>
            </w:r>
          </w:p>
        </w:tc>
        <w:tc>
          <w:tcPr>
            <w:tcW w:w="1277" w:type="pct"/>
            <w:tcBorders>
              <w:top w:val="nil"/>
              <w:left w:val="nil"/>
              <w:bottom w:val="single" w:sz="4" w:space="0" w:color="auto"/>
              <w:right w:val="nil"/>
            </w:tcBorders>
          </w:tcPr>
          <w:p w14:paraId="1BA943AA" w14:textId="112BC9BA" w:rsidR="009D0FC5" w:rsidRPr="00FD0D8E" w:rsidRDefault="009D0FC5" w:rsidP="00C74EB6">
            <w:pPr>
              <w:autoSpaceDE w:val="0"/>
              <w:autoSpaceDN w:val="0"/>
              <w:adjustRightInd w:val="0"/>
              <w:jc w:val="center"/>
              <w:rPr>
                <w:kern w:val="0"/>
                <w:szCs w:val="21"/>
              </w:rPr>
            </w:pPr>
            <w:r w:rsidRPr="00FD0D8E">
              <w:rPr>
                <w:rFonts w:hint="eastAsia"/>
                <w:kern w:val="0"/>
                <w:szCs w:val="21"/>
              </w:rPr>
              <w:t>0.23</w:t>
            </w:r>
          </w:p>
        </w:tc>
        <w:tc>
          <w:tcPr>
            <w:tcW w:w="1278" w:type="pct"/>
            <w:tcBorders>
              <w:top w:val="nil"/>
              <w:left w:val="nil"/>
              <w:bottom w:val="single" w:sz="4" w:space="0" w:color="auto"/>
              <w:right w:val="nil"/>
            </w:tcBorders>
          </w:tcPr>
          <w:p w14:paraId="479598C4" w14:textId="0E1825E0" w:rsidR="009D0FC5" w:rsidRPr="00FD0D8E" w:rsidRDefault="009D0FC5" w:rsidP="00C74EB6">
            <w:pPr>
              <w:autoSpaceDE w:val="0"/>
              <w:autoSpaceDN w:val="0"/>
              <w:adjustRightInd w:val="0"/>
              <w:jc w:val="center"/>
              <w:rPr>
                <w:kern w:val="0"/>
                <w:szCs w:val="21"/>
              </w:rPr>
            </w:pPr>
            <w:r w:rsidRPr="00FD0D8E">
              <w:rPr>
                <w:rFonts w:hint="eastAsia"/>
                <w:kern w:val="0"/>
                <w:szCs w:val="21"/>
              </w:rPr>
              <w:t>0.23</w:t>
            </w:r>
          </w:p>
        </w:tc>
        <w:tc>
          <w:tcPr>
            <w:tcW w:w="1279" w:type="pct"/>
            <w:tcBorders>
              <w:top w:val="nil"/>
              <w:left w:val="nil"/>
              <w:bottom w:val="single" w:sz="4" w:space="0" w:color="auto"/>
              <w:right w:val="nil"/>
            </w:tcBorders>
          </w:tcPr>
          <w:p w14:paraId="51126008" w14:textId="4F71ACEF" w:rsidR="009D0FC5" w:rsidRPr="00FD0D8E" w:rsidRDefault="009D0FC5" w:rsidP="00C74EB6">
            <w:pPr>
              <w:autoSpaceDE w:val="0"/>
              <w:autoSpaceDN w:val="0"/>
              <w:adjustRightInd w:val="0"/>
              <w:jc w:val="center"/>
              <w:rPr>
                <w:kern w:val="0"/>
                <w:szCs w:val="21"/>
              </w:rPr>
            </w:pPr>
            <w:r w:rsidRPr="00FD0D8E">
              <w:rPr>
                <w:rFonts w:hint="eastAsia"/>
                <w:kern w:val="0"/>
                <w:szCs w:val="21"/>
              </w:rPr>
              <w:t>0.23</w:t>
            </w:r>
          </w:p>
        </w:tc>
      </w:tr>
    </w:tbl>
    <w:p w14:paraId="3620C53C" w14:textId="48D509A7" w:rsidR="007F210E" w:rsidRDefault="00C45901" w:rsidP="00C45901">
      <w:pPr>
        <w:autoSpaceDE w:val="0"/>
        <w:autoSpaceDN w:val="0"/>
        <w:adjustRightInd w:val="0"/>
        <w:ind w:firstLine="360"/>
        <w:rPr>
          <w:kern w:val="0"/>
          <w:sz w:val="18"/>
          <w:szCs w:val="18"/>
        </w:rPr>
      </w:pPr>
      <w:r w:rsidRPr="00086241">
        <w:rPr>
          <w:rFonts w:hint="eastAsia"/>
          <w:kern w:val="0"/>
          <w:sz w:val="18"/>
          <w:szCs w:val="18"/>
        </w:rPr>
        <w:t>注：表内报告的是估计结果的边际效应；括号内代表聚类稳健标准误；</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w:t>
      </w:r>
      <w:r w:rsidRPr="00086241">
        <w:rPr>
          <w:rFonts w:hint="eastAsia"/>
          <w:kern w:val="0"/>
          <w:sz w:val="18"/>
          <w:szCs w:val="18"/>
        </w:rPr>
        <w:t>分别表示变量在</w:t>
      </w:r>
      <w:r w:rsidRPr="00086241">
        <w:rPr>
          <w:rFonts w:hint="eastAsia"/>
          <w:kern w:val="0"/>
          <w:sz w:val="18"/>
          <w:szCs w:val="18"/>
        </w:rPr>
        <w:t>10%</w:t>
      </w:r>
      <w:r w:rsidRPr="00086241">
        <w:rPr>
          <w:rFonts w:hint="eastAsia"/>
          <w:kern w:val="0"/>
          <w:sz w:val="18"/>
          <w:szCs w:val="18"/>
        </w:rPr>
        <w:t>、</w:t>
      </w:r>
      <w:r w:rsidRPr="00086241">
        <w:rPr>
          <w:rFonts w:hint="eastAsia"/>
          <w:kern w:val="0"/>
          <w:sz w:val="18"/>
          <w:szCs w:val="18"/>
        </w:rPr>
        <w:t>5%</w:t>
      </w:r>
      <w:r w:rsidRPr="00086241">
        <w:rPr>
          <w:rFonts w:hint="eastAsia"/>
          <w:kern w:val="0"/>
          <w:sz w:val="18"/>
          <w:szCs w:val="18"/>
        </w:rPr>
        <w:t>、</w:t>
      </w:r>
      <w:r w:rsidRPr="00086241">
        <w:rPr>
          <w:rFonts w:hint="eastAsia"/>
          <w:kern w:val="0"/>
          <w:sz w:val="18"/>
          <w:szCs w:val="18"/>
        </w:rPr>
        <w:t>1%</w:t>
      </w:r>
      <w:r w:rsidRPr="00086241">
        <w:rPr>
          <w:rFonts w:hint="eastAsia"/>
          <w:kern w:val="0"/>
          <w:sz w:val="18"/>
          <w:szCs w:val="18"/>
        </w:rPr>
        <w:t>水平上显著。</w:t>
      </w:r>
    </w:p>
    <w:p w14:paraId="66567FED" w14:textId="77777777" w:rsidR="00C74EB6" w:rsidRPr="00C45901" w:rsidRDefault="00C74EB6" w:rsidP="00C74EB6">
      <w:pPr>
        <w:autoSpaceDE w:val="0"/>
        <w:autoSpaceDN w:val="0"/>
        <w:adjustRightInd w:val="0"/>
        <w:rPr>
          <w:kern w:val="0"/>
          <w:sz w:val="18"/>
          <w:szCs w:val="18"/>
        </w:rPr>
      </w:pPr>
    </w:p>
    <w:p w14:paraId="3FBF7761" w14:textId="77777777" w:rsidR="000E1BCF" w:rsidRPr="00601DA8" w:rsidRDefault="000E1BCF" w:rsidP="00601DA8">
      <w:pPr>
        <w:pStyle w:val="3"/>
      </w:pPr>
      <w:bookmarkStart w:id="151" w:name="_Toc191420764"/>
      <w:bookmarkStart w:id="152" w:name="_Toc191574134"/>
      <w:bookmarkStart w:id="153" w:name="_Toc198287005"/>
      <w:r w:rsidRPr="00601DA8">
        <w:rPr>
          <w:rFonts w:hint="eastAsia"/>
        </w:rPr>
        <w:t>替换董</w:t>
      </w:r>
      <w:proofErr w:type="gramStart"/>
      <w:r w:rsidRPr="00601DA8">
        <w:rPr>
          <w:rFonts w:hint="eastAsia"/>
        </w:rPr>
        <w:t>监高责任</w:t>
      </w:r>
      <w:proofErr w:type="gramEnd"/>
      <w:r w:rsidRPr="00601DA8">
        <w:rPr>
          <w:rFonts w:hint="eastAsia"/>
        </w:rPr>
        <w:t>险</w:t>
      </w:r>
      <w:bookmarkStart w:id="154" w:name="_Hlk190608833"/>
      <w:bookmarkEnd w:id="151"/>
      <w:bookmarkEnd w:id="152"/>
      <w:bookmarkEnd w:id="153"/>
    </w:p>
    <w:p w14:paraId="2F5387C0" w14:textId="5BB27FDF" w:rsidR="000E1BCF" w:rsidRPr="000676E8" w:rsidRDefault="000E1BCF" w:rsidP="000E1BCF">
      <w:pPr>
        <w:spacing w:line="360" w:lineRule="auto"/>
        <w:ind w:firstLineChars="200" w:firstLine="480"/>
        <w:rPr>
          <w:sz w:val="24"/>
        </w:rPr>
      </w:pPr>
      <w:r w:rsidRPr="000676E8">
        <w:rPr>
          <w:rFonts w:hint="eastAsia"/>
          <w:sz w:val="24"/>
        </w:rPr>
        <w:t>本文参考</w:t>
      </w:r>
      <w:r w:rsidRPr="000676E8">
        <w:rPr>
          <w:rFonts w:hint="eastAsia"/>
          <w:sz w:val="24"/>
        </w:rPr>
        <w:t>Cao</w:t>
      </w:r>
      <w:r w:rsidRPr="000676E8">
        <w:rPr>
          <w:rFonts w:hint="eastAsia"/>
          <w:sz w:val="24"/>
        </w:rPr>
        <w:t>等（</w:t>
      </w:r>
      <w:r w:rsidRPr="000676E8">
        <w:rPr>
          <w:rFonts w:hint="eastAsia"/>
          <w:sz w:val="24"/>
        </w:rPr>
        <w:t>2014</w:t>
      </w:r>
      <w:r w:rsidRPr="000676E8">
        <w:rPr>
          <w:rFonts w:hint="eastAsia"/>
          <w:sz w:val="24"/>
        </w:rPr>
        <w:t>），使用诉讼风险替代</w:t>
      </w:r>
      <w:r>
        <w:rPr>
          <w:rFonts w:hint="eastAsia"/>
          <w:sz w:val="24"/>
        </w:rPr>
        <w:t>董</w:t>
      </w:r>
      <w:proofErr w:type="gramStart"/>
      <w:r>
        <w:rPr>
          <w:rFonts w:hint="eastAsia"/>
          <w:sz w:val="24"/>
        </w:rPr>
        <w:t>监高责任</w:t>
      </w:r>
      <w:proofErr w:type="gramEnd"/>
      <w:r>
        <w:rPr>
          <w:rFonts w:hint="eastAsia"/>
          <w:sz w:val="24"/>
        </w:rPr>
        <w:t>险的</w:t>
      </w:r>
      <w:r w:rsidR="00D473F8">
        <w:rPr>
          <w:rFonts w:hint="eastAsia"/>
          <w:sz w:val="24"/>
        </w:rPr>
        <w:t>投保意向</w:t>
      </w:r>
      <w:r w:rsidRPr="000676E8">
        <w:rPr>
          <w:rFonts w:hint="eastAsia"/>
          <w:sz w:val="24"/>
        </w:rPr>
        <w:t>，认为公司诉讼风险较</w:t>
      </w:r>
      <w:r w:rsidR="007007CF">
        <w:rPr>
          <w:rFonts w:hint="eastAsia"/>
          <w:sz w:val="24"/>
        </w:rPr>
        <w:t>高</w:t>
      </w:r>
      <w:r w:rsidRPr="000676E8">
        <w:rPr>
          <w:rFonts w:hint="eastAsia"/>
          <w:sz w:val="24"/>
        </w:rPr>
        <w:t>时，</w:t>
      </w:r>
      <w:r w:rsidR="007007CF">
        <w:rPr>
          <w:rFonts w:hint="eastAsia"/>
          <w:sz w:val="24"/>
        </w:rPr>
        <w:t>董</w:t>
      </w:r>
      <w:proofErr w:type="gramStart"/>
      <w:r w:rsidR="007007CF">
        <w:rPr>
          <w:rFonts w:hint="eastAsia"/>
          <w:sz w:val="24"/>
        </w:rPr>
        <w:t>监高</w:t>
      </w:r>
      <w:r w:rsidRPr="000676E8">
        <w:rPr>
          <w:rFonts w:hint="eastAsia"/>
          <w:sz w:val="24"/>
        </w:rPr>
        <w:t>责任</w:t>
      </w:r>
      <w:proofErr w:type="gramEnd"/>
      <w:r w:rsidRPr="000676E8">
        <w:rPr>
          <w:rFonts w:hint="eastAsia"/>
          <w:sz w:val="24"/>
        </w:rPr>
        <w:t>险</w:t>
      </w:r>
      <w:r w:rsidR="007007CF">
        <w:rPr>
          <w:rFonts w:hint="eastAsia"/>
          <w:sz w:val="24"/>
        </w:rPr>
        <w:t>的购买需求</w:t>
      </w:r>
      <w:r w:rsidRPr="000676E8">
        <w:rPr>
          <w:rFonts w:hint="eastAsia"/>
          <w:sz w:val="24"/>
        </w:rPr>
        <w:t>较</w:t>
      </w:r>
      <w:r w:rsidR="00370FED">
        <w:rPr>
          <w:rFonts w:hint="eastAsia"/>
          <w:sz w:val="24"/>
        </w:rPr>
        <w:t>强烈</w:t>
      </w:r>
      <w:r w:rsidRPr="000676E8">
        <w:rPr>
          <w:rFonts w:hint="eastAsia"/>
          <w:sz w:val="24"/>
        </w:rPr>
        <w:t>。本文选取公司涉诉金额（</w:t>
      </w:r>
      <w:proofErr w:type="spellStart"/>
      <w:r w:rsidRPr="000676E8">
        <w:rPr>
          <w:rFonts w:hint="eastAsia"/>
          <w:sz w:val="24"/>
        </w:rPr>
        <w:t>LitiAmount</w:t>
      </w:r>
      <w:proofErr w:type="spellEnd"/>
      <w:r w:rsidRPr="000676E8">
        <w:rPr>
          <w:rFonts w:hint="eastAsia"/>
          <w:sz w:val="24"/>
        </w:rPr>
        <w:t>）、</w:t>
      </w:r>
      <w:r w:rsidR="008E596C">
        <w:rPr>
          <w:rFonts w:hint="eastAsia"/>
          <w:sz w:val="24"/>
        </w:rPr>
        <w:t>公司涉诉次数（</w:t>
      </w:r>
      <w:proofErr w:type="spellStart"/>
      <w:r w:rsidR="008E596C">
        <w:rPr>
          <w:rFonts w:hint="eastAsia"/>
          <w:sz w:val="24"/>
        </w:rPr>
        <w:t>LitiNum</w:t>
      </w:r>
      <w:proofErr w:type="spellEnd"/>
      <w:r w:rsidR="008E596C">
        <w:rPr>
          <w:rFonts w:hint="eastAsia"/>
          <w:sz w:val="24"/>
        </w:rPr>
        <w:t>）、</w:t>
      </w:r>
      <w:r w:rsidRPr="000676E8">
        <w:rPr>
          <w:rFonts w:hint="eastAsia"/>
          <w:sz w:val="24"/>
        </w:rPr>
        <w:t>公司收到的监管函和问询函数</w:t>
      </w:r>
      <w:r w:rsidRPr="000676E8">
        <w:rPr>
          <w:rFonts w:hint="eastAsia"/>
          <w:sz w:val="24"/>
        </w:rPr>
        <w:lastRenderedPageBreak/>
        <w:t>量（</w:t>
      </w:r>
      <w:proofErr w:type="spellStart"/>
      <w:r w:rsidRPr="000676E8">
        <w:rPr>
          <w:rFonts w:hint="eastAsia"/>
          <w:sz w:val="24"/>
        </w:rPr>
        <w:t>TLNum</w:t>
      </w:r>
      <w:proofErr w:type="spellEnd"/>
      <w:r w:rsidRPr="000676E8">
        <w:rPr>
          <w:rFonts w:hint="eastAsia"/>
          <w:sz w:val="24"/>
        </w:rPr>
        <w:t>）来量化诉讼风险，</w:t>
      </w:r>
      <w:r w:rsidR="00953DD2">
        <w:rPr>
          <w:rFonts w:hint="eastAsia"/>
          <w:sz w:val="24"/>
        </w:rPr>
        <w:t>三</w:t>
      </w:r>
      <w:r w:rsidRPr="000676E8">
        <w:rPr>
          <w:rFonts w:hint="eastAsia"/>
          <w:sz w:val="24"/>
        </w:rPr>
        <w:t>者越高，诉讼风险越大。</w:t>
      </w:r>
      <w:r w:rsidR="004B772F">
        <w:rPr>
          <w:sz w:val="24"/>
        </w:rPr>
        <w:fldChar w:fldCharType="begin"/>
      </w:r>
      <w:r w:rsidR="004B772F">
        <w:rPr>
          <w:sz w:val="24"/>
        </w:rPr>
        <w:instrText xml:space="preserve"> </w:instrText>
      </w:r>
      <w:r w:rsidR="004B772F">
        <w:rPr>
          <w:rFonts w:hint="eastAsia"/>
          <w:sz w:val="24"/>
        </w:rPr>
        <w:instrText>REF _Ref185447707 \h</w:instrText>
      </w:r>
      <w:r w:rsidR="004B772F">
        <w:rPr>
          <w:sz w:val="24"/>
        </w:rPr>
        <w:instrText xml:space="preserve">  \* MERGEFORMAT </w:instrText>
      </w:r>
      <w:r w:rsidR="004B772F">
        <w:rPr>
          <w:sz w:val="24"/>
        </w:rPr>
      </w:r>
      <w:r w:rsidR="004B772F">
        <w:rPr>
          <w:sz w:val="24"/>
        </w:rPr>
        <w:fldChar w:fldCharType="separate"/>
      </w:r>
      <w:r w:rsidR="00AF2180" w:rsidRPr="00AF2180">
        <w:rPr>
          <w:rFonts w:hint="eastAsia"/>
          <w:sz w:val="24"/>
        </w:rPr>
        <w:t>表</w:t>
      </w:r>
      <w:r w:rsidR="00AF2180" w:rsidRPr="00AF2180">
        <w:rPr>
          <w:rFonts w:hint="eastAsia"/>
          <w:sz w:val="24"/>
        </w:rPr>
        <w:t xml:space="preserve"> </w:t>
      </w:r>
      <w:r w:rsidR="00AF2180" w:rsidRPr="00AF2180">
        <w:rPr>
          <w:sz w:val="24"/>
        </w:rPr>
        <w:t>14</w:t>
      </w:r>
      <w:r w:rsidR="004B772F">
        <w:rPr>
          <w:sz w:val="24"/>
        </w:rPr>
        <w:fldChar w:fldCharType="end"/>
      </w:r>
      <w:r>
        <w:rPr>
          <w:rFonts w:hint="eastAsia"/>
          <w:sz w:val="24"/>
        </w:rPr>
        <w:t>列（</w:t>
      </w:r>
      <w:r>
        <w:rPr>
          <w:rFonts w:hint="eastAsia"/>
          <w:sz w:val="24"/>
        </w:rPr>
        <w:t>1</w:t>
      </w:r>
      <w:r>
        <w:rPr>
          <w:rFonts w:hint="eastAsia"/>
          <w:sz w:val="24"/>
        </w:rPr>
        <w:t>）</w:t>
      </w:r>
      <w:r>
        <w:rPr>
          <w:rFonts w:hint="eastAsia"/>
          <w:sz w:val="24"/>
        </w:rPr>
        <w:t>-</w:t>
      </w:r>
      <w:r>
        <w:rPr>
          <w:rFonts w:hint="eastAsia"/>
          <w:sz w:val="24"/>
        </w:rPr>
        <w:t>（</w:t>
      </w:r>
      <w:r w:rsidR="008E596C">
        <w:rPr>
          <w:rFonts w:hint="eastAsia"/>
          <w:sz w:val="24"/>
        </w:rPr>
        <w:t>3</w:t>
      </w:r>
      <w:r>
        <w:rPr>
          <w:rFonts w:hint="eastAsia"/>
          <w:sz w:val="24"/>
        </w:rPr>
        <w:t>）</w:t>
      </w:r>
      <w:r w:rsidRPr="000676E8">
        <w:rPr>
          <w:rFonts w:hint="eastAsia"/>
          <w:sz w:val="24"/>
        </w:rPr>
        <w:t>表明，当组织资本越高时，公司涉诉金额、</w:t>
      </w:r>
      <w:r w:rsidR="008E596C">
        <w:rPr>
          <w:rFonts w:hint="eastAsia"/>
          <w:sz w:val="24"/>
        </w:rPr>
        <w:t>涉诉次数、</w:t>
      </w:r>
      <w:r w:rsidRPr="000676E8">
        <w:rPr>
          <w:rFonts w:hint="eastAsia"/>
          <w:sz w:val="24"/>
        </w:rPr>
        <w:t>被监管机构关注程度越</w:t>
      </w:r>
      <w:r w:rsidR="008E596C">
        <w:rPr>
          <w:rFonts w:hint="eastAsia"/>
          <w:sz w:val="24"/>
        </w:rPr>
        <w:t>高</w:t>
      </w:r>
      <w:r>
        <w:rPr>
          <w:rFonts w:hint="eastAsia"/>
          <w:sz w:val="24"/>
        </w:rPr>
        <w:t>，隐含的董</w:t>
      </w:r>
      <w:proofErr w:type="gramStart"/>
      <w:r>
        <w:rPr>
          <w:rFonts w:hint="eastAsia"/>
          <w:sz w:val="24"/>
        </w:rPr>
        <w:t>监高责任险</w:t>
      </w:r>
      <w:r w:rsidR="008E596C">
        <w:rPr>
          <w:rFonts w:hint="eastAsia"/>
          <w:sz w:val="24"/>
        </w:rPr>
        <w:t>购买</w:t>
      </w:r>
      <w:proofErr w:type="gramEnd"/>
      <w:r w:rsidR="008E596C">
        <w:rPr>
          <w:rFonts w:hint="eastAsia"/>
          <w:sz w:val="24"/>
        </w:rPr>
        <w:t>概率</w:t>
      </w:r>
      <w:r>
        <w:rPr>
          <w:rFonts w:hint="eastAsia"/>
          <w:sz w:val="24"/>
        </w:rPr>
        <w:t>越</w:t>
      </w:r>
      <w:r w:rsidR="008E596C">
        <w:rPr>
          <w:rFonts w:hint="eastAsia"/>
          <w:sz w:val="24"/>
        </w:rPr>
        <w:t>高</w:t>
      </w:r>
      <w:r>
        <w:rPr>
          <w:rFonts w:hint="eastAsia"/>
          <w:sz w:val="24"/>
        </w:rPr>
        <w:t>。</w:t>
      </w:r>
    </w:p>
    <w:bookmarkEnd w:id="154"/>
    <w:p w14:paraId="3C9E6F62" w14:textId="77777777" w:rsidR="006A2E4F" w:rsidRPr="00086241" w:rsidRDefault="006A2E4F" w:rsidP="000E1BCF">
      <w:pPr>
        <w:spacing w:line="360" w:lineRule="auto"/>
        <w:ind w:firstLine="480"/>
        <w:rPr>
          <w:sz w:val="24"/>
        </w:rPr>
      </w:pPr>
    </w:p>
    <w:p w14:paraId="051DA861" w14:textId="37F9739C" w:rsidR="007C2D61" w:rsidRPr="00086241" w:rsidRDefault="006A2E4F" w:rsidP="00734874">
      <w:pPr>
        <w:pStyle w:val="af5"/>
        <w:ind w:firstLine="482"/>
        <w:rPr>
          <w:rFonts w:ascii="Times New Roman" w:hAnsi="Times New Roman"/>
        </w:rPr>
      </w:pPr>
      <w:bookmarkStart w:id="155" w:name="_Ref185447707"/>
      <w:r w:rsidRPr="00086241">
        <w:rPr>
          <w:rFonts w:ascii="Times New Roman" w:hAnsi="Times New Roman" w:hint="eastAsia"/>
        </w:rPr>
        <w:t>表</w:t>
      </w:r>
      <w:r w:rsidRPr="00086241">
        <w:rPr>
          <w:rFonts w:ascii="Times New Roman" w:hAnsi="Times New Roman" w:hint="eastAsia"/>
        </w:rPr>
        <w:t xml:space="preserve"> </w:t>
      </w:r>
      <w:r w:rsidRPr="00086241">
        <w:rPr>
          <w:rFonts w:ascii="Times New Roman" w:hAnsi="Times New Roman"/>
        </w:rPr>
        <w:fldChar w:fldCharType="begin"/>
      </w:r>
      <w:r w:rsidRPr="00086241">
        <w:rPr>
          <w:rFonts w:ascii="Times New Roman" w:hAnsi="Times New Roman"/>
        </w:rPr>
        <w:instrText xml:space="preserve"> </w:instrText>
      </w:r>
      <w:r w:rsidRPr="00086241">
        <w:rPr>
          <w:rFonts w:ascii="Times New Roman" w:hAnsi="Times New Roman" w:hint="eastAsia"/>
        </w:rPr>
        <w:instrText xml:space="preserve">SEQ </w:instrText>
      </w:r>
      <w:r w:rsidRPr="00086241">
        <w:rPr>
          <w:rFonts w:ascii="Times New Roman" w:hAnsi="Times New Roman" w:hint="eastAsia"/>
        </w:rPr>
        <w:instrText>表</w:instrText>
      </w:r>
      <w:r w:rsidRPr="00086241">
        <w:rPr>
          <w:rFonts w:ascii="Times New Roman" w:hAnsi="Times New Roman" w:hint="eastAsia"/>
        </w:rPr>
        <w:instrText xml:space="preserve"> \* ARABIC</w:instrText>
      </w:r>
      <w:r w:rsidRPr="00086241">
        <w:rPr>
          <w:rFonts w:ascii="Times New Roman" w:hAnsi="Times New Roman"/>
        </w:rPr>
        <w:instrText xml:space="preserve"> </w:instrText>
      </w:r>
      <w:r w:rsidRPr="00086241">
        <w:rPr>
          <w:rFonts w:ascii="Times New Roman" w:hAnsi="Times New Roman"/>
        </w:rPr>
        <w:fldChar w:fldCharType="separate"/>
      </w:r>
      <w:r w:rsidR="00AF2180">
        <w:rPr>
          <w:rFonts w:ascii="Times New Roman" w:hAnsi="Times New Roman"/>
          <w:noProof/>
        </w:rPr>
        <w:t>14</w:t>
      </w:r>
      <w:r w:rsidRPr="00086241">
        <w:rPr>
          <w:rFonts w:ascii="Times New Roman" w:hAnsi="Times New Roman"/>
        </w:rPr>
        <w:fldChar w:fldCharType="end"/>
      </w:r>
      <w:bookmarkEnd w:id="155"/>
      <w:r w:rsidRPr="00086241">
        <w:rPr>
          <w:rFonts w:ascii="Times New Roman" w:hAnsi="Times New Roman"/>
        </w:rPr>
        <w:t>：</w:t>
      </w:r>
      <w:r w:rsidR="00900CC9" w:rsidRPr="00086241">
        <w:rPr>
          <w:rFonts w:ascii="Times New Roman" w:hAnsi="Times New Roman" w:hint="eastAsia"/>
        </w:rPr>
        <w:t>替换董</w:t>
      </w:r>
      <w:proofErr w:type="gramStart"/>
      <w:r w:rsidR="00900CC9" w:rsidRPr="00086241">
        <w:rPr>
          <w:rFonts w:ascii="Times New Roman" w:hAnsi="Times New Roman" w:hint="eastAsia"/>
        </w:rPr>
        <w:t>监高责任</w:t>
      </w:r>
      <w:proofErr w:type="gramEnd"/>
      <w:r w:rsidR="00900CC9" w:rsidRPr="00086241">
        <w:rPr>
          <w:rFonts w:ascii="Times New Roman" w:hAnsi="Times New Roman" w:hint="eastAsia"/>
        </w:rPr>
        <w:t>险进行稳健性检验</w:t>
      </w:r>
    </w:p>
    <w:tbl>
      <w:tblPr>
        <w:tblW w:w="5000" w:type="pct"/>
        <w:tblLook w:val="0000" w:firstRow="0" w:lastRow="0" w:firstColumn="0" w:lastColumn="0" w:noHBand="0" w:noVBand="0"/>
      </w:tblPr>
      <w:tblGrid>
        <w:gridCol w:w="1841"/>
        <w:gridCol w:w="2155"/>
        <w:gridCol w:w="2155"/>
        <w:gridCol w:w="2155"/>
      </w:tblGrid>
      <w:tr w:rsidR="00BE7A0E" w:rsidRPr="00FD0D8E" w14:paraId="4E5C5F0A" w14:textId="77777777" w:rsidTr="006B1109">
        <w:tc>
          <w:tcPr>
            <w:tcW w:w="1108" w:type="pct"/>
            <w:tcBorders>
              <w:top w:val="single" w:sz="4" w:space="0" w:color="auto"/>
              <w:left w:val="nil"/>
              <w:bottom w:val="nil"/>
              <w:right w:val="nil"/>
            </w:tcBorders>
          </w:tcPr>
          <w:p w14:paraId="75E6CD5B" w14:textId="77777777" w:rsidR="00BE7A0E" w:rsidRPr="00FD0D8E" w:rsidRDefault="00BE7A0E" w:rsidP="00C74EB6">
            <w:pPr>
              <w:autoSpaceDE w:val="0"/>
              <w:autoSpaceDN w:val="0"/>
              <w:adjustRightInd w:val="0"/>
              <w:rPr>
                <w:kern w:val="0"/>
                <w:szCs w:val="21"/>
              </w:rPr>
            </w:pPr>
          </w:p>
        </w:tc>
        <w:tc>
          <w:tcPr>
            <w:tcW w:w="1297" w:type="pct"/>
            <w:tcBorders>
              <w:top w:val="single" w:sz="4" w:space="0" w:color="auto"/>
              <w:left w:val="nil"/>
              <w:bottom w:val="nil"/>
              <w:right w:val="nil"/>
            </w:tcBorders>
          </w:tcPr>
          <w:p w14:paraId="326117EB" w14:textId="77777777" w:rsidR="00BE7A0E" w:rsidRPr="00FD0D8E" w:rsidRDefault="00BE7A0E" w:rsidP="00C74EB6">
            <w:pPr>
              <w:autoSpaceDE w:val="0"/>
              <w:autoSpaceDN w:val="0"/>
              <w:adjustRightInd w:val="0"/>
              <w:jc w:val="center"/>
              <w:rPr>
                <w:kern w:val="0"/>
                <w:szCs w:val="21"/>
              </w:rPr>
            </w:pPr>
            <w:r w:rsidRPr="00FD0D8E">
              <w:rPr>
                <w:kern w:val="0"/>
                <w:szCs w:val="21"/>
              </w:rPr>
              <w:t>(1)</w:t>
            </w:r>
          </w:p>
        </w:tc>
        <w:tc>
          <w:tcPr>
            <w:tcW w:w="1297" w:type="pct"/>
            <w:tcBorders>
              <w:top w:val="single" w:sz="4" w:space="0" w:color="auto"/>
              <w:left w:val="nil"/>
              <w:bottom w:val="nil"/>
              <w:right w:val="nil"/>
            </w:tcBorders>
          </w:tcPr>
          <w:p w14:paraId="51DF4F96" w14:textId="77777777" w:rsidR="00BE7A0E" w:rsidRPr="00FD0D8E" w:rsidRDefault="00BE7A0E" w:rsidP="00C74EB6">
            <w:pPr>
              <w:autoSpaceDE w:val="0"/>
              <w:autoSpaceDN w:val="0"/>
              <w:adjustRightInd w:val="0"/>
              <w:jc w:val="center"/>
              <w:rPr>
                <w:kern w:val="0"/>
                <w:szCs w:val="21"/>
              </w:rPr>
            </w:pPr>
            <w:r w:rsidRPr="00FD0D8E">
              <w:rPr>
                <w:kern w:val="0"/>
                <w:szCs w:val="21"/>
              </w:rPr>
              <w:t>(2)</w:t>
            </w:r>
          </w:p>
        </w:tc>
        <w:tc>
          <w:tcPr>
            <w:tcW w:w="1297" w:type="pct"/>
            <w:tcBorders>
              <w:top w:val="single" w:sz="4" w:space="0" w:color="auto"/>
              <w:left w:val="nil"/>
              <w:bottom w:val="nil"/>
              <w:right w:val="nil"/>
            </w:tcBorders>
          </w:tcPr>
          <w:p w14:paraId="7EFD16B0" w14:textId="77777777" w:rsidR="00BE7A0E" w:rsidRPr="00FD0D8E" w:rsidRDefault="00BE7A0E" w:rsidP="00C74EB6">
            <w:pPr>
              <w:autoSpaceDE w:val="0"/>
              <w:autoSpaceDN w:val="0"/>
              <w:adjustRightInd w:val="0"/>
              <w:jc w:val="center"/>
              <w:rPr>
                <w:kern w:val="0"/>
                <w:szCs w:val="21"/>
              </w:rPr>
            </w:pPr>
            <w:r w:rsidRPr="00FD0D8E">
              <w:rPr>
                <w:kern w:val="0"/>
                <w:szCs w:val="21"/>
              </w:rPr>
              <w:t>(3)</w:t>
            </w:r>
          </w:p>
        </w:tc>
      </w:tr>
      <w:tr w:rsidR="00BE7A0E" w:rsidRPr="00FD0D8E" w14:paraId="49E58694" w14:textId="77777777" w:rsidTr="006B1109">
        <w:tc>
          <w:tcPr>
            <w:tcW w:w="1108" w:type="pct"/>
            <w:tcBorders>
              <w:top w:val="nil"/>
              <w:left w:val="nil"/>
              <w:bottom w:val="nil"/>
              <w:right w:val="nil"/>
            </w:tcBorders>
          </w:tcPr>
          <w:p w14:paraId="48B6DB46"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2A06E1B3" w14:textId="77777777" w:rsidR="00BE7A0E" w:rsidRPr="00FD0D8E" w:rsidRDefault="00BE7A0E" w:rsidP="00C74EB6">
            <w:pPr>
              <w:autoSpaceDE w:val="0"/>
              <w:autoSpaceDN w:val="0"/>
              <w:adjustRightInd w:val="0"/>
              <w:jc w:val="center"/>
              <w:rPr>
                <w:kern w:val="0"/>
                <w:szCs w:val="21"/>
              </w:rPr>
            </w:pPr>
            <w:proofErr w:type="spellStart"/>
            <w:r w:rsidRPr="00FD0D8E">
              <w:rPr>
                <w:kern w:val="0"/>
                <w:szCs w:val="21"/>
              </w:rPr>
              <w:t>LitiAmount</w:t>
            </w:r>
            <w:proofErr w:type="spellEnd"/>
            <w:r w:rsidRPr="00FD0D8E">
              <w:rPr>
                <w:kern w:val="0"/>
                <w:szCs w:val="21"/>
                <w:vertAlign w:val="subscript"/>
              </w:rPr>
              <w:t xml:space="preserve"> t+1</w:t>
            </w:r>
          </w:p>
        </w:tc>
        <w:tc>
          <w:tcPr>
            <w:tcW w:w="1297" w:type="pct"/>
            <w:tcBorders>
              <w:top w:val="nil"/>
              <w:left w:val="nil"/>
              <w:bottom w:val="nil"/>
              <w:right w:val="nil"/>
            </w:tcBorders>
          </w:tcPr>
          <w:p w14:paraId="650D5EA0" w14:textId="77777777" w:rsidR="00BE7A0E" w:rsidRPr="00FD0D8E" w:rsidRDefault="00BE7A0E" w:rsidP="00C74EB6">
            <w:pPr>
              <w:autoSpaceDE w:val="0"/>
              <w:autoSpaceDN w:val="0"/>
              <w:adjustRightInd w:val="0"/>
              <w:jc w:val="center"/>
              <w:rPr>
                <w:kern w:val="0"/>
                <w:szCs w:val="21"/>
              </w:rPr>
            </w:pPr>
            <w:proofErr w:type="spellStart"/>
            <w:r w:rsidRPr="00FD0D8E">
              <w:rPr>
                <w:kern w:val="0"/>
                <w:szCs w:val="21"/>
              </w:rPr>
              <w:t>LitiNum</w:t>
            </w:r>
            <w:proofErr w:type="spellEnd"/>
            <w:r w:rsidRPr="00FD0D8E">
              <w:rPr>
                <w:kern w:val="0"/>
                <w:szCs w:val="21"/>
                <w:vertAlign w:val="subscript"/>
              </w:rPr>
              <w:t xml:space="preserve"> t+1</w:t>
            </w:r>
          </w:p>
        </w:tc>
        <w:tc>
          <w:tcPr>
            <w:tcW w:w="1297" w:type="pct"/>
            <w:tcBorders>
              <w:top w:val="nil"/>
              <w:left w:val="nil"/>
              <w:bottom w:val="nil"/>
              <w:right w:val="nil"/>
            </w:tcBorders>
          </w:tcPr>
          <w:p w14:paraId="4CF40EB8" w14:textId="77777777" w:rsidR="00BE7A0E" w:rsidRPr="00FD0D8E" w:rsidRDefault="00BE7A0E" w:rsidP="00C74EB6">
            <w:pPr>
              <w:autoSpaceDE w:val="0"/>
              <w:autoSpaceDN w:val="0"/>
              <w:adjustRightInd w:val="0"/>
              <w:jc w:val="center"/>
              <w:rPr>
                <w:kern w:val="0"/>
                <w:szCs w:val="21"/>
              </w:rPr>
            </w:pPr>
            <w:proofErr w:type="spellStart"/>
            <w:r w:rsidRPr="00FD0D8E">
              <w:rPr>
                <w:kern w:val="0"/>
                <w:szCs w:val="21"/>
              </w:rPr>
              <w:t>TLNum</w:t>
            </w:r>
            <w:proofErr w:type="spellEnd"/>
            <w:r w:rsidRPr="00FD0D8E">
              <w:rPr>
                <w:kern w:val="0"/>
                <w:szCs w:val="21"/>
                <w:vertAlign w:val="subscript"/>
              </w:rPr>
              <w:t xml:space="preserve"> t+1</w:t>
            </w:r>
          </w:p>
        </w:tc>
      </w:tr>
      <w:tr w:rsidR="00BE7A0E" w:rsidRPr="00FD0D8E" w14:paraId="49860C27" w14:textId="77777777" w:rsidTr="006B1109">
        <w:tc>
          <w:tcPr>
            <w:tcW w:w="1108" w:type="pct"/>
            <w:tcBorders>
              <w:top w:val="single" w:sz="4" w:space="0" w:color="auto"/>
              <w:left w:val="nil"/>
              <w:bottom w:val="nil"/>
              <w:right w:val="nil"/>
            </w:tcBorders>
          </w:tcPr>
          <w:p w14:paraId="0568BE86" w14:textId="492C1703" w:rsidR="00BE7A0E" w:rsidRPr="00FD0D8E" w:rsidRDefault="00D9560C" w:rsidP="00C74EB6">
            <w:pPr>
              <w:autoSpaceDE w:val="0"/>
              <w:autoSpaceDN w:val="0"/>
              <w:adjustRightInd w:val="0"/>
              <w:rPr>
                <w:kern w:val="0"/>
                <w:szCs w:val="21"/>
              </w:rPr>
            </w:pPr>
            <w:r w:rsidRPr="00FD0D8E">
              <w:rPr>
                <w:kern w:val="0"/>
                <w:szCs w:val="21"/>
              </w:rPr>
              <w:t>OC</w:t>
            </w:r>
          </w:p>
        </w:tc>
        <w:tc>
          <w:tcPr>
            <w:tcW w:w="1297" w:type="pct"/>
            <w:tcBorders>
              <w:top w:val="single" w:sz="4" w:space="0" w:color="auto"/>
              <w:left w:val="nil"/>
              <w:bottom w:val="nil"/>
              <w:right w:val="nil"/>
            </w:tcBorders>
          </w:tcPr>
          <w:p w14:paraId="1E61DD98" w14:textId="77777777" w:rsidR="00BE7A0E" w:rsidRPr="00FD0D8E" w:rsidRDefault="00BE7A0E" w:rsidP="00C74EB6">
            <w:pPr>
              <w:autoSpaceDE w:val="0"/>
              <w:autoSpaceDN w:val="0"/>
              <w:adjustRightInd w:val="0"/>
              <w:jc w:val="center"/>
              <w:rPr>
                <w:kern w:val="0"/>
                <w:szCs w:val="21"/>
              </w:rPr>
            </w:pPr>
            <w:r w:rsidRPr="00FD0D8E">
              <w:rPr>
                <w:kern w:val="0"/>
                <w:szCs w:val="21"/>
              </w:rPr>
              <w:t>2.507</w:t>
            </w:r>
            <w:r w:rsidRPr="00FD0D8E">
              <w:rPr>
                <w:kern w:val="0"/>
                <w:szCs w:val="21"/>
                <w:vertAlign w:val="superscript"/>
              </w:rPr>
              <w:t>***</w:t>
            </w:r>
          </w:p>
        </w:tc>
        <w:tc>
          <w:tcPr>
            <w:tcW w:w="1297" w:type="pct"/>
            <w:tcBorders>
              <w:top w:val="single" w:sz="4" w:space="0" w:color="auto"/>
              <w:left w:val="nil"/>
              <w:bottom w:val="nil"/>
              <w:right w:val="nil"/>
            </w:tcBorders>
          </w:tcPr>
          <w:p w14:paraId="2B7ECB90" w14:textId="77777777" w:rsidR="00BE7A0E" w:rsidRPr="00FD0D8E" w:rsidRDefault="00BE7A0E" w:rsidP="00C74EB6">
            <w:pPr>
              <w:autoSpaceDE w:val="0"/>
              <w:autoSpaceDN w:val="0"/>
              <w:adjustRightInd w:val="0"/>
              <w:jc w:val="center"/>
              <w:rPr>
                <w:kern w:val="0"/>
                <w:szCs w:val="21"/>
              </w:rPr>
            </w:pPr>
            <w:r w:rsidRPr="00FD0D8E">
              <w:rPr>
                <w:kern w:val="0"/>
                <w:szCs w:val="21"/>
              </w:rPr>
              <w:t>0.366</w:t>
            </w:r>
            <w:r w:rsidRPr="00FD0D8E">
              <w:rPr>
                <w:kern w:val="0"/>
                <w:szCs w:val="21"/>
                <w:vertAlign w:val="superscript"/>
              </w:rPr>
              <w:t>***</w:t>
            </w:r>
          </w:p>
        </w:tc>
        <w:tc>
          <w:tcPr>
            <w:tcW w:w="1297" w:type="pct"/>
            <w:tcBorders>
              <w:top w:val="single" w:sz="4" w:space="0" w:color="auto"/>
              <w:left w:val="nil"/>
              <w:bottom w:val="nil"/>
              <w:right w:val="nil"/>
            </w:tcBorders>
          </w:tcPr>
          <w:p w14:paraId="3A5427C2" w14:textId="77777777" w:rsidR="00BE7A0E" w:rsidRPr="00FD0D8E" w:rsidRDefault="00BE7A0E" w:rsidP="00C74EB6">
            <w:pPr>
              <w:autoSpaceDE w:val="0"/>
              <w:autoSpaceDN w:val="0"/>
              <w:adjustRightInd w:val="0"/>
              <w:jc w:val="center"/>
              <w:rPr>
                <w:kern w:val="0"/>
                <w:szCs w:val="21"/>
              </w:rPr>
            </w:pPr>
            <w:r w:rsidRPr="00FD0D8E">
              <w:rPr>
                <w:kern w:val="0"/>
                <w:szCs w:val="21"/>
              </w:rPr>
              <w:t>2.921</w:t>
            </w:r>
            <w:r w:rsidRPr="00FD0D8E">
              <w:rPr>
                <w:kern w:val="0"/>
                <w:szCs w:val="21"/>
                <w:vertAlign w:val="superscript"/>
              </w:rPr>
              <w:t>***</w:t>
            </w:r>
          </w:p>
        </w:tc>
      </w:tr>
      <w:tr w:rsidR="00BE7A0E" w:rsidRPr="00FD0D8E" w14:paraId="2E2815EF" w14:textId="77777777" w:rsidTr="006B1109">
        <w:tc>
          <w:tcPr>
            <w:tcW w:w="1108" w:type="pct"/>
            <w:tcBorders>
              <w:top w:val="nil"/>
              <w:left w:val="nil"/>
              <w:bottom w:val="nil"/>
              <w:right w:val="nil"/>
            </w:tcBorders>
          </w:tcPr>
          <w:p w14:paraId="368D035E"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5AC706C3" w14:textId="77777777" w:rsidR="00BE7A0E" w:rsidRPr="00FD0D8E" w:rsidRDefault="00BE7A0E" w:rsidP="00C74EB6">
            <w:pPr>
              <w:autoSpaceDE w:val="0"/>
              <w:autoSpaceDN w:val="0"/>
              <w:adjustRightInd w:val="0"/>
              <w:jc w:val="center"/>
              <w:rPr>
                <w:kern w:val="0"/>
                <w:szCs w:val="21"/>
              </w:rPr>
            </w:pPr>
            <w:r w:rsidRPr="00FD0D8E">
              <w:rPr>
                <w:kern w:val="0"/>
                <w:szCs w:val="21"/>
              </w:rPr>
              <w:t>(0.951)</w:t>
            </w:r>
          </w:p>
        </w:tc>
        <w:tc>
          <w:tcPr>
            <w:tcW w:w="1297" w:type="pct"/>
            <w:tcBorders>
              <w:top w:val="nil"/>
              <w:left w:val="nil"/>
              <w:bottom w:val="nil"/>
              <w:right w:val="nil"/>
            </w:tcBorders>
          </w:tcPr>
          <w:p w14:paraId="205B49F9" w14:textId="77777777" w:rsidR="00BE7A0E" w:rsidRPr="00FD0D8E" w:rsidRDefault="00BE7A0E" w:rsidP="00C74EB6">
            <w:pPr>
              <w:autoSpaceDE w:val="0"/>
              <w:autoSpaceDN w:val="0"/>
              <w:adjustRightInd w:val="0"/>
              <w:jc w:val="center"/>
              <w:rPr>
                <w:kern w:val="0"/>
                <w:szCs w:val="21"/>
              </w:rPr>
            </w:pPr>
            <w:r w:rsidRPr="00FD0D8E">
              <w:rPr>
                <w:kern w:val="0"/>
                <w:szCs w:val="21"/>
              </w:rPr>
              <w:t>(0.081)</w:t>
            </w:r>
          </w:p>
        </w:tc>
        <w:tc>
          <w:tcPr>
            <w:tcW w:w="1297" w:type="pct"/>
            <w:tcBorders>
              <w:top w:val="nil"/>
              <w:left w:val="nil"/>
              <w:bottom w:val="nil"/>
              <w:right w:val="nil"/>
            </w:tcBorders>
          </w:tcPr>
          <w:p w14:paraId="693194D8" w14:textId="77777777" w:rsidR="00BE7A0E" w:rsidRPr="00FD0D8E" w:rsidRDefault="00BE7A0E" w:rsidP="00C74EB6">
            <w:pPr>
              <w:autoSpaceDE w:val="0"/>
              <w:autoSpaceDN w:val="0"/>
              <w:adjustRightInd w:val="0"/>
              <w:jc w:val="center"/>
              <w:rPr>
                <w:kern w:val="0"/>
                <w:szCs w:val="21"/>
              </w:rPr>
            </w:pPr>
            <w:r w:rsidRPr="00FD0D8E">
              <w:rPr>
                <w:kern w:val="0"/>
                <w:szCs w:val="21"/>
              </w:rPr>
              <w:t>(0.191)</w:t>
            </w:r>
          </w:p>
        </w:tc>
      </w:tr>
      <w:tr w:rsidR="00BE7A0E" w:rsidRPr="00FD0D8E" w14:paraId="3AF9F025" w14:textId="77777777" w:rsidTr="006B1109">
        <w:tc>
          <w:tcPr>
            <w:tcW w:w="1108" w:type="pct"/>
            <w:tcBorders>
              <w:top w:val="nil"/>
              <w:left w:val="nil"/>
              <w:bottom w:val="nil"/>
              <w:right w:val="nil"/>
            </w:tcBorders>
          </w:tcPr>
          <w:p w14:paraId="52DE4824" w14:textId="77777777" w:rsidR="00BE7A0E" w:rsidRPr="00FD0D8E" w:rsidRDefault="00BE7A0E" w:rsidP="00C74EB6">
            <w:pPr>
              <w:autoSpaceDE w:val="0"/>
              <w:autoSpaceDN w:val="0"/>
              <w:adjustRightInd w:val="0"/>
              <w:rPr>
                <w:kern w:val="0"/>
                <w:szCs w:val="21"/>
              </w:rPr>
            </w:pPr>
            <w:r w:rsidRPr="00FD0D8E">
              <w:rPr>
                <w:kern w:val="0"/>
                <w:szCs w:val="21"/>
              </w:rPr>
              <w:t>BH</w:t>
            </w:r>
          </w:p>
        </w:tc>
        <w:tc>
          <w:tcPr>
            <w:tcW w:w="1297" w:type="pct"/>
            <w:tcBorders>
              <w:top w:val="nil"/>
              <w:left w:val="nil"/>
              <w:bottom w:val="nil"/>
              <w:right w:val="nil"/>
            </w:tcBorders>
          </w:tcPr>
          <w:p w14:paraId="34827082" w14:textId="77777777" w:rsidR="00BE7A0E" w:rsidRPr="00FD0D8E" w:rsidRDefault="00BE7A0E" w:rsidP="00C74EB6">
            <w:pPr>
              <w:autoSpaceDE w:val="0"/>
              <w:autoSpaceDN w:val="0"/>
              <w:adjustRightInd w:val="0"/>
              <w:jc w:val="center"/>
              <w:rPr>
                <w:kern w:val="0"/>
                <w:szCs w:val="21"/>
              </w:rPr>
            </w:pPr>
            <w:r w:rsidRPr="00FD0D8E">
              <w:rPr>
                <w:kern w:val="0"/>
                <w:szCs w:val="21"/>
              </w:rPr>
              <w:t>-1.122</w:t>
            </w:r>
          </w:p>
        </w:tc>
        <w:tc>
          <w:tcPr>
            <w:tcW w:w="1297" w:type="pct"/>
            <w:tcBorders>
              <w:top w:val="nil"/>
              <w:left w:val="nil"/>
              <w:bottom w:val="nil"/>
              <w:right w:val="nil"/>
            </w:tcBorders>
          </w:tcPr>
          <w:p w14:paraId="0B23067E" w14:textId="77777777" w:rsidR="00BE7A0E" w:rsidRPr="00FD0D8E" w:rsidRDefault="00BE7A0E" w:rsidP="00C74EB6">
            <w:pPr>
              <w:autoSpaceDE w:val="0"/>
              <w:autoSpaceDN w:val="0"/>
              <w:adjustRightInd w:val="0"/>
              <w:jc w:val="center"/>
              <w:rPr>
                <w:kern w:val="0"/>
                <w:szCs w:val="21"/>
              </w:rPr>
            </w:pPr>
            <w:r w:rsidRPr="00FD0D8E">
              <w:rPr>
                <w:kern w:val="0"/>
                <w:szCs w:val="21"/>
              </w:rPr>
              <w:t>-0.118</w:t>
            </w:r>
          </w:p>
        </w:tc>
        <w:tc>
          <w:tcPr>
            <w:tcW w:w="1297" w:type="pct"/>
            <w:tcBorders>
              <w:top w:val="nil"/>
              <w:left w:val="nil"/>
              <w:bottom w:val="nil"/>
              <w:right w:val="nil"/>
            </w:tcBorders>
          </w:tcPr>
          <w:p w14:paraId="59BCCC64" w14:textId="77777777" w:rsidR="00BE7A0E" w:rsidRPr="00FD0D8E" w:rsidRDefault="00BE7A0E" w:rsidP="00C74EB6">
            <w:pPr>
              <w:autoSpaceDE w:val="0"/>
              <w:autoSpaceDN w:val="0"/>
              <w:adjustRightInd w:val="0"/>
              <w:jc w:val="center"/>
              <w:rPr>
                <w:kern w:val="0"/>
                <w:szCs w:val="21"/>
              </w:rPr>
            </w:pPr>
            <w:r w:rsidRPr="00FD0D8E">
              <w:rPr>
                <w:kern w:val="0"/>
                <w:szCs w:val="21"/>
              </w:rPr>
              <w:t>-0.208</w:t>
            </w:r>
            <w:r w:rsidRPr="00FD0D8E">
              <w:rPr>
                <w:kern w:val="0"/>
                <w:szCs w:val="21"/>
                <w:vertAlign w:val="superscript"/>
              </w:rPr>
              <w:t>**</w:t>
            </w:r>
          </w:p>
        </w:tc>
      </w:tr>
      <w:tr w:rsidR="00BE7A0E" w:rsidRPr="00FD0D8E" w14:paraId="6609AC56" w14:textId="77777777" w:rsidTr="006B1109">
        <w:tc>
          <w:tcPr>
            <w:tcW w:w="1108" w:type="pct"/>
            <w:tcBorders>
              <w:top w:val="nil"/>
              <w:left w:val="nil"/>
              <w:bottom w:val="nil"/>
              <w:right w:val="nil"/>
            </w:tcBorders>
          </w:tcPr>
          <w:p w14:paraId="217E90C9"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0F854497" w14:textId="77777777" w:rsidR="00BE7A0E" w:rsidRPr="00FD0D8E" w:rsidRDefault="00BE7A0E" w:rsidP="00C74EB6">
            <w:pPr>
              <w:autoSpaceDE w:val="0"/>
              <w:autoSpaceDN w:val="0"/>
              <w:adjustRightInd w:val="0"/>
              <w:jc w:val="center"/>
              <w:rPr>
                <w:kern w:val="0"/>
                <w:szCs w:val="21"/>
              </w:rPr>
            </w:pPr>
            <w:r w:rsidRPr="00FD0D8E">
              <w:rPr>
                <w:kern w:val="0"/>
                <w:szCs w:val="21"/>
              </w:rPr>
              <w:t>(0.776)</w:t>
            </w:r>
          </w:p>
        </w:tc>
        <w:tc>
          <w:tcPr>
            <w:tcW w:w="1297" w:type="pct"/>
            <w:tcBorders>
              <w:top w:val="nil"/>
              <w:left w:val="nil"/>
              <w:bottom w:val="nil"/>
              <w:right w:val="nil"/>
            </w:tcBorders>
          </w:tcPr>
          <w:p w14:paraId="06A518F8" w14:textId="77777777" w:rsidR="00BE7A0E" w:rsidRPr="00FD0D8E" w:rsidRDefault="00BE7A0E" w:rsidP="00C74EB6">
            <w:pPr>
              <w:autoSpaceDE w:val="0"/>
              <w:autoSpaceDN w:val="0"/>
              <w:adjustRightInd w:val="0"/>
              <w:jc w:val="center"/>
              <w:rPr>
                <w:kern w:val="0"/>
                <w:szCs w:val="21"/>
              </w:rPr>
            </w:pPr>
            <w:r w:rsidRPr="00FD0D8E">
              <w:rPr>
                <w:kern w:val="0"/>
                <w:szCs w:val="21"/>
              </w:rPr>
              <w:t>(0.079)</w:t>
            </w:r>
          </w:p>
        </w:tc>
        <w:tc>
          <w:tcPr>
            <w:tcW w:w="1297" w:type="pct"/>
            <w:tcBorders>
              <w:top w:val="nil"/>
              <w:left w:val="nil"/>
              <w:bottom w:val="nil"/>
              <w:right w:val="nil"/>
            </w:tcBorders>
          </w:tcPr>
          <w:p w14:paraId="06BB99D8" w14:textId="77777777" w:rsidR="00BE7A0E" w:rsidRPr="00FD0D8E" w:rsidRDefault="00BE7A0E" w:rsidP="00C74EB6">
            <w:pPr>
              <w:autoSpaceDE w:val="0"/>
              <w:autoSpaceDN w:val="0"/>
              <w:adjustRightInd w:val="0"/>
              <w:jc w:val="center"/>
              <w:rPr>
                <w:kern w:val="0"/>
                <w:szCs w:val="21"/>
              </w:rPr>
            </w:pPr>
            <w:r w:rsidRPr="00FD0D8E">
              <w:rPr>
                <w:kern w:val="0"/>
                <w:szCs w:val="21"/>
              </w:rPr>
              <w:t>(0.103)</w:t>
            </w:r>
          </w:p>
        </w:tc>
      </w:tr>
      <w:tr w:rsidR="00BE7A0E" w:rsidRPr="00FD0D8E" w14:paraId="32240C4F" w14:textId="77777777" w:rsidTr="006B1109">
        <w:tc>
          <w:tcPr>
            <w:tcW w:w="1108" w:type="pct"/>
            <w:tcBorders>
              <w:top w:val="nil"/>
              <w:left w:val="nil"/>
              <w:bottom w:val="nil"/>
              <w:right w:val="nil"/>
            </w:tcBorders>
          </w:tcPr>
          <w:p w14:paraId="1C255A47" w14:textId="77777777" w:rsidR="00BE7A0E" w:rsidRPr="00FD0D8E" w:rsidRDefault="00BE7A0E" w:rsidP="00C74EB6">
            <w:pPr>
              <w:autoSpaceDE w:val="0"/>
              <w:autoSpaceDN w:val="0"/>
              <w:adjustRightInd w:val="0"/>
              <w:rPr>
                <w:kern w:val="0"/>
                <w:szCs w:val="21"/>
              </w:rPr>
            </w:pPr>
            <w:r w:rsidRPr="00FD0D8E">
              <w:rPr>
                <w:kern w:val="0"/>
                <w:szCs w:val="21"/>
              </w:rPr>
              <w:t>Big4</w:t>
            </w:r>
          </w:p>
        </w:tc>
        <w:tc>
          <w:tcPr>
            <w:tcW w:w="1297" w:type="pct"/>
            <w:tcBorders>
              <w:top w:val="nil"/>
              <w:left w:val="nil"/>
              <w:bottom w:val="nil"/>
              <w:right w:val="nil"/>
            </w:tcBorders>
          </w:tcPr>
          <w:p w14:paraId="60051302" w14:textId="77777777" w:rsidR="00BE7A0E" w:rsidRPr="00FD0D8E" w:rsidRDefault="00BE7A0E" w:rsidP="00C74EB6">
            <w:pPr>
              <w:autoSpaceDE w:val="0"/>
              <w:autoSpaceDN w:val="0"/>
              <w:adjustRightInd w:val="0"/>
              <w:jc w:val="center"/>
              <w:rPr>
                <w:kern w:val="0"/>
                <w:szCs w:val="21"/>
              </w:rPr>
            </w:pPr>
            <w:r w:rsidRPr="00FD0D8E">
              <w:rPr>
                <w:kern w:val="0"/>
                <w:szCs w:val="21"/>
              </w:rPr>
              <w:t>-0.346</w:t>
            </w:r>
          </w:p>
        </w:tc>
        <w:tc>
          <w:tcPr>
            <w:tcW w:w="1297" w:type="pct"/>
            <w:tcBorders>
              <w:top w:val="nil"/>
              <w:left w:val="nil"/>
              <w:bottom w:val="nil"/>
              <w:right w:val="nil"/>
            </w:tcBorders>
          </w:tcPr>
          <w:p w14:paraId="3DB71CED" w14:textId="77777777" w:rsidR="00BE7A0E" w:rsidRPr="00FD0D8E" w:rsidRDefault="00BE7A0E" w:rsidP="00C74EB6">
            <w:pPr>
              <w:autoSpaceDE w:val="0"/>
              <w:autoSpaceDN w:val="0"/>
              <w:adjustRightInd w:val="0"/>
              <w:jc w:val="center"/>
              <w:rPr>
                <w:kern w:val="0"/>
                <w:szCs w:val="21"/>
              </w:rPr>
            </w:pPr>
            <w:r w:rsidRPr="00FD0D8E">
              <w:rPr>
                <w:kern w:val="0"/>
                <w:szCs w:val="21"/>
              </w:rPr>
              <w:t>-0.061</w:t>
            </w:r>
          </w:p>
        </w:tc>
        <w:tc>
          <w:tcPr>
            <w:tcW w:w="1297" w:type="pct"/>
            <w:tcBorders>
              <w:top w:val="nil"/>
              <w:left w:val="nil"/>
              <w:bottom w:val="nil"/>
              <w:right w:val="nil"/>
            </w:tcBorders>
          </w:tcPr>
          <w:p w14:paraId="34DD8AD6" w14:textId="77777777" w:rsidR="00BE7A0E" w:rsidRPr="00FD0D8E" w:rsidRDefault="00BE7A0E" w:rsidP="00C74EB6">
            <w:pPr>
              <w:autoSpaceDE w:val="0"/>
              <w:autoSpaceDN w:val="0"/>
              <w:adjustRightInd w:val="0"/>
              <w:jc w:val="center"/>
              <w:rPr>
                <w:kern w:val="0"/>
                <w:szCs w:val="21"/>
              </w:rPr>
            </w:pPr>
            <w:r w:rsidRPr="00FD0D8E">
              <w:rPr>
                <w:kern w:val="0"/>
                <w:szCs w:val="21"/>
              </w:rPr>
              <w:t>-0.174</w:t>
            </w:r>
            <w:r w:rsidRPr="00FD0D8E">
              <w:rPr>
                <w:kern w:val="0"/>
                <w:szCs w:val="21"/>
                <w:vertAlign w:val="superscript"/>
              </w:rPr>
              <w:t>***</w:t>
            </w:r>
          </w:p>
        </w:tc>
      </w:tr>
      <w:tr w:rsidR="00BE7A0E" w:rsidRPr="00FD0D8E" w14:paraId="043182B1" w14:textId="77777777" w:rsidTr="006B1109">
        <w:tc>
          <w:tcPr>
            <w:tcW w:w="1108" w:type="pct"/>
            <w:tcBorders>
              <w:top w:val="nil"/>
              <w:left w:val="nil"/>
              <w:bottom w:val="nil"/>
              <w:right w:val="nil"/>
            </w:tcBorders>
          </w:tcPr>
          <w:p w14:paraId="2BF90100"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0AA82FB9" w14:textId="77777777" w:rsidR="00BE7A0E" w:rsidRPr="00FD0D8E" w:rsidRDefault="00BE7A0E" w:rsidP="00C74EB6">
            <w:pPr>
              <w:autoSpaceDE w:val="0"/>
              <w:autoSpaceDN w:val="0"/>
              <w:adjustRightInd w:val="0"/>
              <w:jc w:val="center"/>
              <w:rPr>
                <w:kern w:val="0"/>
                <w:szCs w:val="21"/>
              </w:rPr>
            </w:pPr>
            <w:r w:rsidRPr="00FD0D8E">
              <w:rPr>
                <w:kern w:val="0"/>
                <w:szCs w:val="21"/>
              </w:rPr>
              <w:t>(0.520)</w:t>
            </w:r>
          </w:p>
        </w:tc>
        <w:tc>
          <w:tcPr>
            <w:tcW w:w="1297" w:type="pct"/>
            <w:tcBorders>
              <w:top w:val="nil"/>
              <w:left w:val="nil"/>
              <w:bottom w:val="nil"/>
              <w:right w:val="nil"/>
            </w:tcBorders>
          </w:tcPr>
          <w:p w14:paraId="713B9410" w14:textId="77777777" w:rsidR="00BE7A0E" w:rsidRPr="00FD0D8E" w:rsidRDefault="00BE7A0E" w:rsidP="00C74EB6">
            <w:pPr>
              <w:autoSpaceDE w:val="0"/>
              <w:autoSpaceDN w:val="0"/>
              <w:adjustRightInd w:val="0"/>
              <w:jc w:val="center"/>
              <w:rPr>
                <w:kern w:val="0"/>
                <w:szCs w:val="21"/>
              </w:rPr>
            </w:pPr>
            <w:r w:rsidRPr="00FD0D8E">
              <w:rPr>
                <w:kern w:val="0"/>
                <w:szCs w:val="21"/>
              </w:rPr>
              <w:t>(0.039)</w:t>
            </w:r>
          </w:p>
        </w:tc>
        <w:tc>
          <w:tcPr>
            <w:tcW w:w="1297" w:type="pct"/>
            <w:tcBorders>
              <w:top w:val="nil"/>
              <w:left w:val="nil"/>
              <w:bottom w:val="nil"/>
              <w:right w:val="nil"/>
            </w:tcBorders>
          </w:tcPr>
          <w:p w14:paraId="15AC0B13" w14:textId="77777777" w:rsidR="00BE7A0E" w:rsidRPr="00FD0D8E" w:rsidRDefault="00BE7A0E" w:rsidP="00C74EB6">
            <w:pPr>
              <w:autoSpaceDE w:val="0"/>
              <w:autoSpaceDN w:val="0"/>
              <w:adjustRightInd w:val="0"/>
              <w:jc w:val="center"/>
              <w:rPr>
                <w:kern w:val="0"/>
                <w:szCs w:val="21"/>
              </w:rPr>
            </w:pPr>
            <w:r w:rsidRPr="00FD0D8E">
              <w:rPr>
                <w:kern w:val="0"/>
                <w:szCs w:val="21"/>
              </w:rPr>
              <w:t>(0.064)</w:t>
            </w:r>
          </w:p>
        </w:tc>
      </w:tr>
      <w:tr w:rsidR="00BE7A0E" w:rsidRPr="00FD0D8E" w14:paraId="1E73528D" w14:textId="77777777" w:rsidTr="006B1109">
        <w:tc>
          <w:tcPr>
            <w:tcW w:w="1108" w:type="pct"/>
            <w:tcBorders>
              <w:top w:val="nil"/>
              <w:left w:val="nil"/>
              <w:bottom w:val="nil"/>
              <w:right w:val="nil"/>
            </w:tcBorders>
          </w:tcPr>
          <w:p w14:paraId="7A6F68E9" w14:textId="77777777" w:rsidR="00BE7A0E" w:rsidRPr="00FD0D8E" w:rsidRDefault="00BE7A0E" w:rsidP="00C74EB6">
            <w:pPr>
              <w:autoSpaceDE w:val="0"/>
              <w:autoSpaceDN w:val="0"/>
              <w:adjustRightInd w:val="0"/>
              <w:rPr>
                <w:kern w:val="0"/>
                <w:szCs w:val="21"/>
              </w:rPr>
            </w:pPr>
            <w:r w:rsidRPr="00FD0D8E">
              <w:rPr>
                <w:kern w:val="0"/>
                <w:szCs w:val="21"/>
              </w:rPr>
              <w:t>Lev</w:t>
            </w:r>
          </w:p>
        </w:tc>
        <w:tc>
          <w:tcPr>
            <w:tcW w:w="1297" w:type="pct"/>
            <w:tcBorders>
              <w:top w:val="nil"/>
              <w:left w:val="nil"/>
              <w:bottom w:val="nil"/>
              <w:right w:val="nil"/>
            </w:tcBorders>
          </w:tcPr>
          <w:p w14:paraId="1F189DB8" w14:textId="77777777" w:rsidR="00BE7A0E" w:rsidRPr="00FD0D8E" w:rsidRDefault="00BE7A0E" w:rsidP="00C74EB6">
            <w:pPr>
              <w:autoSpaceDE w:val="0"/>
              <w:autoSpaceDN w:val="0"/>
              <w:adjustRightInd w:val="0"/>
              <w:jc w:val="center"/>
              <w:rPr>
                <w:kern w:val="0"/>
                <w:szCs w:val="21"/>
              </w:rPr>
            </w:pPr>
            <w:r w:rsidRPr="00FD0D8E">
              <w:rPr>
                <w:kern w:val="0"/>
                <w:szCs w:val="21"/>
              </w:rPr>
              <w:t>-3.142</w:t>
            </w:r>
            <w:r w:rsidRPr="00FD0D8E">
              <w:rPr>
                <w:kern w:val="0"/>
                <w:szCs w:val="21"/>
                <w:vertAlign w:val="superscript"/>
              </w:rPr>
              <w:t>***</w:t>
            </w:r>
          </w:p>
        </w:tc>
        <w:tc>
          <w:tcPr>
            <w:tcW w:w="1297" w:type="pct"/>
            <w:tcBorders>
              <w:top w:val="nil"/>
              <w:left w:val="nil"/>
              <w:bottom w:val="nil"/>
              <w:right w:val="nil"/>
            </w:tcBorders>
          </w:tcPr>
          <w:p w14:paraId="0E67650D" w14:textId="77777777" w:rsidR="00BE7A0E" w:rsidRPr="00FD0D8E" w:rsidRDefault="00BE7A0E" w:rsidP="00C74EB6">
            <w:pPr>
              <w:autoSpaceDE w:val="0"/>
              <w:autoSpaceDN w:val="0"/>
              <w:adjustRightInd w:val="0"/>
              <w:jc w:val="center"/>
              <w:rPr>
                <w:kern w:val="0"/>
                <w:szCs w:val="21"/>
              </w:rPr>
            </w:pPr>
            <w:r w:rsidRPr="00FD0D8E">
              <w:rPr>
                <w:kern w:val="0"/>
                <w:szCs w:val="21"/>
              </w:rPr>
              <w:t>-0.255</w:t>
            </w:r>
            <w:r w:rsidRPr="00FD0D8E">
              <w:rPr>
                <w:kern w:val="0"/>
                <w:szCs w:val="21"/>
                <w:vertAlign w:val="superscript"/>
              </w:rPr>
              <w:t>***</w:t>
            </w:r>
          </w:p>
        </w:tc>
        <w:tc>
          <w:tcPr>
            <w:tcW w:w="1297" w:type="pct"/>
            <w:tcBorders>
              <w:top w:val="nil"/>
              <w:left w:val="nil"/>
              <w:bottom w:val="nil"/>
              <w:right w:val="nil"/>
            </w:tcBorders>
          </w:tcPr>
          <w:p w14:paraId="2F9C68F5" w14:textId="77777777" w:rsidR="00BE7A0E" w:rsidRPr="00FD0D8E" w:rsidRDefault="00BE7A0E" w:rsidP="00C74EB6">
            <w:pPr>
              <w:autoSpaceDE w:val="0"/>
              <w:autoSpaceDN w:val="0"/>
              <w:adjustRightInd w:val="0"/>
              <w:jc w:val="center"/>
              <w:rPr>
                <w:kern w:val="0"/>
                <w:szCs w:val="21"/>
              </w:rPr>
            </w:pPr>
            <w:r w:rsidRPr="00FD0D8E">
              <w:rPr>
                <w:kern w:val="0"/>
                <w:szCs w:val="21"/>
              </w:rPr>
              <w:t>0.193</w:t>
            </w:r>
            <w:r w:rsidRPr="00FD0D8E">
              <w:rPr>
                <w:kern w:val="0"/>
                <w:szCs w:val="21"/>
                <w:vertAlign w:val="superscript"/>
              </w:rPr>
              <w:t>*</w:t>
            </w:r>
          </w:p>
        </w:tc>
      </w:tr>
      <w:tr w:rsidR="00BE7A0E" w:rsidRPr="00FD0D8E" w14:paraId="3CA5E0D5" w14:textId="77777777" w:rsidTr="006B1109">
        <w:tc>
          <w:tcPr>
            <w:tcW w:w="1108" w:type="pct"/>
            <w:tcBorders>
              <w:top w:val="nil"/>
              <w:left w:val="nil"/>
              <w:bottom w:val="nil"/>
              <w:right w:val="nil"/>
            </w:tcBorders>
          </w:tcPr>
          <w:p w14:paraId="4932B301"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390A07A7" w14:textId="77777777" w:rsidR="00BE7A0E" w:rsidRPr="00FD0D8E" w:rsidRDefault="00BE7A0E" w:rsidP="00C74EB6">
            <w:pPr>
              <w:autoSpaceDE w:val="0"/>
              <w:autoSpaceDN w:val="0"/>
              <w:adjustRightInd w:val="0"/>
              <w:jc w:val="center"/>
              <w:rPr>
                <w:kern w:val="0"/>
                <w:szCs w:val="21"/>
              </w:rPr>
            </w:pPr>
            <w:r w:rsidRPr="00FD0D8E">
              <w:rPr>
                <w:kern w:val="0"/>
                <w:szCs w:val="21"/>
              </w:rPr>
              <w:t>(0.548)</w:t>
            </w:r>
          </w:p>
        </w:tc>
        <w:tc>
          <w:tcPr>
            <w:tcW w:w="1297" w:type="pct"/>
            <w:tcBorders>
              <w:top w:val="nil"/>
              <w:left w:val="nil"/>
              <w:bottom w:val="nil"/>
              <w:right w:val="nil"/>
            </w:tcBorders>
          </w:tcPr>
          <w:p w14:paraId="50D466C9" w14:textId="77777777" w:rsidR="00BE7A0E" w:rsidRPr="00FD0D8E" w:rsidRDefault="00BE7A0E" w:rsidP="00C74EB6">
            <w:pPr>
              <w:autoSpaceDE w:val="0"/>
              <w:autoSpaceDN w:val="0"/>
              <w:adjustRightInd w:val="0"/>
              <w:jc w:val="center"/>
              <w:rPr>
                <w:kern w:val="0"/>
                <w:szCs w:val="21"/>
              </w:rPr>
            </w:pPr>
            <w:r w:rsidRPr="00FD0D8E">
              <w:rPr>
                <w:kern w:val="0"/>
                <w:szCs w:val="21"/>
              </w:rPr>
              <w:t>(0.051)</w:t>
            </w:r>
          </w:p>
        </w:tc>
        <w:tc>
          <w:tcPr>
            <w:tcW w:w="1297" w:type="pct"/>
            <w:tcBorders>
              <w:top w:val="nil"/>
              <w:left w:val="nil"/>
              <w:bottom w:val="nil"/>
              <w:right w:val="nil"/>
            </w:tcBorders>
          </w:tcPr>
          <w:p w14:paraId="7F78140B" w14:textId="77777777" w:rsidR="00BE7A0E" w:rsidRPr="00FD0D8E" w:rsidRDefault="00BE7A0E" w:rsidP="00C74EB6">
            <w:pPr>
              <w:autoSpaceDE w:val="0"/>
              <w:autoSpaceDN w:val="0"/>
              <w:adjustRightInd w:val="0"/>
              <w:jc w:val="center"/>
              <w:rPr>
                <w:kern w:val="0"/>
                <w:szCs w:val="21"/>
              </w:rPr>
            </w:pPr>
            <w:r w:rsidRPr="00FD0D8E">
              <w:rPr>
                <w:kern w:val="0"/>
                <w:szCs w:val="21"/>
              </w:rPr>
              <w:t>(0.105)</w:t>
            </w:r>
          </w:p>
        </w:tc>
      </w:tr>
      <w:tr w:rsidR="00BE7A0E" w:rsidRPr="00FD0D8E" w14:paraId="2FF03DA7" w14:textId="77777777" w:rsidTr="006B1109">
        <w:tc>
          <w:tcPr>
            <w:tcW w:w="1108" w:type="pct"/>
            <w:tcBorders>
              <w:top w:val="nil"/>
              <w:left w:val="nil"/>
              <w:bottom w:val="nil"/>
              <w:right w:val="nil"/>
            </w:tcBorders>
          </w:tcPr>
          <w:p w14:paraId="42AF2884" w14:textId="77777777" w:rsidR="00BE7A0E" w:rsidRPr="00FD0D8E" w:rsidRDefault="00BE7A0E" w:rsidP="00C74EB6">
            <w:pPr>
              <w:autoSpaceDE w:val="0"/>
              <w:autoSpaceDN w:val="0"/>
              <w:adjustRightInd w:val="0"/>
              <w:rPr>
                <w:kern w:val="0"/>
                <w:szCs w:val="21"/>
              </w:rPr>
            </w:pPr>
            <w:r w:rsidRPr="00FD0D8E">
              <w:rPr>
                <w:kern w:val="0"/>
                <w:szCs w:val="21"/>
              </w:rPr>
              <w:t>FTA</w:t>
            </w:r>
          </w:p>
        </w:tc>
        <w:tc>
          <w:tcPr>
            <w:tcW w:w="1297" w:type="pct"/>
            <w:tcBorders>
              <w:top w:val="nil"/>
              <w:left w:val="nil"/>
              <w:bottom w:val="nil"/>
              <w:right w:val="nil"/>
            </w:tcBorders>
          </w:tcPr>
          <w:p w14:paraId="54B22153" w14:textId="77777777" w:rsidR="00BE7A0E" w:rsidRPr="00FD0D8E" w:rsidRDefault="00BE7A0E" w:rsidP="00C74EB6">
            <w:pPr>
              <w:autoSpaceDE w:val="0"/>
              <w:autoSpaceDN w:val="0"/>
              <w:adjustRightInd w:val="0"/>
              <w:jc w:val="center"/>
              <w:rPr>
                <w:kern w:val="0"/>
                <w:szCs w:val="21"/>
              </w:rPr>
            </w:pPr>
            <w:r w:rsidRPr="00FD0D8E">
              <w:rPr>
                <w:kern w:val="0"/>
                <w:szCs w:val="21"/>
              </w:rPr>
              <w:t>-0.792</w:t>
            </w:r>
          </w:p>
        </w:tc>
        <w:tc>
          <w:tcPr>
            <w:tcW w:w="1297" w:type="pct"/>
            <w:tcBorders>
              <w:top w:val="nil"/>
              <w:left w:val="nil"/>
              <w:bottom w:val="nil"/>
              <w:right w:val="nil"/>
            </w:tcBorders>
          </w:tcPr>
          <w:p w14:paraId="50B55108" w14:textId="77777777" w:rsidR="00BE7A0E" w:rsidRPr="00FD0D8E" w:rsidRDefault="00BE7A0E" w:rsidP="00C74EB6">
            <w:pPr>
              <w:autoSpaceDE w:val="0"/>
              <w:autoSpaceDN w:val="0"/>
              <w:adjustRightInd w:val="0"/>
              <w:jc w:val="center"/>
              <w:rPr>
                <w:kern w:val="0"/>
                <w:szCs w:val="21"/>
              </w:rPr>
            </w:pPr>
            <w:r w:rsidRPr="00FD0D8E">
              <w:rPr>
                <w:kern w:val="0"/>
                <w:szCs w:val="21"/>
              </w:rPr>
              <w:t>-0.118</w:t>
            </w:r>
            <w:r w:rsidRPr="00FD0D8E">
              <w:rPr>
                <w:kern w:val="0"/>
                <w:szCs w:val="21"/>
                <w:vertAlign w:val="superscript"/>
              </w:rPr>
              <w:t>*</w:t>
            </w:r>
          </w:p>
        </w:tc>
        <w:tc>
          <w:tcPr>
            <w:tcW w:w="1297" w:type="pct"/>
            <w:tcBorders>
              <w:top w:val="nil"/>
              <w:left w:val="nil"/>
              <w:bottom w:val="nil"/>
              <w:right w:val="nil"/>
            </w:tcBorders>
          </w:tcPr>
          <w:p w14:paraId="56F27E9D" w14:textId="77777777" w:rsidR="00BE7A0E" w:rsidRPr="00FD0D8E" w:rsidRDefault="00BE7A0E" w:rsidP="00C74EB6">
            <w:pPr>
              <w:autoSpaceDE w:val="0"/>
              <w:autoSpaceDN w:val="0"/>
              <w:adjustRightInd w:val="0"/>
              <w:jc w:val="center"/>
              <w:rPr>
                <w:kern w:val="0"/>
                <w:szCs w:val="21"/>
              </w:rPr>
            </w:pPr>
            <w:r w:rsidRPr="00FD0D8E">
              <w:rPr>
                <w:kern w:val="0"/>
                <w:szCs w:val="21"/>
              </w:rPr>
              <w:t>-0.581</w:t>
            </w:r>
            <w:r w:rsidRPr="00FD0D8E">
              <w:rPr>
                <w:kern w:val="0"/>
                <w:szCs w:val="21"/>
                <w:vertAlign w:val="superscript"/>
              </w:rPr>
              <w:t>***</w:t>
            </w:r>
          </w:p>
        </w:tc>
      </w:tr>
      <w:tr w:rsidR="00BE7A0E" w:rsidRPr="00FD0D8E" w14:paraId="60EBE5F0" w14:textId="77777777" w:rsidTr="006B1109">
        <w:tc>
          <w:tcPr>
            <w:tcW w:w="1108" w:type="pct"/>
            <w:tcBorders>
              <w:top w:val="nil"/>
              <w:left w:val="nil"/>
              <w:bottom w:val="nil"/>
              <w:right w:val="nil"/>
            </w:tcBorders>
          </w:tcPr>
          <w:p w14:paraId="2E7A09BC"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1AD43183" w14:textId="77777777" w:rsidR="00BE7A0E" w:rsidRPr="00FD0D8E" w:rsidRDefault="00BE7A0E" w:rsidP="00C74EB6">
            <w:pPr>
              <w:autoSpaceDE w:val="0"/>
              <w:autoSpaceDN w:val="0"/>
              <w:adjustRightInd w:val="0"/>
              <w:jc w:val="center"/>
              <w:rPr>
                <w:kern w:val="0"/>
                <w:szCs w:val="21"/>
              </w:rPr>
            </w:pPr>
            <w:r w:rsidRPr="00FD0D8E">
              <w:rPr>
                <w:kern w:val="0"/>
                <w:szCs w:val="21"/>
              </w:rPr>
              <w:t>(0.682)</w:t>
            </w:r>
          </w:p>
        </w:tc>
        <w:tc>
          <w:tcPr>
            <w:tcW w:w="1297" w:type="pct"/>
            <w:tcBorders>
              <w:top w:val="nil"/>
              <w:left w:val="nil"/>
              <w:bottom w:val="nil"/>
              <w:right w:val="nil"/>
            </w:tcBorders>
          </w:tcPr>
          <w:p w14:paraId="597C3B9D" w14:textId="77777777" w:rsidR="00BE7A0E" w:rsidRPr="00FD0D8E" w:rsidRDefault="00BE7A0E" w:rsidP="00C74EB6">
            <w:pPr>
              <w:autoSpaceDE w:val="0"/>
              <w:autoSpaceDN w:val="0"/>
              <w:adjustRightInd w:val="0"/>
              <w:jc w:val="center"/>
              <w:rPr>
                <w:kern w:val="0"/>
                <w:szCs w:val="21"/>
              </w:rPr>
            </w:pPr>
            <w:r w:rsidRPr="00FD0D8E">
              <w:rPr>
                <w:kern w:val="0"/>
                <w:szCs w:val="21"/>
              </w:rPr>
              <w:t>(0.061)</w:t>
            </w:r>
          </w:p>
        </w:tc>
        <w:tc>
          <w:tcPr>
            <w:tcW w:w="1297" w:type="pct"/>
            <w:tcBorders>
              <w:top w:val="nil"/>
              <w:left w:val="nil"/>
              <w:bottom w:val="nil"/>
              <w:right w:val="nil"/>
            </w:tcBorders>
          </w:tcPr>
          <w:p w14:paraId="0E07EBC0" w14:textId="77777777" w:rsidR="00BE7A0E" w:rsidRPr="00FD0D8E" w:rsidRDefault="00BE7A0E" w:rsidP="00C74EB6">
            <w:pPr>
              <w:autoSpaceDE w:val="0"/>
              <w:autoSpaceDN w:val="0"/>
              <w:adjustRightInd w:val="0"/>
              <w:jc w:val="center"/>
              <w:rPr>
                <w:kern w:val="0"/>
                <w:szCs w:val="21"/>
              </w:rPr>
            </w:pPr>
            <w:r w:rsidRPr="00FD0D8E">
              <w:rPr>
                <w:kern w:val="0"/>
                <w:szCs w:val="21"/>
              </w:rPr>
              <w:t>(0.120)</w:t>
            </w:r>
          </w:p>
        </w:tc>
      </w:tr>
      <w:tr w:rsidR="00BE7A0E" w:rsidRPr="00FD0D8E" w14:paraId="3D038E94" w14:textId="77777777" w:rsidTr="006B1109">
        <w:tc>
          <w:tcPr>
            <w:tcW w:w="1108" w:type="pct"/>
            <w:tcBorders>
              <w:top w:val="nil"/>
              <w:left w:val="nil"/>
              <w:bottom w:val="nil"/>
              <w:right w:val="nil"/>
            </w:tcBorders>
          </w:tcPr>
          <w:p w14:paraId="54E10313" w14:textId="77777777" w:rsidR="00BE7A0E" w:rsidRPr="00FD0D8E" w:rsidRDefault="00BE7A0E" w:rsidP="00C74EB6">
            <w:pPr>
              <w:autoSpaceDE w:val="0"/>
              <w:autoSpaceDN w:val="0"/>
              <w:adjustRightInd w:val="0"/>
              <w:rPr>
                <w:kern w:val="0"/>
                <w:szCs w:val="21"/>
              </w:rPr>
            </w:pPr>
            <w:r w:rsidRPr="00FD0D8E">
              <w:rPr>
                <w:kern w:val="0"/>
                <w:szCs w:val="21"/>
              </w:rPr>
              <w:t>Cash</w:t>
            </w:r>
          </w:p>
        </w:tc>
        <w:tc>
          <w:tcPr>
            <w:tcW w:w="1297" w:type="pct"/>
            <w:tcBorders>
              <w:top w:val="nil"/>
              <w:left w:val="nil"/>
              <w:bottom w:val="nil"/>
              <w:right w:val="nil"/>
            </w:tcBorders>
          </w:tcPr>
          <w:p w14:paraId="573FD667" w14:textId="77777777" w:rsidR="00BE7A0E" w:rsidRPr="00FD0D8E" w:rsidRDefault="00BE7A0E" w:rsidP="00C74EB6">
            <w:pPr>
              <w:autoSpaceDE w:val="0"/>
              <w:autoSpaceDN w:val="0"/>
              <w:adjustRightInd w:val="0"/>
              <w:jc w:val="center"/>
              <w:rPr>
                <w:kern w:val="0"/>
                <w:szCs w:val="21"/>
              </w:rPr>
            </w:pPr>
            <w:r w:rsidRPr="00FD0D8E">
              <w:rPr>
                <w:kern w:val="0"/>
                <w:szCs w:val="21"/>
              </w:rPr>
              <w:t>-2.213</w:t>
            </w:r>
            <w:r w:rsidRPr="00FD0D8E">
              <w:rPr>
                <w:kern w:val="0"/>
                <w:szCs w:val="21"/>
                <w:vertAlign w:val="superscript"/>
              </w:rPr>
              <w:t>***</w:t>
            </w:r>
          </w:p>
        </w:tc>
        <w:tc>
          <w:tcPr>
            <w:tcW w:w="1297" w:type="pct"/>
            <w:tcBorders>
              <w:top w:val="nil"/>
              <w:left w:val="nil"/>
              <w:bottom w:val="nil"/>
              <w:right w:val="nil"/>
            </w:tcBorders>
          </w:tcPr>
          <w:p w14:paraId="471119D7" w14:textId="77777777" w:rsidR="00BE7A0E" w:rsidRPr="00FD0D8E" w:rsidRDefault="00BE7A0E" w:rsidP="00C74EB6">
            <w:pPr>
              <w:autoSpaceDE w:val="0"/>
              <w:autoSpaceDN w:val="0"/>
              <w:adjustRightInd w:val="0"/>
              <w:jc w:val="center"/>
              <w:rPr>
                <w:kern w:val="0"/>
                <w:szCs w:val="21"/>
              </w:rPr>
            </w:pPr>
            <w:r w:rsidRPr="00FD0D8E">
              <w:rPr>
                <w:kern w:val="0"/>
                <w:szCs w:val="21"/>
              </w:rPr>
              <w:t>-0.161</w:t>
            </w:r>
            <w:r w:rsidRPr="00FD0D8E">
              <w:rPr>
                <w:kern w:val="0"/>
                <w:szCs w:val="21"/>
                <w:vertAlign w:val="superscript"/>
              </w:rPr>
              <w:t>***</w:t>
            </w:r>
          </w:p>
        </w:tc>
        <w:tc>
          <w:tcPr>
            <w:tcW w:w="1297" w:type="pct"/>
            <w:tcBorders>
              <w:top w:val="nil"/>
              <w:left w:val="nil"/>
              <w:bottom w:val="nil"/>
              <w:right w:val="nil"/>
            </w:tcBorders>
          </w:tcPr>
          <w:p w14:paraId="76192093" w14:textId="77777777" w:rsidR="00BE7A0E" w:rsidRPr="00FD0D8E" w:rsidRDefault="00BE7A0E" w:rsidP="00C74EB6">
            <w:pPr>
              <w:autoSpaceDE w:val="0"/>
              <w:autoSpaceDN w:val="0"/>
              <w:adjustRightInd w:val="0"/>
              <w:jc w:val="center"/>
              <w:rPr>
                <w:kern w:val="0"/>
                <w:szCs w:val="21"/>
              </w:rPr>
            </w:pPr>
            <w:r w:rsidRPr="00FD0D8E">
              <w:rPr>
                <w:kern w:val="0"/>
                <w:szCs w:val="21"/>
              </w:rPr>
              <w:t>-0.186</w:t>
            </w:r>
            <w:r w:rsidRPr="00FD0D8E">
              <w:rPr>
                <w:kern w:val="0"/>
                <w:szCs w:val="21"/>
                <w:vertAlign w:val="superscript"/>
              </w:rPr>
              <w:t>**</w:t>
            </w:r>
          </w:p>
        </w:tc>
      </w:tr>
      <w:tr w:rsidR="00BE7A0E" w:rsidRPr="00FD0D8E" w14:paraId="60638044" w14:textId="77777777" w:rsidTr="006B1109">
        <w:tc>
          <w:tcPr>
            <w:tcW w:w="1108" w:type="pct"/>
            <w:tcBorders>
              <w:top w:val="nil"/>
              <w:left w:val="nil"/>
              <w:bottom w:val="nil"/>
              <w:right w:val="nil"/>
            </w:tcBorders>
          </w:tcPr>
          <w:p w14:paraId="4C81A240"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243A4CF7" w14:textId="77777777" w:rsidR="00BE7A0E" w:rsidRPr="00FD0D8E" w:rsidRDefault="00BE7A0E" w:rsidP="00C74EB6">
            <w:pPr>
              <w:autoSpaceDE w:val="0"/>
              <w:autoSpaceDN w:val="0"/>
              <w:adjustRightInd w:val="0"/>
              <w:jc w:val="center"/>
              <w:rPr>
                <w:kern w:val="0"/>
                <w:szCs w:val="21"/>
              </w:rPr>
            </w:pPr>
            <w:r w:rsidRPr="00FD0D8E">
              <w:rPr>
                <w:kern w:val="0"/>
                <w:szCs w:val="21"/>
              </w:rPr>
              <w:t>(0.532)</w:t>
            </w:r>
          </w:p>
        </w:tc>
        <w:tc>
          <w:tcPr>
            <w:tcW w:w="1297" w:type="pct"/>
            <w:tcBorders>
              <w:top w:val="nil"/>
              <w:left w:val="nil"/>
              <w:bottom w:val="nil"/>
              <w:right w:val="nil"/>
            </w:tcBorders>
          </w:tcPr>
          <w:p w14:paraId="6BA75FCB" w14:textId="77777777" w:rsidR="00BE7A0E" w:rsidRPr="00FD0D8E" w:rsidRDefault="00BE7A0E" w:rsidP="00C74EB6">
            <w:pPr>
              <w:autoSpaceDE w:val="0"/>
              <w:autoSpaceDN w:val="0"/>
              <w:adjustRightInd w:val="0"/>
              <w:jc w:val="center"/>
              <w:rPr>
                <w:kern w:val="0"/>
                <w:szCs w:val="21"/>
              </w:rPr>
            </w:pPr>
            <w:r w:rsidRPr="00FD0D8E">
              <w:rPr>
                <w:kern w:val="0"/>
                <w:szCs w:val="21"/>
              </w:rPr>
              <w:t>(0.049)</w:t>
            </w:r>
          </w:p>
        </w:tc>
        <w:tc>
          <w:tcPr>
            <w:tcW w:w="1297" w:type="pct"/>
            <w:tcBorders>
              <w:top w:val="nil"/>
              <w:left w:val="nil"/>
              <w:bottom w:val="nil"/>
              <w:right w:val="nil"/>
            </w:tcBorders>
          </w:tcPr>
          <w:p w14:paraId="0F12D434" w14:textId="77777777" w:rsidR="00BE7A0E" w:rsidRPr="00FD0D8E" w:rsidRDefault="00BE7A0E" w:rsidP="00C74EB6">
            <w:pPr>
              <w:autoSpaceDE w:val="0"/>
              <w:autoSpaceDN w:val="0"/>
              <w:adjustRightInd w:val="0"/>
              <w:jc w:val="center"/>
              <w:rPr>
                <w:kern w:val="0"/>
                <w:szCs w:val="21"/>
              </w:rPr>
            </w:pPr>
            <w:r w:rsidRPr="00FD0D8E">
              <w:rPr>
                <w:kern w:val="0"/>
                <w:szCs w:val="21"/>
              </w:rPr>
              <w:t>(0.091)</w:t>
            </w:r>
          </w:p>
        </w:tc>
      </w:tr>
      <w:tr w:rsidR="00BE7A0E" w:rsidRPr="00FD0D8E" w14:paraId="3BED5CB9" w14:textId="77777777" w:rsidTr="006B1109">
        <w:tc>
          <w:tcPr>
            <w:tcW w:w="1108" w:type="pct"/>
            <w:tcBorders>
              <w:top w:val="nil"/>
              <w:left w:val="nil"/>
              <w:bottom w:val="nil"/>
              <w:right w:val="nil"/>
            </w:tcBorders>
          </w:tcPr>
          <w:p w14:paraId="643CA571" w14:textId="77777777" w:rsidR="00BE7A0E" w:rsidRPr="00FD0D8E" w:rsidRDefault="00BE7A0E" w:rsidP="00C74EB6">
            <w:pPr>
              <w:autoSpaceDE w:val="0"/>
              <w:autoSpaceDN w:val="0"/>
              <w:adjustRightInd w:val="0"/>
              <w:rPr>
                <w:kern w:val="0"/>
                <w:szCs w:val="21"/>
              </w:rPr>
            </w:pPr>
            <w:r w:rsidRPr="00FD0D8E">
              <w:rPr>
                <w:kern w:val="0"/>
                <w:szCs w:val="21"/>
              </w:rPr>
              <w:t>Volatility</w:t>
            </w:r>
          </w:p>
        </w:tc>
        <w:tc>
          <w:tcPr>
            <w:tcW w:w="1297" w:type="pct"/>
            <w:tcBorders>
              <w:top w:val="nil"/>
              <w:left w:val="nil"/>
              <w:bottom w:val="nil"/>
              <w:right w:val="nil"/>
            </w:tcBorders>
          </w:tcPr>
          <w:p w14:paraId="05A3B9BE" w14:textId="77777777" w:rsidR="00BE7A0E" w:rsidRPr="00FD0D8E" w:rsidRDefault="00BE7A0E" w:rsidP="00C74EB6">
            <w:pPr>
              <w:autoSpaceDE w:val="0"/>
              <w:autoSpaceDN w:val="0"/>
              <w:adjustRightInd w:val="0"/>
              <w:jc w:val="center"/>
              <w:rPr>
                <w:kern w:val="0"/>
                <w:szCs w:val="21"/>
              </w:rPr>
            </w:pPr>
            <w:r w:rsidRPr="00FD0D8E">
              <w:rPr>
                <w:kern w:val="0"/>
                <w:szCs w:val="21"/>
              </w:rPr>
              <w:t>-0.711</w:t>
            </w:r>
          </w:p>
        </w:tc>
        <w:tc>
          <w:tcPr>
            <w:tcW w:w="1297" w:type="pct"/>
            <w:tcBorders>
              <w:top w:val="nil"/>
              <w:left w:val="nil"/>
              <w:bottom w:val="nil"/>
              <w:right w:val="nil"/>
            </w:tcBorders>
          </w:tcPr>
          <w:p w14:paraId="751971C1" w14:textId="77777777" w:rsidR="00BE7A0E" w:rsidRPr="00FD0D8E" w:rsidRDefault="00BE7A0E" w:rsidP="00C74EB6">
            <w:pPr>
              <w:autoSpaceDE w:val="0"/>
              <w:autoSpaceDN w:val="0"/>
              <w:adjustRightInd w:val="0"/>
              <w:jc w:val="center"/>
              <w:rPr>
                <w:kern w:val="0"/>
                <w:szCs w:val="21"/>
              </w:rPr>
            </w:pPr>
            <w:r w:rsidRPr="00FD0D8E">
              <w:rPr>
                <w:kern w:val="0"/>
                <w:szCs w:val="21"/>
              </w:rPr>
              <w:t>-0.033</w:t>
            </w:r>
          </w:p>
        </w:tc>
        <w:tc>
          <w:tcPr>
            <w:tcW w:w="1297" w:type="pct"/>
            <w:tcBorders>
              <w:top w:val="nil"/>
              <w:left w:val="nil"/>
              <w:bottom w:val="nil"/>
              <w:right w:val="nil"/>
            </w:tcBorders>
          </w:tcPr>
          <w:p w14:paraId="6C2E011B" w14:textId="77777777" w:rsidR="00BE7A0E" w:rsidRPr="00FD0D8E" w:rsidRDefault="00BE7A0E" w:rsidP="00C74EB6">
            <w:pPr>
              <w:autoSpaceDE w:val="0"/>
              <w:autoSpaceDN w:val="0"/>
              <w:adjustRightInd w:val="0"/>
              <w:jc w:val="center"/>
              <w:rPr>
                <w:kern w:val="0"/>
                <w:szCs w:val="21"/>
              </w:rPr>
            </w:pPr>
            <w:r w:rsidRPr="00FD0D8E">
              <w:rPr>
                <w:kern w:val="0"/>
                <w:szCs w:val="21"/>
              </w:rPr>
              <w:t>-0.491</w:t>
            </w:r>
            <w:r w:rsidRPr="00FD0D8E">
              <w:rPr>
                <w:kern w:val="0"/>
                <w:szCs w:val="21"/>
                <w:vertAlign w:val="superscript"/>
              </w:rPr>
              <w:t>***</w:t>
            </w:r>
          </w:p>
        </w:tc>
      </w:tr>
      <w:tr w:rsidR="00BE7A0E" w:rsidRPr="00FD0D8E" w14:paraId="796F3B70" w14:textId="77777777" w:rsidTr="006B1109">
        <w:tc>
          <w:tcPr>
            <w:tcW w:w="1108" w:type="pct"/>
            <w:tcBorders>
              <w:top w:val="nil"/>
              <w:left w:val="nil"/>
              <w:bottom w:val="nil"/>
              <w:right w:val="nil"/>
            </w:tcBorders>
          </w:tcPr>
          <w:p w14:paraId="1C0AFF0C"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6CE74107" w14:textId="77777777" w:rsidR="00BE7A0E" w:rsidRPr="00FD0D8E" w:rsidRDefault="00BE7A0E" w:rsidP="00C74EB6">
            <w:pPr>
              <w:autoSpaceDE w:val="0"/>
              <w:autoSpaceDN w:val="0"/>
              <w:adjustRightInd w:val="0"/>
              <w:jc w:val="center"/>
              <w:rPr>
                <w:kern w:val="0"/>
                <w:szCs w:val="21"/>
              </w:rPr>
            </w:pPr>
            <w:r w:rsidRPr="00FD0D8E">
              <w:rPr>
                <w:kern w:val="0"/>
                <w:szCs w:val="21"/>
              </w:rPr>
              <w:t>(0.523)</w:t>
            </w:r>
          </w:p>
        </w:tc>
        <w:tc>
          <w:tcPr>
            <w:tcW w:w="1297" w:type="pct"/>
            <w:tcBorders>
              <w:top w:val="nil"/>
              <w:left w:val="nil"/>
              <w:bottom w:val="nil"/>
              <w:right w:val="nil"/>
            </w:tcBorders>
          </w:tcPr>
          <w:p w14:paraId="7EB6A94B" w14:textId="77777777" w:rsidR="00BE7A0E" w:rsidRPr="00FD0D8E" w:rsidRDefault="00BE7A0E" w:rsidP="00C74EB6">
            <w:pPr>
              <w:autoSpaceDE w:val="0"/>
              <w:autoSpaceDN w:val="0"/>
              <w:adjustRightInd w:val="0"/>
              <w:jc w:val="center"/>
              <w:rPr>
                <w:kern w:val="0"/>
                <w:szCs w:val="21"/>
              </w:rPr>
            </w:pPr>
            <w:r w:rsidRPr="00FD0D8E">
              <w:rPr>
                <w:kern w:val="0"/>
                <w:szCs w:val="21"/>
              </w:rPr>
              <w:t>(0.053)</w:t>
            </w:r>
          </w:p>
        </w:tc>
        <w:tc>
          <w:tcPr>
            <w:tcW w:w="1297" w:type="pct"/>
            <w:tcBorders>
              <w:top w:val="nil"/>
              <w:left w:val="nil"/>
              <w:bottom w:val="nil"/>
              <w:right w:val="nil"/>
            </w:tcBorders>
          </w:tcPr>
          <w:p w14:paraId="408996E9" w14:textId="77777777" w:rsidR="00BE7A0E" w:rsidRPr="00FD0D8E" w:rsidRDefault="00BE7A0E" w:rsidP="00C74EB6">
            <w:pPr>
              <w:autoSpaceDE w:val="0"/>
              <w:autoSpaceDN w:val="0"/>
              <w:adjustRightInd w:val="0"/>
              <w:jc w:val="center"/>
              <w:rPr>
                <w:kern w:val="0"/>
                <w:szCs w:val="21"/>
              </w:rPr>
            </w:pPr>
            <w:r w:rsidRPr="00FD0D8E">
              <w:rPr>
                <w:kern w:val="0"/>
                <w:szCs w:val="21"/>
              </w:rPr>
              <w:t>(0.086)</w:t>
            </w:r>
          </w:p>
        </w:tc>
      </w:tr>
      <w:tr w:rsidR="00BE7A0E" w:rsidRPr="00FD0D8E" w14:paraId="14EB0099" w14:textId="77777777" w:rsidTr="006B1109">
        <w:tc>
          <w:tcPr>
            <w:tcW w:w="1108" w:type="pct"/>
            <w:tcBorders>
              <w:top w:val="nil"/>
              <w:left w:val="nil"/>
              <w:bottom w:val="nil"/>
              <w:right w:val="nil"/>
            </w:tcBorders>
          </w:tcPr>
          <w:p w14:paraId="3B482CE0" w14:textId="77777777" w:rsidR="00BE7A0E" w:rsidRPr="00FD0D8E" w:rsidRDefault="00BE7A0E" w:rsidP="00C74EB6">
            <w:pPr>
              <w:autoSpaceDE w:val="0"/>
              <w:autoSpaceDN w:val="0"/>
              <w:adjustRightInd w:val="0"/>
              <w:rPr>
                <w:kern w:val="0"/>
                <w:szCs w:val="21"/>
              </w:rPr>
            </w:pPr>
            <w:r w:rsidRPr="00FD0D8E">
              <w:rPr>
                <w:kern w:val="0"/>
                <w:szCs w:val="21"/>
              </w:rPr>
              <w:t>PB</w:t>
            </w:r>
          </w:p>
        </w:tc>
        <w:tc>
          <w:tcPr>
            <w:tcW w:w="1297" w:type="pct"/>
            <w:tcBorders>
              <w:top w:val="nil"/>
              <w:left w:val="nil"/>
              <w:bottom w:val="nil"/>
              <w:right w:val="nil"/>
            </w:tcBorders>
          </w:tcPr>
          <w:p w14:paraId="5AEE6A82" w14:textId="77777777" w:rsidR="00BE7A0E" w:rsidRPr="00FD0D8E" w:rsidRDefault="00BE7A0E" w:rsidP="00C74EB6">
            <w:pPr>
              <w:autoSpaceDE w:val="0"/>
              <w:autoSpaceDN w:val="0"/>
              <w:adjustRightInd w:val="0"/>
              <w:jc w:val="center"/>
              <w:rPr>
                <w:kern w:val="0"/>
                <w:szCs w:val="21"/>
              </w:rPr>
            </w:pPr>
            <w:r w:rsidRPr="00FD0D8E">
              <w:rPr>
                <w:kern w:val="0"/>
                <w:szCs w:val="21"/>
              </w:rPr>
              <w:t>0.302</w:t>
            </w:r>
            <w:r w:rsidRPr="00FD0D8E">
              <w:rPr>
                <w:kern w:val="0"/>
                <w:szCs w:val="21"/>
                <w:vertAlign w:val="superscript"/>
              </w:rPr>
              <w:t>***</w:t>
            </w:r>
          </w:p>
        </w:tc>
        <w:tc>
          <w:tcPr>
            <w:tcW w:w="1297" w:type="pct"/>
            <w:tcBorders>
              <w:top w:val="nil"/>
              <w:left w:val="nil"/>
              <w:bottom w:val="nil"/>
              <w:right w:val="nil"/>
            </w:tcBorders>
          </w:tcPr>
          <w:p w14:paraId="0778F4F7" w14:textId="77777777" w:rsidR="00BE7A0E" w:rsidRPr="00FD0D8E" w:rsidRDefault="00BE7A0E" w:rsidP="00C74EB6">
            <w:pPr>
              <w:autoSpaceDE w:val="0"/>
              <w:autoSpaceDN w:val="0"/>
              <w:adjustRightInd w:val="0"/>
              <w:jc w:val="center"/>
              <w:rPr>
                <w:kern w:val="0"/>
                <w:szCs w:val="21"/>
              </w:rPr>
            </w:pPr>
            <w:r w:rsidRPr="00FD0D8E">
              <w:rPr>
                <w:kern w:val="0"/>
                <w:szCs w:val="21"/>
              </w:rPr>
              <w:t>0.025</w:t>
            </w:r>
            <w:r w:rsidRPr="00FD0D8E">
              <w:rPr>
                <w:kern w:val="0"/>
                <w:szCs w:val="21"/>
                <w:vertAlign w:val="superscript"/>
              </w:rPr>
              <w:t>***</w:t>
            </w:r>
          </w:p>
        </w:tc>
        <w:tc>
          <w:tcPr>
            <w:tcW w:w="1297" w:type="pct"/>
            <w:tcBorders>
              <w:top w:val="nil"/>
              <w:left w:val="nil"/>
              <w:bottom w:val="nil"/>
              <w:right w:val="nil"/>
            </w:tcBorders>
          </w:tcPr>
          <w:p w14:paraId="465A653F" w14:textId="77777777" w:rsidR="00BE7A0E" w:rsidRPr="00FD0D8E" w:rsidRDefault="00BE7A0E" w:rsidP="00C74EB6">
            <w:pPr>
              <w:autoSpaceDE w:val="0"/>
              <w:autoSpaceDN w:val="0"/>
              <w:adjustRightInd w:val="0"/>
              <w:jc w:val="center"/>
              <w:rPr>
                <w:kern w:val="0"/>
                <w:szCs w:val="21"/>
              </w:rPr>
            </w:pPr>
            <w:r w:rsidRPr="00FD0D8E">
              <w:rPr>
                <w:kern w:val="0"/>
                <w:szCs w:val="21"/>
              </w:rPr>
              <w:t>0.019</w:t>
            </w:r>
            <w:r w:rsidRPr="00FD0D8E">
              <w:rPr>
                <w:kern w:val="0"/>
                <w:szCs w:val="21"/>
                <w:vertAlign w:val="superscript"/>
              </w:rPr>
              <w:t>***</w:t>
            </w:r>
          </w:p>
        </w:tc>
      </w:tr>
      <w:tr w:rsidR="00BE7A0E" w:rsidRPr="00FD0D8E" w14:paraId="0026951F" w14:textId="77777777" w:rsidTr="006B1109">
        <w:tc>
          <w:tcPr>
            <w:tcW w:w="1108" w:type="pct"/>
            <w:tcBorders>
              <w:top w:val="nil"/>
              <w:left w:val="nil"/>
              <w:bottom w:val="nil"/>
              <w:right w:val="nil"/>
            </w:tcBorders>
          </w:tcPr>
          <w:p w14:paraId="1682B7D7"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2FD366CF" w14:textId="77777777" w:rsidR="00BE7A0E" w:rsidRPr="00FD0D8E" w:rsidRDefault="00BE7A0E" w:rsidP="00C74EB6">
            <w:pPr>
              <w:autoSpaceDE w:val="0"/>
              <w:autoSpaceDN w:val="0"/>
              <w:adjustRightInd w:val="0"/>
              <w:jc w:val="center"/>
              <w:rPr>
                <w:kern w:val="0"/>
                <w:szCs w:val="21"/>
              </w:rPr>
            </w:pPr>
            <w:r w:rsidRPr="00FD0D8E">
              <w:rPr>
                <w:kern w:val="0"/>
                <w:szCs w:val="21"/>
              </w:rPr>
              <w:t>(0.030)</w:t>
            </w:r>
          </w:p>
        </w:tc>
        <w:tc>
          <w:tcPr>
            <w:tcW w:w="1297" w:type="pct"/>
            <w:tcBorders>
              <w:top w:val="nil"/>
              <w:left w:val="nil"/>
              <w:bottom w:val="nil"/>
              <w:right w:val="nil"/>
            </w:tcBorders>
          </w:tcPr>
          <w:p w14:paraId="5C1BD369" w14:textId="77777777" w:rsidR="00BE7A0E" w:rsidRPr="00FD0D8E" w:rsidRDefault="00BE7A0E" w:rsidP="00C74EB6">
            <w:pPr>
              <w:autoSpaceDE w:val="0"/>
              <w:autoSpaceDN w:val="0"/>
              <w:adjustRightInd w:val="0"/>
              <w:jc w:val="center"/>
              <w:rPr>
                <w:kern w:val="0"/>
                <w:szCs w:val="21"/>
              </w:rPr>
            </w:pPr>
            <w:r w:rsidRPr="00FD0D8E">
              <w:rPr>
                <w:kern w:val="0"/>
                <w:szCs w:val="21"/>
              </w:rPr>
              <w:t>(0.003)</w:t>
            </w:r>
          </w:p>
        </w:tc>
        <w:tc>
          <w:tcPr>
            <w:tcW w:w="1297" w:type="pct"/>
            <w:tcBorders>
              <w:top w:val="nil"/>
              <w:left w:val="nil"/>
              <w:bottom w:val="nil"/>
              <w:right w:val="nil"/>
            </w:tcBorders>
          </w:tcPr>
          <w:p w14:paraId="328A5689" w14:textId="77777777" w:rsidR="00BE7A0E" w:rsidRPr="00FD0D8E" w:rsidRDefault="00BE7A0E" w:rsidP="00C74EB6">
            <w:pPr>
              <w:autoSpaceDE w:val="0"/>
              <w:autoSpaceDN w:val="0"/>
              <w:adjustRightInd w:val="0"/>
              <w:jc w:val="center"/>
              <w:rPr>
                <w:kern w:val="0"/>
                <w:szCs w:val="21"/>
              </w:rPr>
            </w:pPr>
            <w:r w:rsidRPr="00FD0D8E">
              <w:rPr>
                <w:kern w:val="0"/>
                <w:szCs w:val="21"/>
              </w:rPr>
              <w:t>(0.005)</w:t>
            </w:r>
          </w:p>
        </w:tc>
      </w:tr>
      <w:tr w:rsidR="00BE7A0E" w:rsidRPr="00FD0D8E" w14:paraId="133F1C89" w14:textId="77777777" w:rsidTr="006B1109">
        <w:tc>
          <w:tcPr>
            <w:tcW w:w="1108" w:type="pct"/>
            <w:tcBorders>
              <w:top w:val="nil"/>
              <w:left w:val="nil"/>
              <w:bottom w:val="nil"/>
              <w:right w:val="nil"/>
            </w:tcBorders>
          </w:tcPr>
          <w:p w14:paraId="63338773" w14:textId="77777777" w:rsidR="00BE7A0E" w:rsidRPr="00FD0D8E" w:rsidRDefault="00BE7A0E" w:rsidP="00C74EB6">
            <w:pPr>
              <w:autoSpaceDE w:val="0"/>
              <w:autoSpaceDN w:val="0"/>
              <w:adjustRightInd w:val="0"/>
              <w:rPr>
                <w:kern w:val="0"/>
                <w:szCs w:val="21"/>
              </w:rPr>
            </w:pPr>
            <w:proofErr w:type="spellStart"/>
            <w:r w:rsidRPr="00FD0D8E">
              <w:rPr>
                <w:kern w:val="0"/>
                <w:szCs w:val="21"/>
              </w:rPr>
              <w:t>GrowthRev</w:t>
            </w:r>
            <w:proofErr w:type="spellEnd"/>
          </w:p>
        </w:tc>
        <w:tc>
          <w:tcPr>
            <w:tcW w:w="1297" w:type="pct"/>
            <w:tcBorders>
              <w:top w:val="nil"/>
              <w:left w:val="nil"/>
              <w:bottom w:val="nil"/>
              <w:right w:val="nil"/>
            </w:tcBorders>
          </w:tcPr>
          <w:p w14:paraId="4AE021AB" w14:textId="77777777" w:rsidR="00BE7A0E" w:rsidRPr="00FD0D8E" w:rsidRDefault="00BE7A0E" w:rsidP="00C74EB6">
            <w:pPr>
              <w:autoSpaceDE w:val="0"/>
              <w:autoSpaceDN w:val="0"/>
              <w:adjustRightInd w:val="0"/>
              <w:jc w:val="center"/>
              <w:rPr>
                <w:kern w:val="0"/>
                <w:szCs w:val="21"/>
              </w:rPr>
            </w:pPr>
            <w:r w:rsidRPr="00FD0D8E">
              <w:rPr>
                <w:kern w:val="0"/>
                <w:szCs w:val="21"/>
              </w:rPr>
              <w:t>0.805</w:t>
            </w:r>
            <w:r w:rsidRPr="00FD0D8E">
              <w:rPr>
                <w:kern w:val="0"/>
                <w:szCs w:val="21"/>
                <w:vertAlign w:val="superscript"/>
              </w:rPr>
              <w:t>***</w:t>
            </w:r>
          </w:p>
        </w:tc>
        <w:tc>
          <w:tcPr>
            <w:tcW w:w="1297" w:type="pct"/>
            <w:tcBorders>
              <w:top w:val="nil"/>
              <w:left w:val="nil"/>
              <w:bottom w:val="nil"/>
              <w:right w:val="nil"/>
            </w:tcBorders>
          </w:tcPr>
          <w:p w14:paraId="13786BA6" w14:textId="77777777" w:rsidR="00BE7A0E" w:rsidRPr="00FD0D8E" w:rsidRDefault="00BE7A0E" w:rsidP="00C74EB6">
            <w:pPr>
              <w:autoSpaceDE w:val="0"/>
              <w:autoSpaceDN w:val="0"/>
              <w:adjustRightInd w:val="0"/>
              <w:jc w:val="center"/>
              <w:rPr>
                <w:kern w:val="0"/>
                <w:szCs w:val="21"/>
              </w:rPr>
            </w:pPr>
            <w:r w:rsidRPr="00FD0D8E">
              <w:rPr>
                <w:kern w:val="0"/>
                <w:szCs w:val="21"/>
              </w:rPr>
              <w:t>0.073</w:t>
            </w:r>
            <w:r w:rsidRPr="00FD0D8E">
              <w:rPr>
                <w:kern w:val="0"/>
                <w:szCs w:val="21"/>
                <w:vertAlign w:val="superscript"/>
              </w:rPr>
              <w:t>***</w:t>
            </w:r>
          </w:p>
        </w:tc>
        <w:tc>
          <w:tcPr>
            <w:tcW w:w="1297" w:type="pct"/>
            <w:tcBorders>
              <w:top w:val="nil"/>
              <w:left w:val="nil"/>
              <w:bottom w:val="nil"/>
              <w:right w:val="nil"/>
            </w:tcBorders>
          </w:tcPr>
          <w:p w14:paraId="0DC68092" w14:textId="77777777" w:rsidR="00BE7A0E" w:rsidRPr="00FD0D8E" w:rsidRDefault="00BE7A0E" w:rsidP="00C74EB6">
            <w:pPr>
              <w:autoSpaceDE w:val="0"/>
              <w:autoSpaceDN w:val="0"/>
              <w:adjustRightInd w:val="0"/>
              <w:jc w:val="center"/>
              <w:rPr>
                <w:kern w:val="0"/>
                <w:szCs w:val="21"/>
              </w:rPr>
            </w:pPr>
            <w:r w:rsidRPr="00FD0D8E">
              <w:rPr>
                <w:kern w:val="0"/>
                <w:szCs w:val="21"/>
              </w:rPr>
              <w:t>-0.026</w:t>
            </w:r>
          </w:p>
        </w:tc>
      </w:tr>
      <w:tr w:rsidR="00BE7A0E" w:rsidRPr="00FD0D8E" w14:paraId="3A4BBA25" w14:textId="77777777" w:rsidTr="006B1109">
        <w:tc>
          <w:tcPr>
            <w:tcW w:w="1108" w:type="pct"/>
            <w:tcBorders>
              <w:top w:val="nil"/>
              <w:left w:val="nil"/>
              <w:bottom w:val="nil"/>
              <w:right w:val="nil"/>
            </w:tcBorders>
          </w:tcPr>
          <w:p w14:paraId="77366FC9"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7E6B5ED0" w14:textId="77777777" w:rsidR="00BE7A0E" w:rsidRPr="00FD0D8E" w:rsidRDefault="00BE7A0E" w:rsidP="00C74EB6">
            <w:pPr>
              <w:autoSpaceDE w:val="0"/>
              <w:autoSpaceDN w:val="0"/>
              <w:adjustRightInd w:val="0"/>
              <w:jc w:val="center"/>
              <w:rPr>
                <w:kern w:val="0"/>
                <w:szCs w:val="21"/>
              </w:rPr>
            </w:pPr>
            <w:r w:rsidRPr="00FD0D8E">
              <w:rPr>
                <w:kern w:val="0"/>
                <w:szCs w:val="21"/>
              </w:rPr>
              <w:t>(0.131)</w:t>
            </w:r>
          </w:p>
        </w:tc>
        <w:tc>
          <w:tcPr>
            <w:tcW w:w="1297" w:type="pct"/>
            <w:tcBorders>
              <w:top w:val="nil"/>
              <w:left w:val="nil"/>
              <w:bottom w:val="nil"/>
              <w:right w:val="nil"/>
            </w:tcBorders>
          </w:tcPr>
          <w:p w14:paraId="782147DF" w14:textId="77777777" w:rsidR="00BE7A0E" w:rsidRPr="00FD0D8E" w:rsidRDefault="00BE7A0E" w:rsidP="00C74EB6">
            <w:pPr>
              <w:autoSpaceDE w:val="0"/>
              <w:autoSpaceDN w:val="0"/>
              <w:adjustRightInd w:val="0"/>
              <w:jc w:val="center"/>
              <w:rPr>
                <w:kern w:val="0"/>
                <w:szCs w:val="21"/>
              </w:rPr>
            </w:pPr>
            <w:r w:rsidRPr="00FD0D8E">
              <w:rPr>
                <w:kern w:val="0"/>
                <w:szCs w:val="21"/>
              </w:rPr>
              <w:t>(0.013)</w:t>
            </w:r>
          </w:p>
        </w:tc>
        <w:tc>
          <w:tcPr>
            <w:tcW w:w="1297" w:type="pct"/>
            <w:tcBorders>
              <w:top w:val="nil"/>
              <w:left w:val="nil"/>
              <w:bottom w:val="nil"/>
              <w:right w:val="nil"/>
            </w:tcBorders>
          </w:tcPr>
          <w:p w14:paraId="2FCF2F06" w14:textId="77777777" w:rsidR="00BE7A0E" w:rsidRPr="00FD0D8E" w:rsidRDefault="00BE7A0E" w:rsidP="00C74EB6">
            <w:pPr>
              <w:autoSpaceDE w:val="0"/>
              <w:autoSpaceDN w:val="0"/>
              <w:adjustRightInd w:val="0"/>
              <w:jc w:val="center"/>
              <w:rPr>
                <w:kern w:val="0"/>
                <w:szCs w:val="21"/>
              </w:rPr>
            </w:pPr>
            <w:r w:rsidRPr="00FD0D8E">
              <w:rPr>
                <w:kern w:val="0"/>
                <w:szCs w:val="21"/>
              </w:rPr>
              <w:t>(0.024)</w:t>
            </w:r>
          </w:p>
        </w:tc>
      </w:tr>
      <w:tr w:rsidR="00BE7A0E" w:rsidRPr="00FD0D8E" w14:paraId="524D37B2" w14:textId="77777777" w:rsidTr="006B1109">
        <w:tc>
          <w:tcPr>
            <w:tcW w:w="1108" w:type="pct"/>
            <w:tcBorders>
              <w:top w:val="nil"/>
              <w:left w:val="nil"/>
              <w:bottom w:val="nil"/>
              <w:right w:val="nil"/>
            </w:tcBorders>
          </w:tcPr>
          <w:p w14:paraId="0630E36E" w14:textId="77777777" w:rsidR="00BE7A0E" w:rsidRPr="00FD0D8E" w:rsidRDefault="00BE7A0E" w:rsidP="00C74EB6">
            <w:pPr>
              <w:autoSpaceDE w:val="0"/>
              <w:autoSpaceDN w:val="0"/>
              <w:adjustRightInd w:val="0"/>
              <w:rPr>
                <w:kern w:val="0"/>
                <w:szCs w:val="21"/>
              </w:rPr>
            </w:pPr>
            <w:r w:rsidRPr="00FD0D8E">
              <w:rPr>
                <w:kern w:val="0"/>
                <w:szCs w:val="21"/>
              </w:rPr>
              <w:t>ROA</w:t>
            </w:r>
          </w:p>
        </w:tc>
        <w:tc>
          <w:tcPr>
            <w:tcW w:w="1297" w:type="pct"/>
            <w:tcBorders>
              <w:top w:val="nil"/>
              <w:left w:val="nil"/>
              <w:bottom w:val="nil"/>
              <w:right w:val="nil"/>
            </w:tcBorders>
          </w:tcPr>
          <w:p w14:paraId="1C91991A" w14:textId="77777777" w:rsidR="00BE7A0E" w:rsidRPr="00FD0D8E" w:rsidRDefault="00BE7A0E" w:rsidP="00C74EB6">
            <w:pPr>
              <w:autoSpaceDE w:val="0"/>
              <w:autoSpaceDN w:val="0"/>
              <w:adjustRightInd w:val="0"/>
              <w:jc w:val="center"/>
              <w:rPr>
                <w:kern w:val="0"/>
                <w:szCs w:val="21"/>
              </w:rPr>
            </w:pPr>
            <w:r w:rsidRPr="00FD0D8E">
              <w:rPr>
                <w:kern w:val="0"/>
                <w:szCs w:val="21"/>
              </w:rPr>
              <w:t>-5.043</w:t>
            </w:r>
            <w:r w:rsidRPr="00FD0D8E">
              <w:rPr>
                <w:kern w:val="0"/>
                <w:szCs w:val="21"/>
                <w:vertAlign w:val="superscript"/>
              </w:rPr>
              <w:t>***</w:t>
            </w:r>
          </w:p>
        </w:tc>
        <w:tc>
          <w:tcPr>
            <w:tcW w:w="1297" w:type="pct"/>
            <w:tcBorders>
              <w:top w:val="nil"/>
              <w:left w:val="nil"/>
              <w:bottom w:val="nil"/>
              <w:right w:val="nil"/>
            </w:tcBorders>
          </w:tcPr>
          <w:p w14:paraId="18AB3F62" w14:textId="77777777" w:rsidR="00BE7A0E" w:rsidRPr="00FD0D8E" w:rsidRDefault="00BE7A0E" w:rsidP="00C74EB6">
            <w:pPr>
              <w:autoSpaceDE w:val="0"/>
              <w:autoSpaceDN w:val="0"/>
              <w:adjustRightInd w:val="0"/>
              <w:jc w:val="center"/>
              <w:rPr>
                <w:kern w:val="0"/>
                <w:szCs w:val="21"/>
              </w:rPr>
            </w:pPr>
            <w:r w:rsidRPr="00FD0D8E">
              <w:rPr>
                <w:kern w:val="0"/>
                <w:szCs w:val="21"/>
              </w:rPr>
              <w:t>-0.404</w:t>
            </w:r>
            <w:r w:rsidRPr="00FD0D8E">
              <w:rPr>
                <w:kern w:val="0"/>
                <w:szCs w:val="21"/>
                <w:vertAlign w:val="superscript"/>
              </w:rPr>
              <w:t>***</w:t>
            </w:r>
          </w:p>
        </w:tc>
        <w:tc>
          <w:tcPr>
            <w:tcW w:w="1297" w:type="pct"/>
            <w:tcBorders>
              <w:top w:val="nil"/>
              <w:left w:val="nil"/>
              <w:bottom w:val="nil"/>
              <w:right w:val="nil"/>
            </w:tcBorders>
          </w:tcPr>
          <w:p w14:paraId="7CAB4A45" w14:textId="77777777" w:rsidR="00BE7A0E" w:rsidRPr="00FD0D8E" w:rsidRDefault="00BE7A0E" w:rsidP="00C74EB6">
            <w:pPr>
              <w:autoSpaceDE w:val="0"/>
              <w:autoSpaceDN w:val="0"/>
              <w:adjustRightInd w:val="0"/>
              <w:jc w:val="center"/>
              <w:rPr>
                <w:kern w:val="0"/>
                <w:szCs w:val="21"/>
              </w:rPr>
            </w:pPr>
            <w:r w:rsidRPr="00FD0D8E">
              <w:rPr>
                <w:kern w:val="0"/>
                <w:szCs w:val="21"/>
              </w:rPr>
              <w:t>-3.859</w:t>
            </w:r>
            <w:r w:rsidRPr="00FD0D8E">
              <w:rPr>
                <w:kern w:val="0"/>
                <w:szCs w:val="21"/>
                <w:vertAlign w:val="superscript"/>
              </w:rPr>
              <w:t>***</w:t>
            </w:r>
          </w:p>
        </w:tc>
      </w:tr>
      <w:tr w:rsidR="00BE7A0E" w:rsidRPr="00FD0D8E" w14:paraId="303C8B3D" w14:textId="77777777" w:rsidTr="006B1109">
        <w:tc>
          <w:tcPr>
            <w:tcW w:w="1108" w:type="pct"/>
            <w:tcBorders>
              <w:top w:val="nil"/>
              <w:left w:val="nil"/>
              <w:bottom w:val="nil"/>
              <w:right w:val="nil"/>
            </w:tcBorders>
          </w:tcPr>
          <w:p w14:paraId="775E809A"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7F788515" w14:textId="77777777" w:rsidR="00BE7A0E" w:rsidRPr="00FD0D8E" w:rsidRDefault="00BE7A0E" w:rsidP="00C74EB6">
            <w:pPr>
              <w:autoSpaceDE w:val="0"/>
              <w:autoSpaceDN w:val="0"/>
              <w:adjustRightInd w:val="0"/>
              <w:jc w:val="center"/>
              <w:rPr>
                <w:kern w:val="0"/>
                <w:szCs w:val="21"/>
              </w:rPr>
            </w:pPr>
            <w:r w:rsidRPr="00FD0D8E">
              <w:rPr>
                <w:kern w:val="0"/>
                <w:szCs w:val="21"/>
              </w:rPr>
              <w:t>(1.151)</w:t>
            </w:r>
          </w:p>
        </w:tc>
        <w:tc>
          <w:tcPr>
            <w:tcW w:w="1297" w:type="pct"/>
            <w:tcBorders>
              <w:top w:val="nil"/>
              <w:left w:val="nil"/>
              <w:bottom w:val="nil"/>
              <w:right w:val="nil"/>
            </w:tcBorders>
          </w:tcPr>
          <w:p w14:paraId="4D96819F" w14:textId="77777777" w:rsidR="00BE7A0E" w:rsidRPr="00FD0D8E" w:rsidRDefault="00BE7A0E" w:rsidP="00C74EB6">
            <w:pPr>
              <w:autoSpaceDE w:val="0"/>
              <w:autoSpaceDN w:val="0"/>
              <w:adjustRightInd w:val="0"/>
              <w:jc w:val="center"/>
              <w:rPr>
                <w:kern w:val="0"/>
                <w:szCs w:val="21"/>
              </w:rPr>
            </w:pPr>
            <w:r w:rsidRPr="00FD0D8E">
              <w:rPr>
                <w:kern w:val="0"/>
                <w:szCs w:val="21"/>
              </w:rPr>
              <w:t>(0.116)</w:t>
            </w:r>
          </w:p>
        </w:tc>
        <w:tc>
          <w:tcPr>
            <w:tcW w:w="1297" w:type="pct"/>
            <w:tcBorders>
              <w:top w:val="nil"/>
              <w:left w:val="nil"/>
              <w:bottom w:val="nil"/>
              <w:right w:val="nil"/>
            </w:tcBorders>
          </w:tcPr>
          <w:p w14:paraId="21F78881" w14:textId="77777777" w:rsidR="00BE7A0E" w:rsidRPr="00FD0D8E" w:rsidRDefault="00BE7A0E" w:rsidP="00C74EB6">
            <w:pPr>
              <w:autoSpaceDE w:val="0"/>
              <w:autoSpaceDN w:val="0"/>
              <w:adjustRightInd w:val="0"/>
              <w:jc w:val="center"/>
              <w:rPr>
                <w:kern w:val="0"/>
                <w:szCs w:val="21"/>
              </w:rPr>
            </w:pPr>
            <w:r w:rsidRPr="00FD0D8E">
              <w:rPr>
                <w:kern w:val="0"/>
                <w:szCs w:val="21"/>
              </w:rPr>
              <w:t>(0.288)</w:t>
            </w:r>
          </w:p>
        </w:tc>
      </w:tr>
      <w:tr w:rsidR="00BE7A0E" w:rsidRPr="00FD0D8E" w14:paraId="615C8CD4" w14:textId="77777777" w:rsidTr="006B1109">
        <w:tc>
          <w:tcPr>
            <w:tcW w:w="1108" w:type="pct"/>
            <w:tcBorders>
              <w:top w:val="nil"/>
              <w:left w:val="nil"/>
              <w:bottom w:val="nil"/>
              <w:right w:val="nil"/>
            </w:tcBorders>
          </w:tcPr>
          <w:p w14:paraId="1DB67CDA" w14:textId="77777777" w:rsidR="00BE7A0E" w:rsidRPr="00FD0D8E" w:rsidRDefault="00BE7A0E" w:rsidP="00C74EB6">
            <w:pPr>
              <w:autoSpaceDE w:val="0"/>
              <w:autoSpaceDN w:val="0"/>
              <w:adjustRightInd w:val="0"/>
              <w:rPr>
                <w:kern w:val="0"/>
                <w:szCs w:val="21"/>
              </w:rPr>
            </w:pPr>
            <w:r w:rsidRPr="00FD0D8E">
              <w:rPr>
                <w:kern w:val="0"/>
                <w:szCs w:val="21"/>
              </w:rPr>
              <w:t>Penalty</w:t>
            </w:r>
          </w:p>
        </w:tc>
        <w:tc>
          <w:tcPr>
            <w:tcW w:w="1297" w:type="pct"/>
            <w:tcBorders>
              <w:top w:val="nil"/>
              <w:left w:val="nil"/>
              <w:bottom w:val="nil"/>
              <w:right w:val="nil"/>
            </w:tcBorders>
          </w:tcPr>
          <w:p w14:paraId="7CE07AED" w14:textId="77777777" w:rsidR="00BE7A0E" w:rsidRPr="00FD0D8E" w:rsidRDefault="00BE7A0E" w:rsidP="00C74EB6">
            <w:pPr>
              <w:autoSpaceDE w:val="0"/>
              <w:autoSpaceDN w:val="0"/>
              <w:adjustRightInd w:val="0"/>
              <w:jc w:val="center"/>
              <w:rPr>
                <w:kern w:val="0"/>
                <w:szCs w:val="21"/>
              </w:rPr>
            </w:pPr>
            <w:r w:rsidRPr="00FD0D8E">
              <w:rPr>
                <w:kern w:val="0"/>
                <w:szCs w:val="21"/>
              </w:rPr>
              <w:t>0.223</w:t>
            </w:r>
          </w:p>
        </w:tc>
        <w:tc>
          <w:tcPr>
            <w:tcW w:w="1297" w:type="pct"/>
            <w:tcBorders>
              <w:top w:val="nil"/>
              <w:left w:val="nil"/>
              <w:bottom w:val="nil"/>
              <w:right w:val="nil"/>
            </w:tcBorders>
          </w:tcPr>
          <w:p w14:paraId="4AD8DE18" w14:textId="77777777" w:rsidR="00BE7A0E" w:rsidRPr="00FD0D8E" w:rsidRDefault="00BE7A0E" w:rsidP="00C74EB6">
            <w:pPr>
              <w:autoSpaceDE w:val="0"/>
              <w:autoSpaceDN w:val="0"/>
              <w:adjustRightInd w:val="0"/>
              <w:jc w:val="center"/>
              <w:rPr>
                <w:kern w:val="0"/>
                <w:szCs w:val="21"/>
              </w:rPr>
            </w:pPr>
            <w:r w:rsidRPr="00FD0D8E">
              <w:rPr>
                <w:kern w:val="0"/>
                <w:szCs w:val="21"/>
              </w:rPr>
              <w:t>0.032</w:t>
            </w:r>
            <w:r w:rsidRPr="00FD0D8E">
              <w:rPr>
                <w:kern w:val="0"/>
                <w:szCs w:val="21"/>
                <w:vertAlign w:val="superscript"/>
              </w:rPr>
              <w:t>*</w:t>
            </w:r>
          </w:p>
        </w:tc>
        <w:tc>
          <w:tcPr>
            <w:tcW w:w="1297" w:type="pct"/>
            <w:tcBorders>
              <w:top w:val="nil"/>
              <w:left w:val="nil"/>
              <w:bottom w:val="nil"/>
              <w:right w:val="nil"/>
            </w:tcBorders>
          </w:tcPr>
          <w:p w14:paraId="7CCD0C44" w14:textId="77777777" w:rsidR="00BE7A0E" w:rsidRPr="00FD0D8E" w:rsidRDefault="00BE7A0E" w:rsidP="00C74EB6">
            <w:pPr>
              <w:autoSpaceDE w:val="0"/>
              <w:autoSpaceDN w:val="0"/>
              <w:adjustRightInd w:val="0"/>
              <w:jc w:val="center"/>
              <w:rPr>
                <w:kern w:val="0"/>
                <w:szCs w:val="21"/>
              </w:rPr>
            </w:pPr>
            <w:r w:rsidRPr="00FD0D8E">
              <w:rPr>
                <w:kern w:val="0"/>
                <w:szCs w:val="21"/>
              </w:rPr>
              <w:t>0.277</w:t>
            </w:r>
            <w:r w:rsidRPr="00FD0D8E">
              <w:rPr>
                <w:kern w:val="0"/>
                <w:szCs w:val="21"/>
                <w:vertAlign w:val="superscript"/>
              </w:rPr>
              <w:t>***</w:t>
            </w:r>
          </w:p>
        </w:tc>
      </w:tr>
      <w:tr w:rsidR="00BE7A0E" w:rsidRPr="00FD0D8E" w14:paraId="6A10339D" w14:textId="77777777" w:rsidTr="006B1109">
        <w:tc>
          <w:tcPr>
            <w:tcW w:w="1108" w:type="pct"/>
            <w:tcBorders>
              <w:top w:val="nil"/>
              <w:left w:val="nil"/>
              <w:bottom w:val="nil"/>
              <w:right w:val="nil"/>
            </w:tcBorders>
          </w:tcPr>
          <w:p w14:paraId="3693923C"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565DCCE1" w14:textId="77777777" w:rsidR="00BE7A0E" w:rsidRPr="00FD0D8E" w:rsidRDefault="00BE7A0E" w:rsidP="00C74EB6">
            <w:pPr>
              <w:autoSpaceDE w:val="0"/>
              <w:autoSpaceDN w:val="0"/>
              <w:adjustRightInd w:val="0"/>
              <w:jc w:val="center"/>
              <w:rPr>
                <w:kern w:val="0"/>
                <w:szCs w:val="21"/>
              </w:rPr>
            </w:pPr>
            <w:r w:rsidRPr="00FD0D8E">
              <w:rPr>
                <w:kern w:val="0"/>
                <w:szCs w:val="21"/>
              </w:rPr>
              <w:t>(0.192)</w:t>
            </w:r>
          </w:p>
        </w:tc>
        <w:tc>
          <w:tcPr>
            <w:tcW w:w="1297" w:type="pct"/>
            <w:tcBorders>
              <w:top w:val="nil"/>
              <w:left w:val="nil"/>
              <w:bottom w:val="nil"/>
              <w:right w:val="nil"/>
            </w:tcBorders>
          </w:tcPr>
          <w:p w14:paraId="6789BFB5" w14:textId="77777777" w:rsidR="00BE7A0E" w:rsidRPr="00FD0D8E" w:rsidRDefault="00BE7A0E" w:rsidP="00C74EB6">
            <w:pPr>
              <w:autoSpaceDE w:val="0"/>
              <w:autoSpaceDN w:val="0"/>
              <w:adjustRightInd w:val="0"/>
              <w:jc w:val="center"/>
              <w:rPr>
                <w:kern w:val="0"/>
                <w:szCs w:val="21"/>
              </w:rPr>
            </w:pPr>
            <w:r w:rsidRPr="00FD0D8E">
              <w:rPr>
                <w:kern w:val="0"/>
                <w:szCs w:val="21"/>
              </w:rPr>
              <w:t>(0.019)</w:t>
            </w:r>
          </w:p>
        </w:tc>
        <w:tc>
          <w:tcPr>
            <w:tcW w:w="1297" w:type="pct"/>
            <w:tcBorders>
              <w:top w:val="nil"/>
              <w:left w:val="nil"/>
              <w:bottom w:val="nil"/>
              <w:right w:val="nil"/>
            </w:tcBorders>
          </w:tcPr>
          <w:p w14:paraId="2A8C7924" w14:textId="77777777" w:rsidR="00BE7A0E" w:rsidRPr="00FD0D8E" w:rsidRDefault="00BE7A0E" w:rsidP="00C74EB6">
            <w:pPr>
              <w:autoSpaceDE w:val="0"/>
              <w:autoSpaceDN w:val="0"/>
              <w:adjustRightInd w:val="0"/>
              <w:jc w:val="center"/>
              <w:rPr>
                <w:kern w:val="0"/>
                <w:szCs w:val="21"/>
              </w:rPr>
            </w:pPr>
            <w:r w:rsidRPr="00FD0D8E">
              <w:rPr>
                <w:kern w:val="0"/>
                <w:szCs w:val="21"/>
              </w:rPr>
              <w:t>(0.049)</w:t>
            </w:r>
          </w:p>
        </w:tc>
      </w:tr>
      <w:tr w:rsidR="00BE7A0E" w:rsidRPr="00FD0D8E" w14:paraId="479D8DF0" w14:textId="77777777" w:rsidTr="006B1109">
        <w:tc>
          <w:tcPr>
            <w:tcW w:w="1108" w:type="pct"/>
            <w:tcBorders>
              <w:top w:val="nil"/>
              <w:left w:val="nil"/>
              <w:bottom w:val="nil"/>
              <w:right w:val="nil"/>
            </w:tcBorders>
          </w:tcPr>
          <w:p w14:paraId="0A991090" w14:textId="77777777" w:rsidR="00BE7A0E" w:rsidRPr="00FD0D8E" w:rsidRDefault="00BE7A0E" w:rsidP="00C74EB6">
            <w:pPr>
              <w:autoSpaceDE w:val="0"/>
              <w:autoSpaceDN w:val="0"/>
              <w:adjustRightInd w:val="0"/>
              <w:rPr>
                <w:kern w:val="0"/>
                <w:szCs w:val="21"/>
              </w:rPr>
            </w:pPr>
            <w:proofErr w:type="spellStart"/>
            <w:r w:rsidRPr="00FD0D8E">
              <w:rPr>
                <w:kern w:val="0"/>
                <w:szCs w:val="21"/>
              </w:rPr>
              <w:t>IndepR</w:t>
            </w:r>
            <w:proofErr w:type="spellEnd"/>
          </w:p>
        </w:tc>
        <w:tc>
          <w:tcPr>
            <w:tcW w:w="1297" w:type="pct"/>
            <w:tcBorders>
              <w:top w:val="nil"/>
              <w:left w:val="nil"/>
              <w:bottom w:val="nil"/>
              <w:right w:val="nil"/>
            </w:tcBorders>
          </w:tcPr>
          <w:p w14:paraId="2D1D27D3" w14:textId="77777777" w:rsidR="00BE7A0E" w:rsidRPr="00FD0D8E" w:rsidRDefault="00BE7A0E" w:rsidP="00C74EB6">
            <w:pPr>
              <w:autoSpaceDE w:val="0"/>
              <w:autoSpaceDN w:val="0"/>
              <w:adjustRightInd w:val="0"/>
              <w:jc w:val="center"/>
              <w:rPr>
                <w:kern w:val="0"/>
                <w:szCs w:val="21"/>
              </w:rPr>
            </w:pPr>
            <w:r w:rsidRPr="00FD0D8E">
              <w:rPr>
                <w:kern w:val="0"/>
                <w:szCs w:val="21"/>
              </w:rPr>
              <w:t>1.582</w:t>
            </w:r>
            <w:r w:rsidRPr="00FD0D8E">
              <w:rPr>
                <w:kern w:val="0"/>
                <w:szCs w:val="21"/>
                <w:vertAlign w:val="superscript"/>
              </w:rPr>
              <w:t>*</w:t>
            </w:r>
          </w:p>
        </w:tc>
        <w:tc>
          <w:tcPr>
            <w:tcW w:w="1297" w:type="pct"/>
            <w:tcBorders>
              <w:top w:val="nil"/>
              <w:left w:val="nil"/>
              <w:bottom w:val="nil"/>
              <w:right w:val="nil"/>
            </w:tcBorders>
          </w:tcPr>
          <w:p w14:paraId="528D9661" w14:textId="77777777" w:rsidR="00BE7A0E" w:rsidRPr="00FD0D8E" w:rsidRDefault="00BE7A0E" w:rsidP="00C74EB6">
            <w:pPr>
              <w:autoSpaceDE w:val="0"/>
              <w:autoSpaceDN w:val="0"/>
              <w:adjustRightInd w:val="0"/>
              <w:jc w:val="center"/>
              <w:rPr>
                <w:kern w:val="0"/>
                <w:szCs w:val="21"/>
              </w:rPr>
            </w:pPr>
            <w:r w:rsidRPr="00FD0D8E">
              <w:rPr>
                <w:kern w:val="0"/>
                <w:szCs w:val="21"/>
              </w:rPr>
              <w:t>0.112</w:t>
            </w:r>
          </w:p>
        </w:tc>
        <w:tc>
          <w:tcPr>
            <w:tcW w:w="1297" w:type="pct"/>
            <w:tcBorders>
              <w:top w:val="nil"/>
              <w:left w:val="nil"/>
              <w:bottom w:val="nil"/>
              <w:right w:val="nil"/>
            </w:tcBorders>
          </w:tcPr>
          <w:p w14:paraId="1CCEE114" w14:textId="77777777" w:rsidR="00BE7A0E" w:rsidRPr="00FD0D8E" w:rsidRDefault="00BE7A0E" w:rsidP="00C74EB6">
            <w:pPr>
              <w:autoSpaceDE w:val="0"/>
              <w:autoSpaceDN w:val="0"/>
              <w:adjustRightInd w:val="0"/>
              <w:jc w:val="center"/>
              <w:rPr>
                <w:kern w:val="0"/>
                <w:szCs w:val="21"/>
              </w:rPr>
            </w:pPr>
            <w:r w:rsidRPr="00FD0D8E">
              <w:rPr>
                <w:kern w:val="0"/>
                <w:szCs w:val="21"/>
              </w:rPr>
              <w:t>-0.005</w:t>
            </w:r>
          </w:p>
        </w:tc>
      </w:tr>
      <w:tr w:rsidR="00BE7A0E" w:rsidRPr="00FD0D8E" w14:paraId="75BDBB91" w14:textId="77777777" w:rsidTr="006B1109">
        <w:tc>
          <w:tcPr>
            <w:tcW w:w="1108" w:type="pct"/>
            <w:tcBorders>
              <w:top w:val="nil"/>
              <w:left w:val="nil"/>
              <w:bottom w:val="nil"/>
              <w:right w:val="nil"/>
            </w:tcBorders>
          </w:tcPr>
          <w:p w14:paraId="025B0995"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798B40FD" w14:textId="77777777" w:rsidR="00BE7A0E" w:rsidRPr="00FD0D8E" w:rsidRDefault="00BE7A0E" w:rsidP="00C74EB6">
            <w:pPr>
              <w:autoSpaceDE w:val="0"/>
              <w:autoSpaceDN w:val="0"/>
              <w:adjustRightInd w:val="0"/>
              <w:jc w:val="center"/>
              <w:rPr>
                <w:kern w:val="0"/>
                <w:szCs w:val="21"/>
              </w:rPr>
            </w:pPr>
            <w:r w:rsidRPr="00FD0D8E">
              <w:rPr>
                <w:kern w:val="0"/>
                <w:szCs w:val="21"/>
              </w:rPr>
              <w:t>(0.809)</w:t>
            </w:r>
          </w:p>
        </w:tc>
        <w:tc>
          <w:tcPr>
            <w:tcW w:w="1297" w:type="pct"/>
            <w:tcBorders>
              <w:top w:val="nil"/>
              <w:left w:val="nil"/>
              <w:bottom w:val="nil"/>
              <w:right w:val="nil"/>
            </w:tcBorders>
          </w:tcPr>
          <w:p w14:paraId="6E491C07" w14:textId="77777777" w:rsidR="00BE7A0E" w:rsidRPr="00FD0D8E" w:rsidRDefault="00BE7A0E" w:rsidP="00C74EB6">
            <w:pPr>
              <w:autoSpaceDE w:val="0"/>
              <w:autoSpaceDN w:val="0"/>
              <w:adjustRightInd w:val="0"/>
              <w:jc w:val="center"/>
              <w:rPr>
                <w:kern w:val="0"/>
                <w:szCs w:val="21"/>
              </w:rPr>
            </w:pPr>
            <w:r w:rsidRPr="00FD0D8E">
              <w:rPr>
                <w:kern w:val="0"/>
                <w:szCs w:val="21"/>
              </w:rPr>
              <w:t>(0.079)</w:t>
            </w:r>
          </w:p>
        </w:tc>
        <w:tc>
          <w:tcPr>
            <w:tcW w:w="1297" w:type="pct"/>
            <w:tcBorders>
              <w:top w:val="nil"/>
              <w:left w:val="nil"/>
              <w:bottom w:val="nil"/>
              <w:right w:val="nil"/>
            </w:tcBorders>
          </w:tcPr>
          <w:p w14:paraId="05C51B87" w14:textId="77777777" w:rsidR="00BE7A0E" w:rsidRPr="00FD0D8E" w:rsidRDefault="00BE7A0E" w:rsidP="00C74EB6">
            <w:pPr>
              <w:autoSpaceDE w:val="0"/>
              <w:autoSpaceDN w:val="0"/>
              <w:adjustRightInd w:val="0"/>
              <w:jc w:val="center"/>
              <w:rPr>
                <w:kern w:val="0"/>
                <w:szCs w:val="21"/>
              </w:rPr>
            </w:pPr>
            <w:r w:rsidRPr="00FD0D8E">
              <w:rPr>
                <w:kern w:val="0"/>
                <w:szCs w:val="21"/>
              </w:rPr>
              <w:t>(0.144)</w:t>
            </w:r>
          </w:p>
        </w:tc>
      </w:tr>
      <w:tr w:rsidR="00BE7A0E" w:rsidRPr="00FD0D8E" w14:paraId="703549A3" w14:textId="77777777" w:rsidTr="006B1109">
        <w:tc>
          <w:tcPr>
            <w:tcW w:w="1108" w:type="pct"/>
            <w:tcBorders>
              <w:top w:val="nil"/>
              <w:left w:val="nil"/>
              <w:bottom w:val="nil"/>
              <w:right w:val="nil"/>
            </w:tcBorders>
          </w:tcPr>
          <w:p w14:paraId="0AD1AC5B" w14:textId="77777777" w:rsidR="00BE7A0E" w:rsidRPr="00FD0D8E" w:rsidRDefault="00BE7A0E" w:rsidP="00C74EB6">
            <w:pPr>
              <w:autoSpaceDE w:val="0"/>
              <w:autoSpaceDN w:val="0"/>
              <w:adjustRightInd w:val="0"/>
              <w:rPr>
                <w:kern w:val="0"/>
                <w:szCs w:val="21"/>
              </w:rPr>
            </w:pPr>
            <w:proofErr w:type="spellStart"/>
            <w:r w:rsidRPr="00FD0D8E">
              <w:rPr>
                <w:kern w:val="0"/>
                <w:szCs w:val="21"/>
              </w:rPr>
              <w:t>DSize</w:t>
            </w:r>
            <w:proofErr w:type="spellEnd"/>
          </w:p>
        </w:tc>
        <w:tc>
          <w:tcPr>
            <w:tcW w:w="1297" w:type="pct"/>
            <w:tcBorders>
              <w:top w:val="nil"/>
              <w:left w:val="nil"/>
              <w:bottom w:val="nil"/>
              <w:right w:val="nil"/>
            </w:tcBorders>
          </w:tcPr>
          <w:p w14:paraId="28CDCA25" w14:textId="77777777" w:rsidR="00BE7A0E" w:rsidRPr="00FD0D8E" w:rsidRDefault="00BE7A0E" w:rsidP="00C74EB6">
            <w:pPr>
              <w:autoSpaceDE w:val="0"/>
              <w:autoSpaceDN w:val="0"/>
              <w:adjustRightInd w:val="0"/>
              <w:jc w:val="center"/>
              <w:rPr>
                <w:kern w:val="0"/>
                <w:szCs w:val="21"/>
              </w:rPr>
            </w:pPr>
            <w:r w:rsidRPr="00FD0D8E">
              <w:rPr>
                <w:kern w:val="0"/>
                <w:szCs w:val="21"/>
              </w:rPr>
              <w:t>0.082</w:t>
            </w:r>
            <w:r w:rsidRPr="00FD0D8E">
              <w:rPr>
                <w:kern w:val="0"/>
                <w:szCs w:val="21"/>
                <w:vertAlign w:val="superscript"/>
              </w:rPr>
              <w:t>***</w:t>
            </w:r>
          </w:p>
        </w:tc>
        <w:tc>
          <w:tcPr>
            <w:tcW w:w="1297" w:type="pct"/>
            <w:tcBorders>
              <w:top w:val="nil"/>
              <w:left w:val="nil"/>
              <w:bottom w:val="nil"/>
              <w:right w:val="nil"/>
            </w:tcBorders>
          </w:tcPr>
          <w:p w14:paraId="79D0B1EC" w14:textId="77777777" w:rsidR="00BE7A0E" w:rsidRPr="00FD0D8E" w:rsidRDefault="00BE7A0E" w:rsidP="00C74EB6">
            <w:pPr>
              <w:autoSpaceDE w:val="0"/>
              <w:autoSpaceDN w:val="0"/>
              <w:adjustRightInd w:val="0"/>
              <w:jc w:val="center"/>
              <w:rPr>
                <w:kern w:val="0"/>
                <w:szCs w:val="21"/>
              </w:rPr>
            </w:pPr>
            <w:r w:rsidRPr="00FD0D8E">
              <w:rPr>
                <w:kern w:val="0"/>
                <w:szCs w:val="21"/>
              </w:rPr>
              <w:t>0.009</w:t>
            </w:r>
            <w:r w:rsidRPr="00FD0D8E">
              <w:rPr>
                <w:kern w:val="0"/>
                <w:szCs w:val="21"/>
                <w:vertAlign w:val="superscript"/>
              </w:rPr>
              <w:t>***</w:t>
            </w:r>
          </w:p>
        </w:tc>
        <w:tc>
          <w:tcPr>
            <w:tcW w:w="1297" w:type="pct"/>
            <w:tcBorders>
              <w:top w:val="nil"/>
              <w:left w:val="nil"/>
              <w:bottom w:val="nil"/>
              <w:right w:val="nil"/>
            </w:tcBorders>
          </w:tcPr>
          <w:p w14:paraId="5646ABAF" w14:textId="77777777" w:rsidR="00BE7A0E" w:rsidRPr="00FD0D8E" w:rsidRDefault="00BE7A0E" w:rsidP="00C74EB6">
            <w:pPr>
              <w:autoSpaceDE w:val="0"/>
              <w:autoSpaceDN w:val="0"/>
              <w:adjustRightInd w:val="0"/>
              <w:jc w:val="center"/>
              <w:rPr>
                <w:kern w:val="0"/>
                <w:szCs w:val="21"/>
              </w:rPr>
            </w:pPr>
            <w:r w:rsidRPr="00FD0D8E">
              <w:rPr>
                <w:kern w:val="0"/>
                <w:szCs w:val="21"/>
              </w:rPr>
              <w:t>-0.001</w:t>
            </w:r>
          </w:p>
        </w:tc>
      </w:tr>
      <w:tr w:rsidR="00BE7A0E" w:rsidRPr="00FD0D8E" w14:paraId="29883DE1" w14:textId="77777777" w:rsidTr="006B1109">
        <w:tc>
          <w:tcPr>
            <w:tcW w:w="1108" w:type="pct"/>
            <w:tcBorders>
              <w:top w:val="nil"/>
              <w:left w:val="nil"/>
              <w:bottom w:val="nil"/>
              <w:right w:val="nil"/>
            </w:tcBorders>
          </w:tcPr>
          <w:p w14:paraId="4756F617"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6E2B9E34" w14:textId="77777777" w:rsidR="00BE7A0E" w:rsidRPr="00FD0D8E" w:rsidRDefault="00BE7A0E" w:rsidP="00C74EB6">
            <w:pPr>
              <w:autoSpaceDE w:val="0"/>
              <w:autoSpaceDN w:val="0"/>
              <w:adjustRightInd w:val="0"/>
              <w:jc w:val="center"/>
              <w:rPr>
                <w:kern w:val="0"/>
                <w:szCs w:val="21"/>
              </w:rPr>
            </w:pPr>
            <w:r w:rsidRPr="00FD0D8E">
              <w:rPr>
                <w:kern w:val="0"/>
                <w:szCs w:val="21"/>
              </w:rPr>
              <w:t>(0.024)</w:t>
            </w:r>
          </w:p>
        </w:tc>
        <w:tc>
          <w:tcPr>
            <w:tcW w:w="1297" w:type="pct"/>
            <w:tcBorders>
              <w:top w:val="nil"/>
              <w:left w:val="nil"/>
              <w:bottom w:val="nil"/>
              <w:right w:val="nil"/>
            </w:tcBorders>
          </w:tcPr>
          <w:p w14:paraId="1A612688" w14:textId="77777777" w:rsidR="00BE7A0E" w:rsidRPr="00FD0D8E" w:rsidRDefault="00BE7A0E" w:rsidP="00C74EB6">
            <w:pPr>
              <w:autoSpaceDE w:val="0"/>
              <w:autoSpaceDN w:val="0"/>
              <w:adjustRightInd w:val="0"/>
              <w:jc w:val="center"/>
              <w:rPr>
                <w:kern w:val="0"/>
                <w:szCs w:val="21"/>
              </w:rPr>
            </w:pPr>
            <w:r w:rsidRPr="00FD0D8E">
              <w:rPr>
                <w:kern w:val="0"/>
                <w:szCs w:val="21"/>
              </w:rPr>
              <w:t>(0.003)</w:t>
            </w:r>
          </w:p>
        </w:tc>
        <w:tc>
          <w:tcPr>
            <w:tcW w:w="1297" w:type="pct"/>
            <w:tcBorders>
              <w:top w:val="nil"/>
              <w:left w:val="nil"/>
              <w:bottom w:val="nil"/>
              <w:right w:val="nil"/>
            </w:tcBorders>
          </w:tcPr>
          <w:p w14:paraId="1C0FE9C7" w14:textId="77777777" w:rsidR="00BE7A0E" w:rsidRPr="00FD0D8E" w:rsidRDefault="00BE7A0E" w:rsidP="00C74EB6">
            <w:pPr>
              <w:autoSpaceDE w:val="0"/>
              <w:autoSpaceDN w:val="0"/>
              <w:adjustRightInd w:val="0"/>
              <w:jc w:val="center"/>
              <w:rPr>
                <w:kern w:val="0"/>
                <w:szCs w:val="21"/>
              </w:rPr>
            </w:pPr>
            <w:r w:rsidRPr="00FD0D8E">
              <w:rPr>
                <w:kern w:val="0"/>
                <w:szCs w:val="21"/>
              </w:rPr>
              <w:t>(0.004)</w:t>
            </w:r>
          </w:p>
        </w:tc>
      </w:tr>
      <w:tr w:rsidR="00BE7A0E" w:rsidRPr="00FD0D8E" w14:paraId="0496DE88" w14:textId="77777777" w:rsidTr="006B1109">
        <w:tc>
          <w:tcPr>
            <w:tcW w:w="1108" w:type="pct"/>
            <w:tcBorders>
              <w:top w:val="nil"/>
              <w:left w:val="nil"/>
              <w:bottom w:val="nil"/>
              <w:right w:val="nil"/>
            </w:tcBorders>
          </w:tcPr>
          <w:p w14:paraId="6ABA9842" w14:textId="77777777" w:rsidR="00BE7A0E" w:rsidRPr="00FD0D8E" w:rsidRDefault="00BE7A0E" w:rsidP="00C74EB6">
            <w:pPr>
              <w:autoSpaceDE w:val="0"/>
              <w:autoSpaceDN w:val="0"/>
              <w:adjustRightInd w:val="0"/>
              <w:rPr>
                <w:kern w:val="0"/>
                <w:szCs w:val="21"/>
              </w:rPr>
            </w:pPr>
            <w:r w:rsidRPr="00FD0D8E">
              <w:rPr>
                <w:kern w:val="0"/>
                <w:szCs w:val="21"/>
              </w:rPr>
              <w:t>Duality</w:t>
            </w:r>
          </w:p>
        </w:tc>
        <w:tc>
          <w:tcPr>
            <w:tcW w:w="1297" w:type="pct"/>
            <w:tcBorders>
              <w:top w:val="nil"/>
              <w:left w:val="nil"/>
              <w:bottom w:val="nil"/>
              <w:right w:val="nil"/>
            </w:tcBorders>
          </w:tcPr>
          <w:p w14:paraId="13700CAC" w14:textId="77777777" w:rsidR="00BE7A0E" w:rsidRPr="00FD0D8E" w:rsidRDefault="00BE7A0E" w:rsidP="00C74EB6">
            <w:pPr>
              <w:autoSpaceDE w:val="0"/>
              <w:autoSpaceDN w:val="0"/>
              <w:adjustRightInd w:val="0"/>
              <w:jc w:val="center"/>
              <w:rPr>
                <w:kern w:val="0"/>
                <w:szCs w:val="21"/>
              </w:rPr>
            </w:pPr>
            <w:r w:rsidRPr="00FD0D8E">
              <w:rPr>
                <w:kern w:val="0"/>
                <w:szCs w:val="21"/>
              </w:rPr>
              <w:t>-0.037</w:t>
            </w:r>
          </w:p>
        </w:tc>
        <w:tc>
          <w:tcPr>
            <w:tcW w:w="1297" w:type="pct"/>
            <w:tcBorders>
              <w:top w:val="nil"/>
              <w:left w:val="nil"/>
              <w:bottom w:val="nil"/>
              <w:right w:val="nil"/>
            </w:tcBorders>
          </w:tcPr>
          <w:p w14:paraId="4CA2DD27" w14:textId="77777777" w:rsidR="00BE7A0E" w:rsidRPr="00FD0D8E" w:rsidRDefault="00BE7A0E" w:rsidP="00C74EB6">
            <w:pPr>
              <w:autoSpaceDE w:val="0"/>
              <w:autoSpaceDN w:val="0"/>
              <w:adjustRightInd w:val="0"/>
              <w:jc w:val="center"/>
              <w:rPr>
                <w:kern w:val="0"/>
                <w:szCs w:val="21"/>
              </w:rPr>
            </w:pPr>
            <w:r w:rsidRPr="00FD0D8E">
              <w:rPr>
                <w:kern w:val="0"/>
                <w:szCs w:val="21"/>
              </w:rPr>
              <w:t>-0.000</w:t>
            </w:r>
          </w:p>
        </w:tc>
        <w:tc>
          <w:tcPr>
            <w:tcW w:w="1297" w:type="pct"/>
            <w:tcBorders>
              <w:top w:val="nil"/>
              <w:left w:val="nil"/>
              <w:bottom w:val="nil"/>
              <w:right w:val="nil"/>
            </w:tcBorders>
          </w:tcPr>
          <w:p w14:paraId="1F0B03A0" w14:textId="77777777" w:rsidR="00BE7A0E" w:rsidRPr="00FD0D8E" w:rsidRDefault="00BE7A0E" w:rsidP="00C74EB6">
            <w:pPr>
              <w:autoSpaceDE w:val="0"/>
              <w:autoSpaceDN w:val="0"/>
              <w:adjustRightInd w:val="0"/>
              <w:jc w:val="center"/>
              <w:rPr>
                <w:kern w:val="0"/>
                <w:szCs w:val="21"/>
              </w:rPr>
            </w:pPr>
            <w:r w:rsidRPr="00FD0D8E">
              <w:rPr>
                <w:kern w:val="0"/>
                <w:szCs w:val="21"/>
              </w:rPr>
              <w:t>-0.030</w:t>
            </w:r>
          </w:p>
        </w:tc>
      </w:tr>
      <w:tr w:rsidR="00BE7A0E" w:rsidRPr="00FD0D8E" w14:paraId="6A393D04" w14:textId="77777777" w:rsidTr="006B1109">
        <w:tc>
          <w:tcPr>
            <w:tcW w:w="1108" w:type="pct"/>
            <w:tcBorders>
              <w:top w:val="nil"/>
              <w:left w:val="nil"/>
              <w:bottom w:val="nil"/>
              <w:right w:val="nil"/>
            </w:tcBorders>
          </w:tcPr>
          <w:p w14:paraId="2AE3ACDF"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7B6BB9F4" w14:textId="77777777" w:rsidR="00BE7A0E" w:rsidRPr="00FD0D8E" w:rsidRDefault="00BE7A0E" w:rsidP="00C74EB6">
            <w:pPr>
              <w:autoSpaceDE w:val="0"/>
              <w:autoSpaceDN w:val="0"/>
              <w:adjustRightInd w:val="0"/>
              <w:jc w:val="center"/>
              <w:rPr>
                <w:kern w:val="0"/>
                <w:szCs w:val="21"/>
              </w:rPr>
            </w:pPr>
            <w:r w:rsidRPr="00FD0D8E">
              <w:rPr>
                <w:kern w:val="0"/>
                <w:szCs w:val="21"/>
              </w:rPr>
              <w:t>(0.149)</w:t>
            </w:r>
          </w:p>
        </w:tc>
        <w:tc>
          <w:tcPr>
            <w:tcW w:w="1297" w:type="pct"/>
            <w:tcBorders>
              <w:top w:val="nil"/>
              <w:left w:val="nil"/>
              <w:bottom w:val="nil"/>
              <w:right w:val="nil"/>
            </w:tcBorders>
          </w:tcPr>
          <w:p w14:paraId="6EC9C8C3" w14:textId="77777777" w:rsidR="00BE7A0E" w:rsidRPr="00FD0D8E" w:rsidRDefault="00BE7A0E" w:rsidP="00C74EB6">
            <w:pPr>
              <w:autoSpaceDE w:val="0"/>
              <w:autoSpaceDN w:val="0"/>
              <w:adjustRightInd w:val="0"/>
              <w:jc w:val="center"/>
              <w:rPr>
                <w:kern w:val="0"/>
                <w:szCs w:val="21"/>
              </w:rPr>
            </w:pPr>
            <w:r w:rsidRPr="00FD0D8E">
              <w:rPr>
                <w:kern w:val="0"/>
                <w:szCs w:val="21"/>
              </w:rPr>
              <w:t>(0.014)</w:t>
            </w:r>
          </w:p>
        </w:tc>
        <w:tc>
          <w:tcPr>
            <w:tcW w:w="1297" w:type="pct"/>
            <w:tcBorders>
              <w:top w:val="nil"/>
              <w:left w:val="nil"/>
              <w:bottom w:val="nil"/>
              <w:right w:val="nil"/>
            </w:tcBorders>
          </w:tcPr>
          <w:p w14:paraId="4E27DC3F" w14:textId="77777777" w:rsidR="00BE7A0E" w:rsidRPr="00FD0D8E" w:rsidRDefault="00BE7A0E" w:rsidP="00C74EB6">
            <w:pPr>
              <w:autoSpaceDE w:val="0"/>
              <w:autoSpaceDN w:val="0"/>
              <w:adjustRightInd w:val="0"/>
              <w:jc w:val="center"/>
              <w:rPr>
                <w:kern w:val="0"/>
                <w:szCs w:val="21"/>
              </w:rPr>
            </w:pPr>
            <w:r w:rsidRPr="00FD0D8E">
              <w:rPr>
                <w:kern w:val="0"/>
                <w:szCs w:val="21"/>
              </w:rPr>
              <w:t>(0.028)</w:t>
            </w:r>
          </w:p>
        </w:tc>
      </w:tr>
      <w:tr w:rsidR="00BE7A0E" w:rsidRPr="00FD0D8E" w14:paraId="667E2B57" w14:textId="77777777" w:rsidTr="006B1109">
        <w:tc>
          <w:tcPr>
            <w:tcW w:w="1108" w:type="pct"/>
            <w:tcBorders>
              <w:top w:val="nil"/>
              <w:left w:val="nil"/>
              <w:bottom w:val="nil"/>
              <w:right w:val="nil"/>
            </w:tcBorders>
          </w:tcPr>
          <w:p w14:paraId="30E6C461" w14:textId="77777777" w:rsidR="00BE7A0E" w:rsidRPr="00FD0D8E" w:rsidRDefault="00BE7A0E" w:rsidP="00C74EB6">
            <w:pPr>
              <w:autoSpaceDE w:val="0"/>
              <w:autoSpaceDN w:val="0"/>
              <w:adjustRightInd w:val="0"/>
              <w:rPr>
                <w:kern w:val="0"/>
                <w:szCs w:val="21"/>
              </w:rPr>
            </w:pPr>
            <w:r w:rsidRPr="00FD0D8E">
              <w:rPr>
                <w:kern w:val="0"/>
                <w:szCs w:val="21"/>
              </w:rPr>
              <w:t>DOSR</w:t>
            </w:r>
          </w:p>
        </w:tc>
        <w:tc>
          <w:tcPr>
            <w:tcW w:w="1297" w:type="pct"/>
            <w:tcBorders>
              <w:top w:val="nil"/>
              <w:left w:val="nil"/>
              <w:bottom w:val="nil"/>
              <w:right w:val="nil"/>
            </w:tcBorders>
          </w:tcPr>
          <w:p w14:paraId="200895BB" w14:textId="77777777" w:rsidR="00BE7A0E" w:rsidRPr="00FD0D8E" w:rsidRDefault="00BE7A0E" w:rsidP="00C74EB6">
            <w:pPr>
              <w:autoSpaceDE w:val="0"/>
              <w:autoSpaceDN w:val="0"/>
              <w:adjustRightInd w:val="0"/>
              <w:jc w:val="center"/>
              <w:rPr>
                <w:kern w:val="0"/>
                <w:szCs w:val="21"/>
              </w:rPr>
            </w:pPr>
            <w:r w:rsidRPr="00FD0D8E">
              <w:rPr>
                <w:kern w:val="0"/>
                <w:szCs w:val="21"/>
              </w:rPr>
              <w:t>-0.234</w:t>
            </w:r>
          </w:p>
        </w:tc>
        <w:tc>
          <w:tcPr>
            <w:tcW w:w="1297" w:type="pct"/>
            <w:tcBorders>
              <w:top w:val="nil"/>
              <w:left w:val="nil"/>
              <w:bottom w:val="nil"/>
              <w:right w:val="nil"/>
            </w:tcBorders>
          </w:tcPr>
          <w:p w14:paraId="0464EE45" w14:textId="77777777" w:rsidR="00BE7A0E" w:rsidRPr="00FD0D8E" w:rsidRDefault="00BE7A0E" w:rsidP="00C74EB6">
            <w:pPr>
              <w:autoSpaceDE w:val="0"/>
              <w:autoSpaceDN w:val="0"/>
              <w:adjustRightInd w:val="0"/>
              <w:jc w:val="center"/>
              <w:rPr>
                <w:kern w:val="0"/>
                <w:szCs w:val="21"/>
              </w:rPr>
            </w:pPr>
            <w:r w:rsidRPr="00FD0D8E">
              <w:rPr>
                <w:kern w:val="0"/>
                <w:szCs w:val="21"/>
              </w:rPr>
              <w:t>-0.032</w:t>
            </w:r>
          </w:p>
        </w:tc>
        <w:tc>
          <w:tcPr>
            <w:tcW w:w="1297" w:type="pct"/>
            <w:tcBorders>
              <w:top w:val="nil"/>
              <w:left w:val="nil"/>
              <w:bottom w:val="nil"/>
              <w:right w:val="nil"/>
            </w:tcBorders>
          </w:tcPr>
          <w:p w14:paraId="2F157D8C" w14:textId="77777777" w:rsidR="00BE7A0E" w:rsidRPr="00FD0D8E" w:rsidRDefault="00BE7A0E" w:rsidP="00C74EB6">
            <w:pPr>
              <w:autoSpaceDE w:val="0"/>
              <w:autoSpaceDN w:val="0"/>
              <w:adjustRightInd w:val="0"/>
              <w:jc w:val="center"/>
              <w:rPr>
                <w:kern w:val="0"/>
                <w:szCs w:val="21"/>
              </w:rPr>
            </w:pPr>
            <w:r w:rsidRPr="00FD0D8E">
              <w:rPr>
                <w:kern w:val="0"/>
                <w:szCs w:val="21"/>
              </w:rPr>
              <w:t>-1.289</w:t>
            </w:r>
            <w:r w:rsidRPr="00FD0D8E">
              <w:rPr>
                <w:kern w:val="0"/>
                <w:szCs w:val="21"/>
                <w:vertAlign w:val="superscript"/>
              </w:rPr>
              <w:t>***</w:t>
            </w:r>
          </w:p>
        </w:tc>
      </w:tr>
      <w:tr w:rsidR="00BE7A0E" w:rsidRPr="00FD0D8E" w14:paraId="0E568B25" w14:textId="77777777" w:rsidTr="006B1109">
        <w:tc>
          <w:tcPr>
            <w:tcW w:w="1108" w:type="pct"/>
            <w:tcBorders>
              <w:top w:val="nil"/>
              <w:left w:val="nil"/>
              <w:bottom w:val="nil"/>
              <w:right w:val="nil"/>
            </w:tcBorders>
          </w:tcPr>
          <w:p w14:paraId="11518D63"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00A9CE35" w14:textId="77777777" w:rsidR="00BE7A0E" w:rsidRPr="00FD0D8E" w:rsidRDefault="00BE7A0E" w:rsidP="00C74EB6">
            <w:pPr>
              <w:autoSpaceDE w:val="0"/>
              <w:autoSpaceDN w:val="0"/>
              <w:adjustRightInd w:val="0"/>
              <w:jc w:val="center"/>
              <w:rPr>
                <w:kern w:val="0"/>
                <w:szCs w:val="21"/>
              </w:rPr>
            </w:pPr>
            <w:r w:rsidRPr="00FD0D8E">
              <w:rPr>
                <w:kern w:val="0"/>
                <w:szCs w:val="21"/>
              </w:rPr>
              <w:t>(0.592)</w:t>
            </w:r>
          </w:p>
        </w:tc>
        <w:tc>
          <w:tcPr>
            <w:tcW w:w="1297" w:type="pct"/>
            <w:tcBorders>
              <w:top w:val="nil"/>
              <w:left w:val="nil"/>
              <w:bottom w:val="nil"/>
              <w:right w:val="nil"/>
            </w:tcBorders>
          </w:tcPr>
          <w:p w14:paraId="0D58866C" w14:textId="77777777" w:rsidR="00BE7A0E" w:rsidRPr="00FD0D8E" w:rsidRDefault="00BE7A0E" w:rsidP="00C74EB6">
            <w:pPr>
              <w:autoSpaceDE w:val="0"/>
              <w:autoSpaceDN w:val="0"/>
              <w:adjustRightInd w:val="0"/>
              <w:jc w:val="center"/>
              <w:rPr>
                <w:kern w:val="0"/>
                <w:szCs w:val="21"/>
              </w:rPr>
            </w:pPr>
            <w:r w:rsidRPr="00FD0D8E">
              <w:rPr>
                <w:kern w:val="0"/>
                <w:szCs w:val="21"/>
              </w:rPr>
              <w:t>(0.057)</w:t>
            </w:r>
          </w:p>
        </w:tc>
        <w:tc>
          <w:tcPr>
            <w:tcW w:w="1297" w:type="pct"/>
            <w:tcBorders>
              <w:top w:val="nil"/>
              <w:left w:val="nil"/>
              <w:bottom w:val="nil"/>
              <w:right w:val="nil"/>
            </w:tcBorders>
          </w:tcPr>
          <w:p w14:paraId="1829956F" w14:textId="77777777" w:rsidR="00BE7A0E" w:rsidRPr="00FD0D8E" w:rsidRDefault="00BE7A0E" w:rsidP="00C74EB6">
            <w:pPr>
              <w:autoSpaceDE w:val="0"/>
              <w:autoSpaceDN w:val="0"/>
              <w:adjustRightInd w:val="0"/>
              <w:jc w:val="center"/>
              <w:rPr>
                <w:kern w:val="0"/>
                <w:szCs w:val="21"/>
              </w:rPr>
            </w:pPr>
            <w:r w:rsidRPr="00FD0D8E">
              <w:rPr>
                <w:kern w:val="0"/>
                <w:szCs w:val="21"/>
              </w:rPr>
              <w:t>(0.142)</w:t>
            </w:r>
          </w:p>
        </w:tc>
      </w:tr>
      <w:tr w:rsidR="00BE7A0E" w:rsidRPr="00FD0D8E" w14:paraId="37707200" w14:textId="77777777" w:rsidTr="006B1109">
        <w:tc>
          <w:tcPr>
            <w:tcW w:w="1108" w:type="pct"/>
            <w:tcBorders>
              <w:top w:val="nil"/>
              <w:left w:val="nil"/>
              <w:bottom w:val="nil"/>
              <w:right w:val="nil"/>
            </w:tcBorders>
          </w:tcPr>
          <w:p w14:paraId="2924D509" w14:textId="77777777" w:rsidR="00BE7A0E" w:rsidRPr="00FD0D8E" w:rsidRDefault="00BE7A0E" w:rsidP="00C74EB6">
            <w:pPr>
              <w:autoSpaceDE w:val="0"/>
              <w:autoSpaceDN w:val="0"/>
              <w:adjustRightInd w:val="0"/>
              <w:rPr>
                <w:kern w:val="0"/>
                <w:szCs w:val="21"/>
              </w:rPr>
            </w:pPr>
            <w:r w:rsidRPr="00FD0D8E">
              <w:rPr>
                <w:kern w:val="0"/>
                <w:szCs w:val="21"/>
              </w:rPr>
              <w:t>SOE</w:t>
            </w:r>
          </w:p>
        </w:tc>
        <w:tc>
          <w:tcPr>
            <w:tcW w:w="1297" w:type="pct"/>
            <w:tcBorders>
              <w:top w:val="nil"/>
              <w:left w:val="nil"/>
              <w:bottom w:val="nil"/>
              <w:right w:val="nil"/>
            </w:tcBorders>
          </w:tcPr>
          <w:p w14:paraId="050D7A26" w14:textId="77777777" w:rsidR="00BE7A0E" w:rsidRPr="00FD0D8E" w:rsidRDefault="00BE7A0E" w:rsidP="00C74EB6">
            <w:pPr>
              <w:autoSpaceDE w:val="0"/>
              <w:autoSpaceDN w:val="0"/>
              <w:adjustRightInd w:val="0"/>
              <w:jc w:val="center"/>
              <w:rPr>
                <w:kern w:val="0"/>
                <w:szCs w:val="21"/>
              </w:rPr>
            </w:pPr>
            <w:r w:rsidRPr="00FD0D8E">
              <w:rPr>
                <w:kern w:val="0"/>
                <w:szCs w:val="21"/>
              </w:rPr>
              <w:t>-1.209</w:t>
            </w:r>
            <w:r w:rsidRPr="00FD0D8E">
              <w:rPr>
                <w:kern w:val="0"/>
                <w:szCs w:val="21"/>
                <w:vertAlign w:val="superscript"/>
              </w:rPr>
              <w:t>***</w:t>
            </w:r>
          </w:p>
        </w:tc>
        <w:tc>
          <w:tcPr>
            <w:tcW w:w="1297" w:type="pct"/>
            <w:tcBorders>
              <w:top w:val="nil"/>
              <w:left w:val="nil"/>
              <w:bottom w:val="nil"/>
              <w:right w:val="nil"/>
            </w:tcBorders>
          </w:tcPr>
          <w:p w14:paraId="7113C4A7" w14:textId="77777777" w:rsidR="00BE7A0E" w:rsidRPr="00FD0D8E" w:rsidRDefault="00BE7A0E" w:rsidP="00C74EB6">
            <w:pPr>
              <w:autoSpaceDE w:val="0"/>
              <w:autoSpaceDN w:val="0"/>
              <w:adjustRightInd w:val="0"/>
              <w:jc w:val="center"/>
              <w:rPr>
                <w:kern w:val="0"/>
                <w:szCs w:val="21"/>
              </w:rPr>
            </w:pPr>
            <w:r w:rsidRPr="00FD0D8E">
              <w:rPr>
                <w:kern w:val="0"/>
                <w:szCs w:val="21"/>
              </w:rPr>
              <w:t>-0.131</w:t>
            </w:r>
            <w:r w:rsidRPr="00FD0D8E">
              <w:rPr>
                <w:kern w:val="0"/>
                <w:szCs w:val="21"/>
                <w:vertAlign w:val="superscript"/>
              </w:rPr>
              <w:t>***</w:t>
            </w:r>
          </w:p>
        </w:tc>
        <w:tc>
          <w:tcPr>
            <w:tcW w:w="1297" w:type="pct"/>
            <w:tcBorders>
              <w:top w:val="nil"/>
              <w:left w:val="nil"/>
              <w:bottom w:val="nil"/>
              <w:right w:val="nil"/>
            </w:tcBorders>
          </w:tcPr>
          <w:p w14:paraId="1E6C2FBF" w14:textId="77777777" w:rsidR="00BE7A0E" w:rsidRPr="00FD0D8E" w:rsidRDefault="00BE7A0E" w:rsidP="00C74EB6">
            <w:pPr>
              <w:autoSpaceDE w:val="0"/>
              <w:autoSpaceDN w:val="0"/>
              <w:adjustRightInd w:val="0"/>
              <w:jc w:val="center"/>
              <w:rPr>
                <w:kern w:val="0"/>
                <w:szCs w:val="21"/>
              </w:rPr>
            </w:pPr>
            <w:r w:rsidRPr="00FD0D8E">
              <w:rPr>
                <w:kern w:val="0"/>
                <w:szCs w:val="21"/>
              </w:rPr>
              <w:t>-0.055</w:t>
            </w:r>
          </w:p>
        </w:tc>
      </w:tr>
      <w:tr w:rsidR="00BE7A0E" w:rsidRPr="00FD0D8E" w14:paraId="536E2F35" w14:textId="77777777" w:rsidTr="006B1109">
        <w:tc>
          <w:tcPr>
            <w:tcW w:w="1108" w:type="pct"/>
            <w:tcBorders>
              <w:top w:val="nil"/>
              <w:left w:val="nil"/>
              <w:bottom w:val="nil"/>
              <w:right w:val="nil"/>
            </w:tcBorders>
          </w:tcPr>
          <w:p w14:paraId="6FD24C01"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71BAB2AE" w14:textId="77777777" w:rsidR="00BE7A0E" w:rsidRPr="00FD0D8E" w:rsidRDefault="00BE7A0E" w:rsidP="00C74EB6">
            <w:pPr>
              <w:autoSpaceDE w:val="0"/>
              <w:autoSpaceDN w:val="0"/>
              <w:adjustRightInd w:val="0"/>
              <w:jc w:val="center"/>
              <w:rPr>
                <w:kern w:val="0"/>
                <w:szCs w:val="21"/>
              </w:rPr>
            </w:pPr>
            <w:r w:rsidRPr="00FD0D8E">
              <w:rPr>
                <w:kern w:val="0"/>
                <w:szCs w:val="21"/>
              </w:rPr>
              <w:t>(0.370)</w:t>
            </w:r>
          </w:p>
        </w:tc>
        <w:tc>
          <w:tcPr>
            <w:tcW w:w="1297" w:type="pct"/>
            <w:tcBorders>
              <w:top w:val="nil"/>
              <w:left w:val="nil"/>
              <w:bottom w:val="nil"/>
              <w:right w:val="nil"/>
            </w:tcBorders>
          </w:tcPr>
          <w:p w14:paraId="2265A1D7" w14:textId="77777777" w:rsidR="00BE7A0E" w:rsidRPr="00FD0D8E" w:rsidRDefault="00BE7A0E" w:rsidP="00C74EB6">
            <w:pPr>
              <w:autoSpaceDE w:val="0"/>
              <w:autoSpaceDN w:val="0"/>
              <w:adjustRightInd w:val="0"/>
              <w:jc w:val="center"/>
              <w:rPr>
                <w:kern w:val="0"/>
                <w:szCs w:val="21"/>
              </w:rPr>
            </w:pPr>
            <w:r w:rsidRPr="00FD0D8E">
              <w:rPr>
                <w:kern w:val="0"/>
                <w:szCs w:val="21"/>
              </w:rPr>
              <w:t>(0.039)</w:t>
            </w:r>
          </w:p>
        </w:tc>
        <w:tc>
          <w:tcPr>
            <w:tcW w:w="1297" w:type="pct"/>
            <w:tcBorders>
              <w:top w:val="nil"/>
              <w:left w:val="nil"/>
              <w:bottom w:val="nil"/>
              <w:right w:val="nil"/>
            </w:tcBorders>
          </w:tcPr>
          <w:p w14:paraId="2FFE8CD9" w14:textId="77777777" w:rsidR="00BE7A0E" w:rsidRPr="00FD0D8E" w:rsidRDefault="00BE7A0E" w:rsidP="00C74EB6">
            <w:pPr>
              <w:autoSpaceDE w:val="0"/>
              <w:autoSpaceDN w:val="0"/>
              <w:adjustRightInd w:val="0"/>
              <w:jc w:val="center"/>
              <w:rPr>
                <w:kern w:val="0"/>
                <w:szCs w:val="21"/>
              </w:rPr>
            </w:pPr>
            <w:r w:rsidRPr="00FD0D8E">
              <w:rPr>
                <w:kern w:val="0"/>
                <w:szCs w:val="21"/>
              </w:rPr>
              <w:t>(0.068)</w:t>
            </w:r>
          </w:p>
        </w:tc>
      </w:tr>
      <w:tr w:rsidR="00BE7A0E" w:rsidRPr="00FD0D8E" w14:paraId="554B796C" w14:textId="77777777" w:rsidTr="006B1109">
        <w:tc>
          <w:tcPr>
            <w:tcW w:w="1108" w:type="pct"/>
            <w:tcBorders>
              <w:top w:val="nil"/>
              <w:left w:val="nil"/>
              <w:bottom w:val="nil"/>
              <w:right w:val="nil"/>
            </w:tcBorders>
          </w:tcPr>
          <w:p w14:paraId="4515DDF1" w14:textId="77777777" w:rsidR="00BE7A0E" w:rsidRPr="00FD0D8E" w:rsidRDefault="00BE7A0E" w:rsidP="00C74EB6">
            <w:pPr>
              <w:autoSpaceDE w:val="0"/>
              <w:autoSpaceDN w:val="0"/>
              <w:adjustRightInd w:val="0"/>
              <w:rPr>
                <w:kern w:val="0"/>
                <w:szCs w:val="21"/>
              </w:rPr>
            </w:pPr>
            <w:r w:rsidRPr="00FD0D8E">
              <w:rPr>
                <w:kern w:val="0"/>
                <w:szCs w:val="21"/>
              </w:rPr>
              <w:t>Size</w:t>
            </w:r>
          </w:p>
        </w:tc>
        <w:tc>
          <w:tcPr>
            <w:tcW w:w="1297" w:type="pct"/>
            <w:tcBorders>
              <w:top w:val="nil"/>
              <w:left w:val="nil"/>
              <w:bottom w:val="nil"/>
              <w:right w:val="nil"/>
            </w:tcBorders>
          </w:tcPr>
          <w:p w14:paraId="72F050A5" w14:textId="77777777" w:rsidR="00BE7A0E" w:rsidRPr="00FD0D8E" w:rsidRDefault="00BE7A0E" w:rsidP="00C74EB6">
            <w:pPr>
              <w:autoSpaceDE w:val="0"/>
              <w:autoSpaceDN w:val="0"/>
              <w:adjustRightInd w:val="0"/>
              <w:jc w:val="center"/>
              <w:rPr>
                <w:kern w:val="0"/>
                <w:szCs w:val="21"/>
              </w:rPr>
            </w:pPr>
            <w:r w:rsidRPr="00FD0D8E">
              <w:rPr>
                <w:kern w:val="0"/>
                <w:szCs w:val="21"/>
              </w:rPr>
              <w:t>0.347</w:t>
            </w:r>
            <w:r w:rsidRPr="00FD0D8E">
              <w:rPr>
                <w:kern w:val="0"/>
                <w:szCs w:val="21"/>
                <w:vertAlign w:val="superscript"/>
              </w:rPr>
              <w:t>**</w:t>
            </w:r>
          </w:p>
        </w:tc>
        <w:tc>
          <w:tcPr>
            <w:tcW w:w="1297" w:type="pct"/>
            <w:tcBorders>
              <w:top w:val="nil"/>
              <w:left w:val="nil"/>
              <w:bottom w:val="nil"/>
              <w:right w:val="nil"/>
            </w:tcBorders>
          </w:tcPr>
          <w:p w14:paraId="0852D1F1" w14:textId="77777777" w:rsidR="00BE7A0E" w:rsidRPr="00FD0D8E" w:rsidRDefault="00BE7A0E" w:rsidP="00C74EB6">
            <w:pPr>
              <w:autoSpaceDE w:val="0"/>
              <w:autoSpaceDN w:val="0"/>
              <w:adjustRightInd w:val="0"/>
              <w:jc w:val="center"/>
              <w:rPr>
                <w:kern w:val="0"/>
                <w:szCs w:val="21"/>
              </w:rPr>
            </w:pPr>
            <w:r w:rsidRPr="00FD0D8E">
              <w:rPr>
                <w:kern w:val="0"/>
                <w:szCs w:val="21"/>
              </w:rPr>
              <w:t>0.035</w:t>
            </w:r>
            <w:r w:rsidRPr="00FD0D8E">
              <w:rPr>
                <w:kern w:val="0"/>
                <w:szCs w:val="21"/>
                <w:vertAlign w:val="superscript"/>
              </w:rPr>
              <w:t>**</w:t>
            </w:r>
          </w:p>
        </w:tc>
        <w:tc>
          <w:tcPr>
            <w:tcW w:w="1297" w:type="pct"/>
            <w:tcBorders>
              <w:top w:val="nil"/>
              <w:left w:val="nil"/>
              <w:bottom w:val="nil"/>
              <w:right w:val="nil"/>
            </w:tcBorders>
          </w:tcPr>
          <w:p w14:paraId="6C4CB1BC" w14:textId="77777777" w:rsidR="00BE7A0E" w:rsidRPr="00FD0D8E" w:rsidRDefault="00BE7A0E" w:rsidP="00C74EB6">
            <w:pPr>
              <w:autoSpaceDE w:val="0"/>
              <w:autoSpaceDN w:val="0"/>
              <w:adjustRightInd w:val="0"/>
              <w:jc w:val="center"/>
              <w:rPr>
                <w:kern w:val="0"/>
                <w:szCs w:val="21"/>
              </w:rPr>
            </w:pPr>
            <w:r w:rsidRPr="00FD0D8E">
              <w:rPr>
                <w:kern w:val="0"/>
                <w:szCs w:val="21"/>
              </w:rPr>
              <w:t>-0.039</w:t>
            </w:r>
          </w:p>
        </w:tc>
      </w:tr>
      <w:tr w:rsidR="00BE7A0E" w:rsidRPr="00FD0D8E" w14:paraId="1B50DC57" w14:textId="77777777" w:rsidTr="006B1109">
        <w:tc>
          <w:tcPr>
            <w:tcW w:w="1108" w:type="pct"/>
            <w:tcBorders>
              <w:top w:val="nil"/>
              <w:left w:val="nil"/>
              <w:bottom w:val="nil"/>
              <w:right w:val="nil"/>
            </w:tcBorders>
          </w:tcPr>
          <w:p w14:paraId="4B7E1573" w14:textId="77777777" w:rsidR="00BE7A0E" w:rsidRPr="00FD0D8E" w:rsidRDefault="00BE7A0E" w:rsidP="00C74EB6">
            <w:pPr>
              <w:autoSpaceDE w:val="0"/>
              <w:autoSpaceDN w:val="0"/>
              <w:adjustRightInd w:val="0"/>
              <w:rPr>
                <w:kern w:val="0"/>
                <w:szCs w:val="21"/>
              </w:rPr>
            </w:pPr>
          </w:p>
        </w:tc>
        <w:tc>
          <w:tcPr>
            <w:tcW w:w="1297" w:type="pct"/>
            <w:tcBorders>
              <w:top w:val="nil"/>
              <w:left w:val="nil"/>
              <w:bottom w:val="nil"/>
              <w:right w:val="nil"/>
            </w:tcBorders>
          </w:tcPr>
          <w:p w14:paraId="3F09C83A" w14:textId="77777777" w:rsidR="00BE7A0E" w:rsidRPr="00FD0D8E" w:rsidRDefault="00BE7A0E" w:rsidP="00C74EB6">
            <w:pPr>
              <w:autoSpaceDE w:val="0"/>
              <w:autoSpaceDN w:val="0"/>
              <w:adjustRightInd w:val="0"/>
              <w:jc w:val="center"/>
              <w:rPr>
                <w:kern w:val="0"/>
                <w:szCs w:val="21"/>
              </w:rPr>
            </w:pPr>
            <w:r w:rsidRPr="00FD0D8E">
              <w:rPr>
                <w:kern w:val="0"/>
                <w:szCs w:val="21"/>
              </w:rPr>
              <w:t>(0.169)</w:t>
            </w:r>
          </w:p>
        </w:tc>
        <w:tc>
          <w:tcPr>
            <w:tcW w:w="1297" w:type="pct"/>
            <w:tcBorders>
              <w:top w:val="nil"/>
              <w:left w:val="nil"/>
              <w:bottom w:val="nil"/>
              <w:right w:val="nil"/>
            </w:tcBorders>
          </w:tcPr>
          <w:p w14:paraId="75531EAD" w14:textId="77777777" w:rsidR="00BE7A0E" w:rsidRPr="00FD0D8E" w:rsidRDefault="00BE7A0E" w:rsidP="00C74EB6">
            <w:pPr>
              <w:autoSpaceDE w:val="0"/>
              <w:autoSpaceDN w:val="0"/>
              <w:adjustRightInd w:val="0"/>
              <w:jc w:val="center"/>
              <w:rPr>
                <w:kern w:val="0"/>
                <w:szCs w:val="21"/>
              </w:rPr>
            </w:pPr>
            <w:r w:rsidRPr="00FD0D8E">
              <w:rPr>
                <w:kern w:val="0"/>
                <w:szCs w:val="21"/>
              </w:rPr>
              <w:t>(0.017)</w:t>
            </w:r>
          </w:p>
        </w:tc>
        <w:tc>
          <w:tcPr>
            <w:tcW w:w="1297" w:type="pct"/>
            <w:tcBorders>
              <w:top w:val="nil"/>
              <w:left w:val="nil"/>
              <w:bottom w:val="nil"/>
              <w:right w:val="nil"/>
            </w:tcBorders>
          </w:tcPr>
          <w:p w14:paraId="10CCC93D" w14:textId="77777777" w:rsidR="00BE7A0E" w:rsidRPr="00FD0D8E" w:rsidRDefault="00BE7A0E" w:rsidP="00C74EB6">
            <w:pPr>
              <w:autoSpaceDE w:val="0"/>
              <w:autoSpaceDN w:val="0"/>
              <w:adjustRightInd w:val="0"/>
              <w:jc w:val="center"/>
              <w:rPr>
                <w:kern w:val="0"/>
                <w:szCs w:val="21"/>
              </w:rPr>
            </w:pPr>
            <w:r w:rsidRPr="00FD0D8E">
              <w:rPr>
                <w:kern w:val="0"/>
                <w:szCs w:val="21"/>
              </w:rPr>
              <w:t>(0.027)</w:t>
            </w:r>
          </w:p>
        </w:tc>
      </w:tr>
      <w:tr w:rsidR="009D0FC5" w:rsidRPr="00FD0D8E" w14:paraId="36738AE6" w14:textId="77777777" w:rsidTr="006B1109">
        <w:tc>
          <w:tcPr>
            <w:tcW w:w="1108" w:type="pct"/>
            <w:tcBorders>
              <w:top w:val="nil"/>
              <w:left w:val="nil"/>
              <w:bottom w:val="nil"/>
              <w:right w:val="nil"/>
            </w:tcBorders>
            <w:vAlign w:val="center"/>
          </w:tcPr>
          <w:p w14:paraId="5DEB7DED" w14:textId="7C80371D" w:rsidR="009D0FC5" w:rsidRPr="00FD0D8E" w:rsidRDefault="009D0FC5" w:rsidP="00C74EB6">
            <w:pPr>
              <w:autoSpaceDE w:val="0"/>
              <w:autoSpaceDN w:val="0"/>
              <w:adjustRightInd w:val="0"/>
              <w:rPr>
                <w:kern w:val="0"/>
                <w:szCs w:val="21"/>
              </w:rPr>
            </w:pPr>
            <w:r w:rsidRPr="00FD0D8E">
              <w:rPr>
                <w:kern w:val="0"/>
                <w:szCs w:val="21"/>
              </w:rPr>
              <w:t>行业</w:t>
            </w:r>
            <w:r w:rsidRPr="00FD0D8E">
              <w:rPr>
                <w:kern w:val="0"/>
                <w:szCs w:val="21"/>
              </w:rPr>
              <w:t>FE</w:t>
            </w:r>
          </w:p>
        </w:tc>
        <w:tc>
          <w:tcPr>
            <w:tcW w:w="1297" w:type="pct"/>
            <w:tcBorders>
              <w:top w:val="nil"/>
              <w:left w:val="nil"/>
              <w:bottom w:val="nil"/>
              <w:right w:val="nil"/>
            </w:tcBorders>
          </w:tcPr>
          <w:p w14:paraId="2E4AD76C" w14:textId="5DCF5C6D" w:rsidR="009D0FC5" w:rsidRPr="00FD0D8E" w:rsidRDefault="009D0FC5" w:rsidP="00C74EB6">
            <w:pPr>
              <w:autoSpaceDE w:val="0"/>
              <w:autoSpaceDN w:val="0"/>
              <w:adjustRightInd w:val="0"/>
              <w:jc w:val="center"/>
              <w:rPr>
                <w:kern w:val="0"/>
                <w:szCs w:val="21"/>
              </w:rPr>
            </w:pPr>
            <w:r w:rsidRPr="00FD0D8E">
              <w:rPr>
                <w:rFonts w:hint="eastAsia"/>
                <w:kern w:val="0"/>
                <w:szCs w:val="21"/>
              </w:rPr>
              <w:t>控制</w:t>
            </w:r>
          </w:p>
        </w:tc>
        <w:tc>
          <w:tcPr>
            <w:tcW w:w="1297" w:type="pct"/>
            <w:tcBorders>
              <w:top w:val="nil"/>
              <w:left w:val="nil"/>
              <w:bottom w:val="nil"/>
              <w:right w:val="nil"/>
            </w:tcBorders>
          </w:tcPr>
          <w:p w14:paraId="08371A69" w14:textId="7719BC67" w:rsidR="009D0FC5" w:rsidRPr="00FD0D8E" w:rsidRDefault="009D0FC5" w:rsidP="00C74EB6">
            <w:pPr>
              <w:autoSpaceDE w:val="0"/>
              <w:autoSpaceDN w:val="0"/>
              <w:adjustRightInd w:val="0"/>
              <w:jc w:val="center"/>
              <w:rPr>
                <w:kern w:val="0"/>
                <w:szCs w:val="21"/>
              </w:rPr>
            </w:pPr>
            <w:r w:rsidRPr="00FD0D8E">
              <w:rPr>
                <w:rFonts w:hint="eastAsia"/>
                <w:kern w:val="0"/>
                <w:szCs w:val="21"/>
              </w:rPr>
              <w:t>控制</w:t>
            </w:r>
          </w:p>
        </w:tc>
        <w:tc>
          <w:tcPr>
            <w:tcW w:w="1297" w:type="pct"/>
            <w:tcBorders>
              <w:top w:val="nil"/>
              <w:left w:val="nil"/>
              <w:bottom w:val="nil"/>
              <w:right w:val="nil"/>
            </w:tcBorders>
          </w:tcPr>
          <w:p w14:paraId="44FCEF42" w14:textId="315DB075" w:rsidR="009D0FC5" w:rsidRPr="00FD0D8E" w:rsidRDefault="009D0FC5" w:rsidP="00C74EB6">
            <w:pPr>
              <w:autoSpaceDE w:val="0"/>
              <w:autoSpaceDN w:val="0"/>
              <w:adjustRightInd w:val="0"/>
              <w:jc w:val="center"/>
              <w:rPr>
                <w:kern w:val="0"/>
                <w:szCs w:val="21"/>
              </w:rPr>
            </w:pPr>
            <w:r w:rsidRPr="00FD0D8E">
              <w:rPr>
                <w:rFonts w:hint="eastAsia"/>
                <w:kern w:val="0"/>
                <w:szCs w:val="21"/>
              </w:rPr>
              <w:t>控制</w:t>
            </w:r>
          </w:p>
        </w:tc>
      </w:tr>
      <w:tr w:rsidR="009D0FC5" w:rsidRPr="00FD0D8E" w14:paraId="4E0085A8" w14:textId="77777777" w:rsidTr="006B1109">
        <w:tc>
          <w:tcPr>
            <w:tcW w:w="1108" w:type="pct"/>
            <w:tcBorders>
              <w:top w:val="nil"/>
              <w:left w:val="nil"/>
              <w:bottom w:val="nil"/>
              <w:right w:val="nil"/>
            </w:tcBorders>
            <w:vAlign w:val="center"/>
          </w:tcPr>
          <w:p w14:paraId="4DF36C40" w14:textId="724747DA" w:rsidR="009D0FC5" w:rsidRPr="00FD0D8E" w:rsidRDefault="009D0FC5" w:rsidP="00C74EB6">
            <w:pPr>
              <w:autoSpaceDE w:val="0"/>
              <w:autoSpaceDN w:val="0"/>
              <w:adjustRightInd w:val="0"/>
              <w:rPr>
                <w:kern w:val="0"/>
                <w:szCs w:val="21"/>
              </w:rPr>
            </w:pPr>
            <w:r w:rsidRPr="00FD0D8E">
              <w:rPr>
                <w:kern w:val="0"/>
                <w:szCs w:val="21"/>
              </w:rPr>
              <w:t>年份</w:t>
            </w:r>
            <w:r w:rsidRPr="00FD0D8E">
              <w:rPr>
                <w:kern w:val="0"/>
                <w:szCs w:val="21"/>
              </w:rPr>
              <w:t>FE</w:t>
            </w:r>
          </w:p>
        </w:tc>
        <w:tc>
          <w:tcPr>
            <w:tcW w:w="1297" w:type="pct"/>
            <w:tcBorders>
              <w:top w:val="nil"/>
              <w:left w:val="nil"/>
              <w:bottom w:val="nil"/>
              <w:right w:val="nil"/>
            </w:tcBorders>
          </w:tcPr>
          <w:p w14:paraId="0E8CAD51" w14:textId="339C5DBF" w:rsidR="009D0FC5" w:rsidRPr="00FD0D8E" w:rsidRDefault="009D0FC5" w:rsidP="00C74EB6">
            <w:pPr>
              <w:autoSpaceDE w:val="0"/>
              <w:autoSpaceDN w:val="0"/>
              <w:adjustRightInd w:val="0"/>
              <w:jc w:val="center"/>
              <w:rPr>
                <w:kern w:val="0"/>
                <w:szCs w:val="21"/>
              </w:rPr>
            </w:pPr>
            <w:r w:rsidRPr="00FD0D8E">
              <w:rPr>
                <w:rFonts w:hint="eastAsia"/>
                <w:kern w:val="0"/>
                <w:szCs w:val="21"/>
              </w:rPr>
              <w:t>控制</w:t>
            </w:r>
          </w:p>
        </w:tc>
        <w:tc>
          <w:tcPr>
            <w:tcW w:w="1297" w:type="pct"/>
            <w:tcBorders>
              <w:top w:val="nil"/>
              <w:left w:val="nil"/>
              <w:bottom w:val="nil"/>
              <w:right w:val="nil"/>
            </w:tcBorders>
          </w:tcPr>
          <w:p w14:paraId="45E1BCA4" w14:textId="10C5436E" w:rsidR="009D0FC5" w:rsidRPr="00FD0D8E" w:rsidRDefault="009D0FC5" w:rsidP="00C74EB6">
            <w:pPr>
              <w:autoSpaceDE w:val="0"/>
              <w:autoSpaceDN w:val="0"/>
              <w:adjustRightInd w:val="0"/>
              <w:jc w:val="center"/>
              <w:rPr>
                <w:kern w:val="0"/>
                <w:szCs w:val="21"/>
              </w:rPr>
            </w:pPr>
            <w:r w:rsidRPr="00FD0D8E">
              <w:rPr>
                <w:rFonts w:hint="eastAsia"/>
                <w:kern w:val="0"/>
                <w:szCs w:val="21"/>
              </w:rPr>
              <w:t>控制</w:t>
            </w:r>
          </w:p>
        </w:tc>
        <w:tc>
          <w:tcPr>
            <w:tcW w:w="1297" w:type="pct"/>
            <w:tcBorders>
              <w:top w:val="nil"/>
              <w:left w:val="nil"/>
              <w:bottom w:val="nil"/>
              <w:right w:val="nil"/>
            </w:tcBorders>
          </w:tcPr>
          <w:p w14:paraId="000EAC9C" w14:textId="7AB87AAB" w:rsidR="009D0FC5" w:rsidRPr="00FD0D8E" w:rsidRDefault="009D0FC5" w:rsidP="00C74EB6">
            <w:pPr>
              <w:autoSpaceDE w:val="0"/>
              <w:autoSpaceDN w:val="0"/>
              <w:adjustRightInd w:val="0"/>
              <w:jc w:val="center"/>
              <w:rPr>
                <w:kern w:val="0"/>
                <w:szCs w:val="21"/>
              </w:rPr>
            </w:pPr>
            <w:r w:rsidRPr="00FD0D8E">
              <w:rPr>
                <w:rFonts w:hint="eastAsia"/>
                <w:kern w:val="0"/>
                <w:szCs w:val="21"/>
              </w:rPr>
              <w:t>控制</w:t>
            </w:r>
          </w:p>
        </w:tc>
      </w:tr>
      <w:tr w:rsidR="009D0FC5" w:rsidRPr="00FD0D8E" w14:paraId="72A11D1A" w14:textId="77777777" w:rsidTr="009D0FC5">
        <w:tc>
          <w:tcPr>
            <w:tcW w:w="1108" w:type="pct"/>
            <w:tcBorders>
              <w:top w:val="nil"/>
              <w:left w:val="nil"/>
              <w:right w:val="nil"/>
            </w:tcBorders>
          </w:tcPr>
          <w:p w14:paraId="6818FC70" w14:textId="2E8432F0" w:rsidR="009D0FC5" w:rsidRPr="00FD0D8E" w:rsidRDefault="009D0FC5" w:rsidP="00C74EB6">
            <w:pPr>
              <w:autoSpaceDE w:val="0"/>
              <w:autoSpaceDN w:val="0"/>
              <w:adjustRightInd w:val="0"/>
              <w:rPr>
                <w:kern w:val="0"/>
                <w:szCs w:val="21"/>
              </w:rPr>
            </w:pPr>
            <w:r w:rsidRPr="00FD0D8E">
              <w:rPr>
                <w:kern w:val="0"/>
                <w:szCs w:val="21"/>
              </w:rPr>
              <w:t>N</w:t>
            </w:r>
          </w:p>
        </w:tc>
        <w:tc>
          <w:tcPr>
            <w:tcW w:w="1297" w:type="pct"/>
            <w:tcBorders>
              <w:top w:val="nil"/>
              <w:left w:val="nil"/>
              <w:right w:val="nil"/>
            </w:tcBorders>
          </w:tcPr>
          <w:p w14:paraId="21994096" w14:textId="20A2FEB3" w:rsidR="009D0FC5" w:rsidRPr="00FD0D8E" w:rsidRDefault="009D0FC5" w:rsidP="00C74EB6">
            <w:pPr>
              <w:autoSpaceDE w:val="0"/>
              <w:autoSpaceDN w:val="0"/>
              <w:adjustRightInd w:val="0"/>
              <w:jc w:val="center"/>
              <w:rPr>
                <w:kern w:val="0"/>
                <w:szCs w:val="21"/>
              </w:rPr>
            </w:pPr>
            <w:r w:rsidRPr="00FD0D8E">
              <w:rPr>
                <w:kern w:val="0"/>
                <w:szCs w:val="21"/>
              </w:rPr>
              <w:t>20612</w:t>
            </w:r>
          </w:p>
        </w:tc>
        <w:tc>
          <w:tcPr>
            <w:tcW w:w="1297" w:type="pct"/>
            <w:tcBorders>
              <w:top w:val="nil"/>
              <w:left w:val="nil"/>
              <w:right w:val="nil"/>
            </w:tcBorders>
          </w:tcPr>
          <w:p w14:paraId="0F4F838D" w14:textId="2811E6E1" w:rsidR="009D0FC5" w:rsidRPr="00FD0D8E" w:rsidRDefault="009D0FC5" w:rsidP="00C74EB6">
            <w:pPr>
              <w:autoSpaceDE w:val="0"/>
              <w:autoSpaceDN w:val="0"/>
              <w:adjustRightInd w:val="0"/>
              <w:jc w:val="center"/>
              <w:rPr>
                <w:kern w:val="0"/>
                <w:szCs w:val="21"/>
              </w:rPr>
            </w:pPr>
            <w:r w:rsidRPr="00FD0D8E">
              <w:rPr>
                <w:kern w:val="0"/>
                <w:szCs w:val="21"/>
              </w:rPr>
              <w:t>20612</w:t>
            </w:r>
          </w:p>
        </w:tc>
        <w:tc>
          <w:tcPr>
            <w:tcW w:w="1297" w:type="pct"/>
            <w:tcBorders>
              <w:top w:val="nil"/>
              <w:left w:val="nil"/>
              <w:right w:val="nil"/>
            </w:tcBorders>
          </w:tcPr>
          <w:p w14:paraId="78766F84" w14:textId="51D31503" w:rsidR="009D0FC5" w:rsidRPr="00FD0D8E" w:rsidRDefault="009D0FC5" w:rsidP="00C74EB6">
            <w:pPr>
              <w:autoSpaceDE w:val="0"/>
              <w:autoSpaceDN w:val="0"/>
              <w:adjustRightInd w:val="0"/>
              <w:jc w:val="center"/>
              <w:rPr>
                <w:kern w:val="0"/>
                <w:szCs w:val="21"/>
              </w:rPr>
            </w:pPr>
            <w:r w:rsidRPr="00FD0D8E">
              <w:rPr>
                <w:kern w:val="0"/>
                <w:szCs w:val="21"/>
              </w:rPr>
              <w:t>20612</w:t>
            </w:r>
          </w:p>
        </w:tc>
      </w:tr>
      <w:tr w:rsidR="009D0FC5" w:rsidRPr="00FD0D8E" w14:paraId="039D6194" w14:textId="77777777" w:rsidTr="009D0FC5">
        <w:tc>
          <w:tcPr>
            <w:tcW w:w="1108" w:type="pct"/>
            <w:tcBorders>
              <w:top w:val="nil"/>
              <w:left w:val="nil"/>
              <w:bottom w:val="single" w:sz="4" w:space="0" w:color="auto"/>
              <w:right w:val="nil"/>
            </w:tcBorders>
            <w:vAlign w:val="center"/>
          </w:tcPr>
          <w:p w14:paraId="225BE36B" w14:textId="3B4100E9" w:rsidR="009D0FC5" w:rsidRPr="00FD0D8E" w:rsidRDefault="009D0FC5" w:rsidP="00C74EB6">
            <w:pPr>
              <w:autoSpaceDE w:val="0"/>
              <w:autoSpaceDN w:val="0"/>
              <w:adjustRightInd w:val="0"/>
              <w:rPr>
                <w:kern w:val="0"/>
                <w:szCs w:val="21"/>
              </w:rPr>
            </w:pPr>
            <w:r w:rsidRPr="00FD0D8E">
              <w:rPr>
                <w:rFonts w:hint="eastAsia"/>
                <w:kern w:val="0"/>
                <w:szCs w:val="21"/>
              </w:rPr>
              <w:t xml:space="preserve">Adj </w:t>
            </w:r>
            <w:r w:rsidRPr="00FD0D8E">
              <w:rPr>
                <w:kern w:val="0"/>
                <w:szCs w:val="21"/>
              </w:rPr>
              <w:t>R²</w:t>
            </w:r>
          </w:p>
        </w:tc>
        <w:tc>
          <w:tcPr>
            <w:tcW w:w="1297" w:type="pct"/>
            <w:tcBorders>
              <w:top w:val="nil"/>
              <w:left w:val="nil"/>
              <w:bottom w:val="single" w:sz="4" w:space="0" w:color="auto"/>
              <w:right w:val="nil"/>
            </w:tcBorders>
          </w:tcPr>
          <w:p w14:paraId="3A3049FA" w14:textId="0D014754" w:rsidR="009D0FC5" w:rsidRPr="00FD0D8E" w:rsidRDefault="009D0FC5" w:rsidP="00C74EB6">
            <w:pPr>
              <w:autoSpaceDE w:val="0"/>
              <w:autoSpaceDN w:val="0"/>
              <w:adjustRightInd w:val="0"/>
              <w:jc w:val="center"/>
              <w:rPr>
                <w:kern w:val="0"/>
                <w:szCs w:val="21"/>
              </w:rPr>
            </w:pPr>
            <w:r w:rsidRPr="00FD0D8E">
              <w:rPr>
                <w:rFonts w:hint="eastAsia"/>
                <w:kern w:val="0"/>
                <w:szCs w:val="21"/>
              </w:rPr>
              <w:t>0.18</w:t>
            </w:r>
          </w:p>
        </w:tc>
        <w:tc>
          <w:tcPr>
            <w:tcW w:w="1297" w:type="pct"/>
            <w:tcBorders>
              <w:top w:val="nil"/>
              <w:left w:val="nil"/>
              <w:bottom w:val="single" w:sz="4" w:space="0" w:color="auto"/>
              <w:right w:val="nil"/>
            </w:tcBorders>
          </w:tcPr>
          <w:p w14:paraId="6992C7F2" w14:textId="213E3EAA" w:rsidR="009D0FC5" w:rsidRPr="00FD0D8E" w:rsidRDefault="009D0FC5" w:rsidP="00C74EB6">
            <w:pPr>
              <w:autoSpaceDE w:val="0"/>
              <w:autoSpaceDN w:val="0"/>
              <w:adjustRightInd w:val="0"/>
              <w:jc w:val="center"/>
              <w:rPr>
                <w:kern w:val="0"/>
                <w:szCs w:val="21"/>
              </w:rPr>
            </w:pPr>
            <w:r w:rsidRPr="00FD0D8E">
              <w:rPr>
                <w:rFonts w:hint="eastAsia"/>
                <w:kern w:val="0"/>
                <w:szCs w:val="21"/>
              </w:rPr>
              <w:t>0.17</w:t>
            </w:r>
          </w:p>
        </w:tc>
        <w:tc>
          <w:tcPr>
            <w:tcW w:w="1297" w:type="pct"/>
            <w:tcBorders>
              <w:top w:val="nil"/>
              <w:left w:val="nil"/>
              <w:bottom w:val="single" w:sz="4" w:space="0" w:color="auto"/>
              <w:right w:val="nil"/>
            </w:tcBorders>
          </w:tcPr>
          <w:p w14:paraId="3F0D7DBC" w14:textId="53F7145D" w:rsidR="009D0FC5" w:rsidRPr="00FD0D8E" w:rsidRDefault="009D0FC5" w:rsidP="00C74EB6">
            <w:pPr>
              <w:autoSpaceDE w:val="0"/>
              <w:autoSpaceDN w:val="0"/>
              <w:adjustRightInd w:val="0"/>
              <w:jc w:val="center"/>
              <w:rPr>
                <w:kern w:val="0"/>
                <w:szCs w:val="21"/>
              </w:rPr>
            </w:pPr>
            <w:r w:rsidRPr="00FD0D8E">
              <w:rPr>
                <w:rFonts w:hint="eastAsia"/>
                <w:kern w:val="0"/>
                <w:szCs w:val="21"/>
              </w:rPr>
              <w:t>0.29</w:t>
            </w:r>
          </w:p>
        </w:tc>
      </w:tr>
    </w:tbl>
    <w:p w14:paraId="36E2AE67" w14:textId="2A636469" w:rsidR="006F2C7E" w:rsidRPr="00B50D68" w:rsidRDefault="00891829" w:rsidP="006F2C7E">
      <w:pPr>
        <w:autoSpaceDE w:val="0"/>
        <w:autoSpaceDN w:val="0"/>
        <w:adjustRightInd w:val="0"/>
        <w:ind w:firstLine="360"/>
        <w:rPr>
          <w:kern w:val="0"/>
          <w:sz w:val="18"/>
          <w:szCs w:val="18"/>
        </w:rPr>
        <w:sectPr w:rsidR="006F2C7E" w:rsidRPr="00B50D68" w:rsidSect="004C36D5">
          <w:headerReference w:type="even" r:id="rId27"/>
          <w:headerReference w:type="default" r:id="rId28"/>
          <w:headerReference w:type="first" r:id="rId29"/>
          <w:pgSz w:w="11906" w:h="16838"/>
          <w:pgMar w:top="1440" w:right="1800" w:bottom="1440" w:left="1800" w:header="851" w:footer="992" w:gutter="0"/>
          <w:cols w:space="425"/>
          <w:docGrid w:type="lines" w:linePitch="312"/>
        </w:sectPr>
      </w:pPr>
      <w:r w:rsidRPr="00B50D68">
        <w:rPr>
          <w:rFonts w:hint="eastAsia"/>
          <w:kern w:val="0"/>
          <w:sz w:val="18"/>
          <w:szCs w:val="18"/>
        </w:rPr>
        <w:t>注：括号内代表聚类稳健标准误；</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w:t>
      </w:r>
      <w:r w:rsidRPr="00B50D68">
        <w:rPr>
          <w:rFonts w:hint="eastAsia"/>
          <w:kern w:val="0"/>
          <w:sz w:val="18"/>
          <w:szCs w:val="18"/>
        </w:rPr>
        <w:t>分别表示变量在</w:t>
      </w:r>
      <w:r w:rsidRPr="00B50D68">
        <w:rPr>
          <w:rFonts w:hint="eastAsia"/>
          <w:kern w:val="0"/>
          <w:sz w:val="18"/>
          <w:szCs w:val="18"/>
        </w:rPr>
        <w:t>10%</w:t>
      </w:r>
      <w:r w:rsidRPr="00B50D68">
        <w:rPr>
          <w:rFonts w:hint="eastAsia"/>
          <w:kern w:val="0"/>
          <w:sz w:val="18"/>
          <w:szCs w:val="18"/>
        </w:rPr>
        <w:t>、</w:t>
      </w:r>
      <w:r w:rsidRPr="00B50D68">
        <w:rPr>
          <w:rFonts w:hint="eastAsia"/>
          <w:kern w:val="0"/>
          <w:sz w:val="18"/>
          <w:szCs w:val="18"/>
        </w:rPr>
        <w:t>5%</w:t>
      </w:r>
      <w:r w:rsidRPr="00B50D68">
        <w:rPr>
          <w:rFonts w:hint="eastAsia"/>
          <w:kern w:val="0"/>
          <w:sz w:val="18"/>
          <w:szCs w:val="18"/>
        </w:rPr>
        <w:t>、</w:t>
      </w:r>
      <w:r w:rsidRPr="00B50D68">
        <w:rPr>
          <w:rFonts w:hint="eastAsia"/>
          <w:kern w:val="0"/>
          <w:sz w:val="18"/>
          <w:szCs w:val="18"/>
        </w:rPr>
        <w:t>1%</w:t>
      </w:r>
      <w:r w:rsidRPr="00B50D68">
        <w:rPr>
          <w:rFonts w:hint="eastAsia"/>
          <w:kern w:val="0"/>
          <w:sz w:val="18"/>
          <w:szCs w:val="18"/>
        </w:rPr>
        <w:t>水平上</w:t>
      </w:r>
      <w:r w:rsidR="00D2412F" w:rsidRPr="00B50D68">
        <w:rPr>
          <w:rFonts w:hint="eastAsia"/>
          <w:kern w:val="0"/>
          <w:sz w:val="18"/>
          <w:szCs w:val="18"/>
        </w:rPr>
        <w:t>显著。</w:t>
      </w:r>
    </w:p>
    <w:p w14:paraId="2C21F68B" w14:textId="53C6DD4F" w:rsidR="006F2C7E" w:rsidRPr="00C74EB6" w:rsidRDefault="00D2412F" w:rsidP="00C0628E">
      <w:pPr>
        <w:pStyle w:val="1"/>
        <w:rPr>
          <w:rFonts w:hint="eastAsia"/>
        </w:rPr>
      </w:pPr>
      <w:bookmarkStart w:id="156" w:name="_Toc191420765"/>
      <w:bookmarkStart w:id="157" w:name="_Toc191574135"/>
      <w:bookmarkStart w:id="158" w:name="_Toc198287006"/>
      <w:r w:rsidRPr="00C74EB6">
        <w:rPr>
          <w:rFonts w:hint="eastAsia"/>
        </w:rPr>
        <w:lastRenderedPageBreak/>
        <w:t>结论与展望</w:t>
      </w:r>
      <w:bookmarkEnd w:id="156"/>
      <w:bookmarkEnd w:id="157"/>
      <w:bookmarkEnd w:id="158"/>
    </w:p>
    <w:p w14:paraId="7BFD1569" w14:textId="52DBBFEC" w:rsidR="00304FFF" w:rsidRPr="00C74EB6" w:rsidRDefault="009A477F" w:rsidP="00C74EB6">
      <w:pPr>
        <w:pStyle w:val="2"/>
      </w:pPr>
      <w:bookmarkStart w:id="159" w:name="_Toc191420766"/>
      <w:bookmarkStart w:id="160" w:name="_Toc191574136"/>
      <w:bookmarkStart w:id="161" w:name="_Toc198287007"/>
      <w:r w:rsidRPr="00C74EB6">
        <w:rPr>
          <w:rFonts w:hint="eastAsia"/>
        </w:rPr>
        <w:t>研究结论</w:t>
      </w:r>
      <w:bookmarkEnd w:id="159"/>
      <w:bookmarkEnd w:id="160"/>
      <w:bookmarkEnd w:id="161"/>
    </w:p>
    <w:p w14:paraId="375F8F71" w14:textId="5F957922" w:rsidR="00DC6FFF" w:rsidRDefault="00DC6FFF" w:rsidP="009E2303">
      <w:pPr>
        <w:spacing w:line="360" w:lineRule="auto"/>
        <w:ind w:firstLineChars="200" w:firstLine="480"/>
        <w:rPr>
          <w:sz w:val="24"/>
        </w:rPr>
      </w:pPr>
      <w:r w:rsidRPr="00086241">
        <w:rPr>
          <w:rFonts w:hint="eastAsia"/>
          <w:sz w:val="24"/>
        </w:rPr>
        <w:t>本文结合理论分析与实证结果，围绕组织资本对董</w:t>
      </w:r>
      <w:proofErr w:type="gramStart"/>
      <w:r w:rsidRPr="00086241">
        <w:rPr>
          <w:rFonts w:hint="eastAsia"/>
          <w:sz w:val="24"/>
        </w:rPr>
        <w:t>监高责任</w:t>
      </w:r>
      <w:proofErr w:type="gramEnd"/>
      <w:r w:rsidRPr="00086241">
        <w:rPr>
          <w:rFonts w:hint="eastAsia"/>
          <w:sz w:val="24"/>
        </w:rPr>
        <w:t>险</w:t>
      </w:r>
      <w:r w:rsidR="00D473F8">
        <w:rPr>
          <w:rFonts w:hint="eastAsia"/>
          <w:sz w:val="24"/>
        </w:rPr>
        <w:t>投保意向</w:t>
      </w:r>
      <w:r w:rsidRPr="00086241">
        <w:rPr>
          <w:rFonts w:hint="eastAsia"/>
          <w:sz w:val="24"/>
        </w:rPr>
        <w:t>的影响展开研究</w:t>
      </w:r>
      <w:r w:rsidR="00A05220" w:rsidRPr="00086241">
        <w:rPr>
          <w:rFonts w:hint="eastAsia"/>
          <w:sz w:val="24"/>
        </w:rPr>
        <w:t>。</w:t>
      </w:r>
      <w:r w:rsidRPr="00086241">
        <w:rPr>
          <w:rFonts w:hint="eastAsia"/>
          <w:sz w:val="24"/>
        </w:rPr>
        <w:t>通过多模型回归分析，本文发现组织资本的提升显著</w:t>
      </w:r>
      <w:r w:rsidR="00597A80">
        <w:rPr>
          <w:rFonts w:hint="eastAsia"/>
          <w:sz w:val="24"/>
        </w:rPr>
        <w:t>增加</w:t>
      </w:r>
      <w:r w:rsidRPr="00086241">
        <w:rPr>
          <w:rFonts w:hint="eastAsia"/>
          <w:sz w:val="24"/>
        </w:rPr>
        <w:t>公司</w:t>
      </w:r>
      <w:r w:rsidR="00A157CE">
        <w:rPr>
          <w:rFonts w:hint="eastAsia"/>
          <w:sz w:val="24"/>
        </w:rPr>
        <w:t>拟</w:t>
      </w:r>
      <w:r w:rsidR="00E30576">
        <w:rPr>
          <w:rFonts w:hint="eastAsia"/>
          <w:sz w:val="24"/>
        </w:rPr>
        <w:t>购买</w:t>
      </w:r>
      <w:r w:rsidRPr="00086241">
        <w:rPr>
          <w:rFonts w:hint="eastAsia"/>
          <w:sz w:val="24"/>
        </w:rPr>
        <w:t>董</w:t>
      </w:r>
      <w:proofErr w:type="gramStart"/>
      <w:r w:rsidRPr="00086241">
        <w:rPr>
          <w:rFonts w:hint="eastAsia"/>
          <w:sz w:val="24"/>
        </w:rPr>
        <w:t>监高责任</w:t>
      </w:r>
      <w:proofErr w:type="gramEnd"/>
      <w:r w:rsidRPr="00086241">
        <w:rPr>
          <w:rFonts w:hint="eastAsia"/>
          <w:sz w:val="24"/>
        </w:rPr>
        <w:t>险的</w:t>
      </w:r>
      <w:r w:rsidR="00BB0433" w:rsidRPr="00086241">
        <w:rPr>
          <w:rFonts w:hint="eastAsia"/>
          <w:sz w:val="24"/>
        </w:rPr>
        <w:t>概率。</w:t>
      </w:r>
      <w:r w:rsidRPr="00086241">
        <w:rPr>
          <w:rFonts w:hint="eastAsia"/>
          <w:sz w:val="24"/>
        </w:rPr>
        <w:t>控制关键变量</w:t>
      </w:r>
      <w:r w:rsidR="00597A80">
        <w:rPr>
          <w:rFonts w:hint="eastAsia"/>
          <w:sz w:val="24"/>
        </w:rPr>
        <w:t>与</w:t>
      </w:r>
      <w:r w:rsidRPr="00086241">
        <w:rPr>
          <w:rFonts w:hint="eastAsia"/>
          <w:sz w:val="24"/>
        </w:rPr>
        <w:t>固定效应后，组织资本每</w:t>
      </w:r>
      <w:r w:rsidR="00597A80">
        <w:rPr>
          <w:rFonts w:hint="eastAsia"/>
          <w:sz w:val="24"/>
        </w:rPr>
        <w:t>提升</w:t>
      </w:r>
      <w:r w:rsidRPr="00086241">
        <w:rPr>
          <w:rFonts w:hint="eastAsia"/>
          <w:sz w:val="24"/>
        </w:rPr>
        <w:t>一个单位，</w:t>
      </w:r>
      <w:r w:rsidR="00A157CE">
        <w:rPr>
          <w:rFonts w:hint="eastAsia"/>
          <w:sz w:val="24"/>
        </w:rPr>
        <w:t>拟</w:t>
      </w:r>
      <w:r w:rsidRPr="00086241">
        <w:rPr>
          <w:rFonts w:hint="eastAsia"/>
          <w:sz w:val="24"/>
        </w:rPr>
        <w:t>购买董</w:t>
      </w:r>
      <w:proofErr w:type="gramStart"/>
      <w:r w:rsidRPr="00086241">
        <w:rPr>
          <w:rFonts w:hint="eastAsia"/>
          <w:sz w:val="24"/>
        </w:rPr>
        <w:t>监高责任</w:t>
      </w:r>
      <w:proofErr w:type="gramEnd"/>
      <w:r w:rsidRPr="00086241">
        <w:rPr>
          <w:rFonts w:hint="eastAsia"/>
          <w:sz w:val="24"/>
        </w:rPr>
        <w:t>险的概率</w:t>
      </w:r>
      <w:r w:rsidR="00597A80">
        <w:rPr>
          <w:rFonts w:hint="eastAsia"/>
          <w:sz w:val="24"/>
        </w:rPr>
        <w:t>提高</w:t>
      </w:r>
      <w:r w:rsidR="007E1465">
        <w:rPr>
          <w:rFonts w:hint="eastAsia"/>
          <w:sz w:val="24"/>
        </w:rPr>
        <w:t>10.2</w:t>
      </w:r>
      <w:r w:rsidRPr="00086241">
        <w:rPr>
          <w:rFonts w:hint="eastAsia"/>
          <w:sz w:val="24"/>
        </w:rPr>
        <w:t>%</w:t>
      </w:r>
      <w:r w:rsidRPr="00086241">
        <w:rPr>
          <w:rFonts w:hint="eastAsia"/>
          <w:sz w:val="24"/>
        </w:rPr>
        <w:t>。</w:t>
      </w:r>
      <w:r w:rsidR="009E2303" w:rsidRPr="00086241">
        <w:rPr>
          <w:rFonts w:hint="eastAsia"/>
          <w:sz w:val="24"/>
        </w:rPr>
        <w:t>同时，资产规模大、跨境上市或由四大审计机构审计的公司</w:t>
      </w:r>
      <w:r w:rsidR="00597A80">
        <w:rPr>
          <w:rFonts w:hint="eastAsia"/>
          <w:sz w:val="24"/>
        </w:rPr>
        <w:t>因面临更高诉讼风险，</w:t>
      </w:r>
      <w:r w:rsidR="009E2303" w:rsidRPr="00086241">
        <w:rPr>
          <w:rFonts w:hint="eastAsia"/>
          <w:sz w:val="24"/>
        </w:rPr>
        <w:t>更</w:t>
      </w:r>
      <w:r w:rsidR="00A05220" w:rsidRPr="00086241">
        <w:rPr>
          <w:rFonts w:hint="eastAsia"/>
          <w:sz w:val="24"/>
        </w:rPr>
        <w:t>倾向于</w:t>
      </w:r>
      <w:r w:rsidR="009E2303" w:rsidRPr="00086241">
        <w:rPr>
          <w:rFonts w:hint="eastAsia"/>
          <w:sz w:val="24"/>
        </w:rPr>
        <w:t>配置责任险</w:t>
      </w:r>
      <w:r w:rsidR="00597A80">
        <w:rPr>
          <w:rFonts w:hint="eastAsia"/>
          <w:sz w:val="24"/>
        </w:rPr>
        <w:t>；</w:t>
      </w:r>
      <w:r w:rsidR="009E2303" w:rsidRPr="00086241">
        <w:rPr>
          <w:rFonts w:hint="eastAsia"/>
          <w:sz w:val="24"/>
        </w:rPr>
        <w:t>杠杆率高的公司也更依赖责任险保障。</w:t>
      </w:r>
    </w:p>
    <w:p w14:paraId="1EFFF038" w14:textId="0C8E0C22" w:rsidR="007E1465" w:rsidRPr="007E1465" w:rsidRDefault="007E1465" w:rsidP="007E1465">
      <w:pPr>
        <w:spacing w:line="360" w:lineRule="auto"/>
        <w:ind w:firstLineChars="200" w:firstLine="480"/>
        <w:rPr>
          <w:sz w:val="24"/>
        </w:rPr>
      </w:pPr>
      <w:r w:rsidRPr="00086241">
        <w:rPr>
          <w:rFonts w:hint="eastAsia"/>
          <w:sz w:val="24"/>
        </w:rPr>
        <w:t>为</w:t>
      </w:r>
      <w:r w:rsidR="00601DA8">
        <w:rPr>
          <w:rFonts w:hint="eastAsia"/>
          <w:sz w:val="24"/>
        </w:rPr>
        <w:t>缓解内生性问题</w:t>
      </w:r>
      <w:r w:rsidRPr="00086241">
        <w:rPr>
          <w:rFonts w:hint="eastAsia"/>
          <w:sz w:val="24"/>
        </w:rPr>
        <w:t>，本文使用</w:t>
      </w:r>
      <w:r w:rsidR="00601DA8">
        <w:rPr>
          <w:rFonts w:hint="eastAsia"/>
          <w:sz w:val="24"/>
        </w:rPr>
        <w:t>省级层面的失业补助</w:t>
      </w:r>
      <w:r w:rsidR="00E30576">
        <w:rPr>
          <w:rFonts w:hint="eastAsia"/>
          <w:sz w:val="24"/>
        </w:rPr>
        <w:t>和</w:t>
      </w:r>
      <w:r w:rsidR="00601DA8">
        <w:rPr>
          <w:rFonts w:hint="eastAsia"/>
          <w:sz w:val="24"/>
        </w:rPr>
        <w:t>排除公司自身的</w:t>
      </w:r>
      <w:r w:rsidR="00E30576" w:rsidRPr="00086241">
        <w:rPr>
          <w:rFonts w:hint="eastAsia"/>
          <w:sz w:val="24"/>
        </w:rPr>
        <w:t>组织资本行业中位数</w:t>
      </w:r>
      <w:r w:rsidRPr="00086241">
        <w:rPr>
          <w:rFonts w:hint="eastAsia"/>
          <w:sz w:val="24"/>
        </w:rPr>
        <w:t>作为工具变量，</w:t>
      </w:r>
      <w:r w:rsidR="00597A80">
        <w:rPr>
          <w:rFonts w:hint="eastAsia"/>
          <w:sz w:val="24"/>
        </w:rPr>
        <w:t>并用</w:t>
      </w:r>
      <w:r w:rsidRPr="00086241">
        <w:rPr>
          <w:rFonts w:hint="eastAsia"/>
          <w:sz w:val="24"/>
        </w:rPr>
        <w:t>倾向得分匹配（</w:t>
      </w:r>
      <w:r w:rsidRPr="00086241">
        <w:rPr>
          <w:rFonts w:hint="eastAsia"/>
          <w:sz w:val="24"/>
        </w:rPr>
        <w:t>PSM</w:t>
      </w:r>
      <w:r w:rsidRPr="00086241">
        <w:rPr>
          <w:rFonts w:hint="eastAsia"/>
          <w:sz w:val="24"/>
        </w:rPr>
        <w:t>）方法及</w:t>
      </w:r>
      <w:r w:rsidRPr="00086241">
        <w:rPr>
          <w:rFonts w:hint="eastAsia"/>
          <w:sz w:val="24"/>
        </w:rPr>
        <w:t>Heckman</w:t>
      </w:r>
      <w:r w:rsidRPr="00086241">
        <w:rPr>
          <w:rFonts w:hint="eastAsia"/>
          <w:sz w:val="24"/>
        </w:rPr>
        <w:t>选择模型修正内生性偏误，</w:t>
      </w:r>
      <w:r w:rsidR="008E596C">
        <w:rPr>
          <w:rFonts w:hint="eastAsia"/>
          <w:sz w:val="24"/>
        </w:rPr>
        <w:t>结果</w:t>
      </w:r>
      <w:r w:rsidRPr="00086241">
        <w:rPr>
          <w:rFonts w:hint="eastAsia"/>
          <w:sz w:val="24"/>
        </w:rPr>
        <w:t>依旧稳健。同时更换了组织资本和</w:t>
      </w:r>
      <w:proofErr w:type="gramStart"/>
      <w:r w:rsidRPr="00086241">
        <w:rPr>
          <w:rFonts w:hint="eastAsia"/>
          <w:sz w:val="24"/>
        </w:rPr>
        <w:t>董监高责任</w:t>
      </w:r>
      <w:proofErr w:type="gramEnd"/>
      <w:r w:rsidRPr="00086241">
        <w:rPr>
          <w:rFonts w:hint="eastAsia"/>
          <w:sz w:val="24"/>
        </w:rPr>
        <w:t>险</w:t>
      </w:r>
      <w:r w:rsidR="00D473F8">
        <w:rPr>
          <w:rFonts w:hint="eastAsia"/>
          <w:sz w:val="24"/>
        </w:rPr>
        <w:t>投保意向</w:t>
      </w:r>
      <w:r w:rsidRPr="00086241">
        <w:rPr>
          <w:rFonts w:hint="eastAsia"/>
          <w:sz w:val="24"/>
        </w:rPr>
        <w:t>的变量计算方式，通过稳健性检验验证了研究的可靠性。</w:t>
      </w:r>
    </w:p>
    <w:p w14:paraId="7F612A38" w14:textId="57C35422" w:rsidR="007E1465" w:rsidRDefault="00DC6FFF" w:rsidP="009E2303">
      <w:pPr>
        <w:spacing w:line="360" w:lineRule="auto"/>
        <w:ind w:firstLineChars="200" w:firstLine="480"/>
        <w:rPr>
          <w:sz w:val="24"/>
        </w:rPr>
      </w:pPr>
      <w:r w:rsidRPr="00086241">
        <w:rPr>
          <w:rFonts w:hint="eastAsia"/>
          <w:sz w:val="24"/>
        </w:rPr>
        <w:t>进一步</w:t>
      </w:r>
      <w:r w:rsidR="00A05220" w:rsidRPr="00086241">
        <w:rPr>
          <w:rFonts w:hint="eastAsia"/>
          <w:sz w:val="24"/>
        </w:rPr>
        <w:t>深入探究其内在机制</w:t>
      </w:r>
      <w:r w:rsidRPr="00086241">
        <w:rPr>
          <w:rFonts w:hint="eastAsia"/>
          <w:sz w:val="24"/>
        </w:rPr>
        <w:t>，组织资本</w:t>
      </w:r>
      <w:r w:rsidR="00A05220" w:rsidRPr="00086241">
        <w:rPr>
          <w:rFonts w:hint="eastAsia"/>
          <w:sz w:val="24"/>
        </w:rPr>
        <w:t>主要</w:t>
      </w:r>
      <w:r w:rsidRPr="00086241">
        <w:rPr>
          <w:rFonts w:hint="eastAsia"/>
          <w:sz w:val="24"/>
        </w:rPr>
        <w:t>通过</w:t>
      </w:r>
      <w:r w:rsidR="00E30576">
        <w:rPr>
          <w:rFonts w:hint="eastAsia"/>
          <w:sz w:val="24"/>
        </w:rPr>
        <w:t>双重委托代理</w:t>
      </w:r>
      <w:r w:rsidR="007E1465">
        <w:rPr>
          <w:rFonts w:hint="eastAsia"/>
          <w:sz w:val="24"/>
        </w:rPr>
        <w:t>和</w:t>
      </w:r>
      <w:r w:rsidR="00E30576">
        <w:rPr>
          <w:rFonts w:hint="eastAsia"/>
          <w:sz w:val="24"/>
        </w:rPr>
        <w:t>投资者关注</w:t>
      </w:r>
      <w:proofErr w:type="gramStart"/>
      <w:r w:rsidR="00E30576">
        <w:rPr>
          <w:rFonts w:hint="eastAsia"/>
          <w:sz w:val="24"/>
        </w:rPr>
        <w:t>度</w:t>
      </w:r>
      <w:r w:rsidR="007E1465">
        <w:rPr>
          <w:rFonts w:hint="eastAsia"/>
          <w:sz w:val="24"/>
        </w:rPr>
        <w:t>影响</w:t>
      </w:r>
      <w:r w:rsidRPr="00086241">
        <w:rPr>
          <w:rFonts w:hint="eastAsia"/>
          <w:sz w:val="24"/>
        </w:rPr>
        <w:t>董监高责任</w:t>
      </w:r>
      <w:proofErr w:type="gramEnd"/>
      <w:r w:rsidRPr="00086241">
        <w:rPr>
          <w:rFonts w:hint="eastAsia"/>
          <w:sz w:val="24"/>
        </w:rPr>
        <w:t>险</w:t>
      </w:r>
      <w:r w:rsidR="00D473F8">
        <w:rPr>
          <w:rFonts w:hint="eastAsia"/>
          <w:sz w:val="24"/>
        </w:rPr>
        <w:t>投保意向</w:t>
      </w:r>
      <w:r w:rsidRPr="00086241">
        <w:rPr>
          <w:rFonts w:hint="eastAsia"/>
          <w:sz w:val="24"/>
        </w:rPr>
        <w:t>。</w:t>
      </w:r>
      <w:r w:rsidR="007E1465">
        <w:rPr>
          <w:rFonts w:hint="eastAsia"/>
          <w:sz w:val="24"/>
        </w:rPr>
        <w:t>从</w:t>
      </w:r>
      <w:r w:rsidR="00E30576">
        <w:rPr>
          <w:rFonts w:hint="eastAsia"/>
          <w:sz w:val="24"/>
        </w:rPr>
        <w:t>双重委托代理机制</w:t>
      </w:r>
      <w:r w:rsidR="007E1465">
        <w:rPr>
          <w:rFonts w:hint="eastAsia"/>
          <w:sz w:val="24"/>
        </w:rPr>
        <w:t>分析，</w:t>
      </w:r>
      <w:r w:rsidRPr="00086241">
        <w:rPr>
          <w:rFonts w:hint="eastAsia"/>
          <w:sz w:val="24"/>
        </w:rPr>
        <w:t>组织资本</w:t>
      </w:r>
      <w:r w:rsidR="00A05220" w:rsidRPr="00086241">
        <w:rPr>
          <w:rFonts w:hint="eastAsia"/>
          <w:sz w:val="24"/>
        </w:rPr>
        <w:t>涵盖的</w:t>
      </w:r>
      <w:r w:rsidRPr="00086241">
        <w:rPr>
          <w:rFonts w:hint="eastAsia"/>
          <w:sz w:val="24"/>
        </w:rPr>
        <w:t>权力资本、规则资本和知识管理资本</w:t>
      </w:r>
      <w:r w:rsidR="00087669">
        <w:rPr>
          <w:rFonts w:hint="eastAsia"/>
          <w:sz w:val="24"/>
        </w:rPr>
        <w:t>放大了</w:t>
      </w:r>
      <w:r w:rsidR="007E1465">
        <w:rPr>
          <w:rFonts w:hint="eastAsia"/>
          <w:sz w:val="24"/>
        </w:rPr>
        <w:t>第一类和第二类</w:t>
      </w:r>
      <w:r w:rsidRPr="00086241">
        <w:rPr>
          <w:rFonts w:hint="eastAsia"/>
          <w:sz w:val="24"/>
        </w:rPr>
        <w:t>代理成本</w:t>
      </w:r>
      <w:r w:rsidR="007E1465">
        <w:rPr>
          <w:rFonts w:hint="eastAsia"/>
          <w:sz w:val="24"/>
        </w:rPr>
        <w:t>，</w:t>
      </w:r>
      <w:r w:rsidR="00597A80">
        <w:rPr>
          <w:rFonts w:hint="eastAsia"/>
          <w:sz w:val="24"/>
        </w:rPr>
        <w:t>促使公司</w:t>
      </w:r>
      <w:r w:rsidR="00087669">
        <w:rPr>
          <w:rFonts w:hint="eastAsia"/>
          <w:sz w:val="24"/>
        </w:rPr>
        <w:t>为</w:t>
      </w:r>
      <w:r w:rsidR="00597A80">
        <w:rPr>
          <w:rFonts w:hint="eastAsia"/>
          <w:sz w:val="24"/>
        </w:rPr>
        <w:t>规避诉讼</w:t>
      </w:r>
      <w:r w:rsidR="00087669">
        <w:rPr>
          <w:rFonts w:hint="eastAsia"/>
          <w:sz w:val="24"/>
        </w:rPr>
        <w:t>追责</w:t>
      </w:r>
      <w:r w:rsidR="00597A80">
        <w:rPr>
          <w:rFonts w:hint="eastAsia"/>
          <w:sz w:val="24"/>
        </w:rPr>
        <w:t>或与管理层</w:t>
      </w:r>
      <w:r w:rsidR="00087669">
        <w:rPr>
          <w:rFonts w:hint="eastAsia"/>
          <w:sz w:val="24"/>
        </w:rPr>
        <w:t>达成风险共谋而主动配置保险</w:t>
      </w:r>
      <w:r w:rsidR="007E1465">
        <w:rPr>
          <w:rFonts w:hint="eastAsia"/>
          <w:sz w:val="24"/>
        </w:rPr>
        <w:t>。从</w:t>
      </w:r>
      <w:r w:rsidR="00E30576">
        <w:rPr>
          <w:rFonts w:hint="eastAsia"/>
          <w:sz w:val="24"/>
        </w:rPr>
        <w:t>投资者关注度</w:t>
      </w:r>
      <w:r w:rsidR="00087669">
        <w:rPr>
          <w:rFonts w:hint="eastAsia"/>
          <w:sz w:val="24"/>
        </w:rPr>
        <w:t>视角来看</w:t>
      </w:r>
      <w:r w:rsidR="007E1465">
        <w:rPr>
          <w:rFonts w:hint="eastAsia"/>
          <w:sz w:val="24"/>
        </w:rPr>
        <w:t>，</w:t>
      </w:r>
      <w:proofErr w:type="gramStart"/>
      <w:r w:rsidR="00087669" w:rsidRPr="00087669">
        <w:rPr>
          <w:rFonts w:hint="eastAsia"/>
          <w:sz w:val="24"/>
        </w:rPr>
        <w:t>高组织</w:t>
      </w:r>
      <w:proofErr w:type="gramEnd"/>
      <w:r w:rsidR="00087669" w:rsidRPr="00087669">
        <w:rPr>
          <w:rFonts w:hint="eastAsia"/>
          <w:sz w:val="24"/>
        </w:rPr>
        <w:t>资本企业更易引发投资者深度调研，</w:t>
      </w:r>
      <w:r w:rsidR="00087669">
        <w:rPr>
          <w:rFonts w:hint="eastAsia"/>
          <w:sz w:val="24"/>
        </w:rPr>
        <w:t>股价和估值也有更大的炒作空间；</w:t>
      </w:r>
      <w:r w:rsidR="00087669" w:rsidRPr="00087669">
        <w:rPr>
          <w:rFonts w:hint="eastAsia"/>
          <w:sz w:val="24"/>
        </w:rPr>
        <w:t>为应对股价敏感性和监管压力，企业需通过保险购买</w:t>
      </w:r>
      <w:r w:rsidR="00EB79E3">
        <w:rPr>
          <w:rFonts w:hint="eastAsia"/>
          <w:sz w:val="24"/>
        </w:rPr>
        <w:t>降低诉讼风险、</w:t>
      </w:r>
      <w:r w:rsidR="00087669" w:rsidRPr="00087669">
        <w:rPr>
          <w:rFonts w:hint="eastAsia"/>
          <w:sz w:val="24"/>
        </w:rPr>
        <w:t>传递风险管</w:t>
      </w:r>
      <w:proofErr w:type="gramStart"/>
      <w:r w:rsidR="00087669" w:rsidRPr="00087669">
        <w:rPr>
          <w:rFonts w:hint="eastAsia"/>
          <w:sz w:val="24"/>
        </w:rPr>
        <w:t>控承诺</w:t>
      </w:r>
      <w:proofErr w:type="gramEnd"/>
      <w:r w:rsidR="00087669" w:rsidRPr="00087669">
        <w:rPr>
          <w:rFonts w:hint="eastAsia"/>
          <w:sz w:val="24"/>
        </w:rPr>
        <w:t>以稳定市场预期</w:t>
      </w:r>
      <w:r w:rsidR="007E1465">
        <w:rPr>
          <w:rFonts w:hint="eastAsia"/>
          <w:sz w:val="24"/>
        </w:rPr>
        <w:t>。</w:t>
      </w:r>
      <w:r w:rsidR="00597A80">
        <w:rPr>
          <w:rFonts w:hint="eastAsia"/>
          <w:sz w:val="24"/>
        </w:rPr>
        <w:t>由此可见</w:t>
      </w:r>
      <w:r w:rsidR="007E1465" w:rsidRPr="007E1465">
        <w:rPr>
          <w:rFonts w:hint="eastAsia"/>
          <w:sz w:val="24"/>
        </w:rPr>
        <w:t>，董</w:t>
      </w:r>
      <w:proofErr w:type="gramStart"/>
      <w:r w:rsidR="007E1465" w:rsidRPr="007E1465">
        <w:rPr>
          <w:rFonts w:hint="eastAsia"/>
          <w:sz w:val="24"/>
        </w:rPr>
        <w:t>监高责任</w:t>
      </w:r>
      <w:proofErr w:type="gramEnd"/>
      <w:r w:rsidR="007E1465" w:rsidRPr="007E1465">
        <w:rPr>
          <w:rFonts w:hint="eastAsia"/>
          <w:sz w:val="24"/>
        </w:rPr>
        <w:t>险</w:t>
      </w:r>
      <w:r w:rsidR="00597A80">
        <w:rPr>
          <w:rFonts w:hint="eastAsia"/>
          <w:sz w:val="24"/>
        </w:rPr>
        <w:t>被视为</w:t>
      </w:r>
      <w:r w:rsidR="007E1465" w:rsidRPr="007E1465">
        <w:rPr>
          <w:rFonts w:hint="eastAsia"/>
          <w:sz w:val="24"/>
        </w:rPr>
        <w:t>平衡内外部治理需求的工具，</w:t>
      </w:r>
      <w:r w:rsidR="00087669">
        <w:rPr>
          <w:rFonts w:hint="eastAsia"/>
          <w:sz w:val="24"/>
        </w:rPr>
        <w:t>具备</w:t>
      </w:r>
      <w:r w:rsidR="007E1465" w:rsidRPr="007E1465">
        <w:rPr>
          <w:rFonts w:hint="eastAsia"/>
          <w:sz w:val="24"/>
        </w:rPr>
        <w:t>缓释内部代理风险</w:t>
      </w:r>
      <w:r w:rsidR="007E1465">
        <w:rPr>
          <w:rFonts w:hint="eastAsia"/>
          <w:sz w:val="24"/>
        </w:rPr>
        <w:t>、</w:t>
      </w:r>
      <w:r w:rsidR="007E1465" w:rsidRPr="007E1465">
        <w:rPr>
          <w:rFonts w:hint="eastAsia"/>
          <w:sz w:val="24"/>
        </w:rPr>
        <w:t>回应外部监督</w:t>
      </w:r>
      <w:r w:rsidR="00087669">
        <w:rPr>
          <w:rFonts w:hint="eastAsia"/>
          <w:sz w:val="24"/>
        </w:rPr>
        <w:t>压力的预期功效</w:t>
      </w:r>
      <w:r w:rsidR="007E1465">
        <w:rPr>
          <w:rFonts w:hint="eastAsia"/>
          <w:sz w:val="24"/>
        </w:rPr>
        <w:t>。</w:t>
      </w:r>
    </w:p>
    <w:p w14:paraId="388221D4" w14:textId="6B349D35" w:rsidR="00DC6FFF" w:rsidRPr="00086241" w:rsidRDefault="00650C04" w:rsidP="009E2303">
      <w:pPr>
        <w:spacing w:line="360" w:lineRule="auto"/>
        <w:ind w:firstLineChars="200" w:firstLine="480"/>
        <w:rPr>
          <w:sz w:val="24"/>
        </w:rPr>
      </w:pPr>
      <w:r>
        <w:rPr>
          <w:rFonts w:hint="eastAsia"/>
          <w:sz w:val="24"/>
        </w:rPr>
        <w:t>从行业特性和公司特征分别进行异质性分析</w:t>
      </w:r>
      <w:r w:rsidR="00A05220" w:rsidRPr="00086241">
        <w:rPr>
          <w:rFonts w:hint="eastAsia"/>
          <w:sz w:val="24"/>
        </w:rPr>
        <w:t>。研究结果显示，</w:t>
      </w:r>
      <w:r w:rsidR="009A477F" w:rsidRPr="00086241">
        <w:rPr>
          <w:rFonts w:hint="eastAsia"/>
          <w:sz w:val="24"/>
        </w:rPr>
        <w:t>当公司所在行业</w:t>
      </w:r>
      <w:r w:rsidR="00A05220" w:rsidRPr="00086241">
        <w:rPr>
          <w:rFonts w:hint="eastAsia"/>
          <w:sz w:val="24"/>
        </w:rPr>
        <w:t>的</w:t>
      </w:r>
      <w:r w:rsidR="009A477F" w:rsidRPr="00086241">
        <w:rPr>
          <w:rFonts w:hint="eastAsia"/>
          <w:sz w:val="24"/>
        </w:rPr>
        <w:t>特定才能要求</w:t>
      </w:r>
      <w:r w:rsidR="007E1465">
        <w:rPr>
          <w:rFonts w:hint="eastAsia"/>
          <w:sz w:val="24"/>
        </w:rPr>
        <w:t>或行业增长不确定性</w:t>
      </w:r>
      <w:r w:rsidR="009A477F" w:rsidRPr="00086241">
        <w:rPr>
          <w:rFonts w:hint="eastAsia"/>
          <w:sz w:val="24"/>
        </w:rPr>
        <w:t>越</w:t>
      </w:r>
      <w:r w:rsidR="007E1465">
        <w:rPr>
          <w:rFonts w:hint="eastAsia"/>
          <w:sz w:val="24"/>
        </w:rPr>
        <w:t>高</w:t>
      </w:r>
      <w:r w:rsidR="009A477F" w:rsidRPr="00086241">
        <w:rPr>
          <w:rFonts w:hint="eastAsia"/>
          <w:sz w:val="24"/>
        </w:rPr>
        <w:t>时，组织资本</w:t>
      </w:r>
      <w:r w:rsidR="007E1465">
        <w:rPr>
          <w:rFonts w:hint="eastAsia"/>
          <w:sz w:val="24"/>
        </w:rPr>
        <w:t>产生的边际效应更加明显，</w:t>
      </w:r>
      <w:r w:rsidRPr="00650C04">
        <w:rPr>
          <w:rFonts w:hint="eastAsia"/>
          <w:sz w:val="24"/>
        </w:rPr>
        <w:t>反映出高风险技术迭代场景中企业风险对冲的审慎决策逻辑</w:t>
      </w:r>
      <w:r w:rsidR="009A477F" w:rsidRPr="00086241">
        <w:rPr>
          <w:rFonts w:hint="eastAsia"/>
          <w:sz w:val="24"/>
        </w:rPr>
        <w:t>。</w:t>
      </w:r>
      <w:r w:rsidR="00087669">
        <w:rPr>
          <w:rFonts w:hint="eastAsia"/>
          <w:sz w:val="24"/>
        </w:rPr>
        <w:t>此外</w:t>
      </w:r>
      <w:r w:rsidR="00A05220" w:rsidRPr="00086241">
        <w:rPr>
          <w:rFonts w:hint="eastAsia"/>
          <w:sz w:val="24"/>
        </w:rPr>
        <w:t>，</w:t>
      </w:r>
      <w:r>
        <w:rPr>
          <w:rFonts w:hint="eastAsia"/>
          <w:sz w:val="24"/>
        </w:rPr>
        <w:t>对于小规模企业、非国有企业群体，组织资本与保险需求的正向关联更强，这可能源于其治理机制薄弱导致的代理成本刚性。</w:t>
      </w:r>
    </w:p>
    <w:p w14:paraId="0CCBEC26" w14:textId="63512296" w:rsidR="005F2B3F" w:rsidRPr="00C74EB6" w:rsidRDefault="002F4C59" w:rsidP="00C74EB6">
      <w:pPr>
        <w:pStyle w:val="2"/>
      </w:pPr>
      <w:bookmarkStart w:id="162" w:name="_Toc191420767"/>
      <w:bookmarkStart w:id="163" w:name="_Toc191574137"/>
      <w:bookmarkStart w:id="164" w:name="_Toc198287008"/>
      <w:r w:rsidRPr="00C74EB6">
        <w:rPr>
          <w:rFonts w:hint="eastAsia"/>
        </w:rPr>
        <w:t>启示与展望</w:t>
      </w:r>
      <w:bookmarkEnd w:id="162"/>
      <w:bookmarkEnd w:id="163"/>
      <w:bookmarkEnd w:id="164"/>
    </w:p>
    <w:p w14:paraId="265372E3" w14:textId="50C727E8" w:rsidR="002F4C59" w:rsidRPr="00455E31" w:rsidRDefault="002F4C59" w:rsidP="00455E31">
      <w:pPr>
        <w:spacing w:line="360" w:lineRule="auto"/>
        <w:ind w:firstLineChars="200" w:firstLine="480"/>
        <w:rPr>
          <w:sz w:val="24"/>
        </w:rPr>
      </w:pPr>
      <w:r w:rsidRPr="00455E31">
        <w:rPr>
          <w:rFonts w:hint="eastAsia"/>
          <w:sz w:val="24"/>
        </w:rPr>
        <w:t>组织资本与</w:t>
      </w:r>
      <w:r w:rsidR="00E30576">
        <w:rPr>
          <w:rFonts w:hint="eastAsia"/>
          <w:sz w:val="24"/>
        </w:rPr>
        <w:t>董</w:t>
      </w:r>
      <w:proofErr w:type="gramStart"/>
      <w:r w:rsidR="00E30576">
        <w:rPr>
          <w:rFonts w:hint="eastAsia"/>
          <w:sz w:val="24"/>
        </w:rPr>
        <w:t>监高责任</w:t>
      </w:r>
      <w:proofErr w:type="gramEnd"/>
      <w:r w:rsidR="00E30576">
        <w:rPr>
          <w:rFonts w:hint="eastAsia"/>
          <w:sz w:val="24"/>
        </w:rPr>
        <w:t>险</w:t>
      </w:r>
      <w:r w:rsidRPr="00455E31">
        <w:rPr>
          <w:rFonts w:hint="eastAsia"/>
          <w:sz w:val="24"/>
        </w:rPr>
        <w:t>的互动关系</w:t>
      </w:r>
      <w:r w:rsidR="00455E31">
        <w:rPr>
          <w:rFonts w:hint="eastAsia"/>
          <w:sz w:val="24"/>
        </w:rPr>
        <w:t>，</w:t>
      </w:r>
      <w:r w:rsidRPr="00455E31">
        <w:rPr>
          <w:rFonts w:hint="eastAsia"/>
          <w:sz w:val="24"/>
        </w:rPr>
        <w:t>深刻</w:t>
      </w:r>
      <w:r w:rsidR="00455E31">
        <w:rPr>
          <w:rFonts w:hint="eastAsia"/>
          <w:sz w:val="24"/>
        </w:rPr>
        <w:t>呈现出</w:t>
      </w:r>
      <w:r w:rsidRPr="00455E31">
        <w:rPr>
          <w:rFonts w:hint="eastAsia"/>
          <w:sz w:val="24"/>
        </w:rPr>
        <w:t>现代企业</w:t>
      </w:r>
      <w:r w:rsidR="00455E31">
        <w:rPr>
          <w:rFonts w:hint="eastAsia"/>
          <w:sz w:val="24"/>
        </w:rPr>
        <w:t>的</w:t>
      </w:r>
      <w:r w:rsidRPr="00455E31">
        <w:rPr>
          <w:rFonts w:hint="eastAsia"/>
          <w:sz w:val="24"/>
        </w:rPr>
        <w:t>能力建构与风险制度化的共生逻辑。企业</w:t>
      </w:r>
      <w:r w:rsidR="00E0104A">
        <w:rPr>
          <w:rFonts w:hint="eastAsia"/>
          <w:sz w:val="24"/>
        </w:rPr>
        <w:t>应该</w:t>
      </w:r>
      <w:r w:rsidRPr="00455E31">
        <w:rPr>
          <w:rFonts w:hint="eastAsia"/>
          <w:sz w:val="24"/>
        </w:rPr>
        <w:t>通过组织资本</w:t>
      </w:r>
      <w:r w:rsidR="00455E31">
        <w:rPr>
          <w:rFonts w:hint="eastAsia"/>
          <w:sz w:val="24"/>
        </w:rPr>
        <w:t>提升</w:t>
      </w:r>
      <w:r w:rsidRPr="00455E31">
        <w:rPr>
          <w:rFonts w:hint="eastAsia"/>
          <w:sz w:val="24"/>
        </w:rPr>
        <w:t>竞争优势，实现资源的优</w:t>
      </w:r>
      <w:r w:rsidRPr="00455E31">
        <w:rPr>
          <w:rFonts w:hint="eastAsia"/>
          <w:sz w:val="24"/>
        </w:rPr>
        <w:lastRenderedPageBreak/>
        <w:t>化配置和创新能力的提升；同时，借助</w:t>
      </w:r>
      <w:r w:rsidR="00E30576">
        <w:rPr>
          <w:rFonts w:hint="eastAsia"/>
          <w:sz w:val="24"/>
        </w:rPr>
        <w:t>董</w:t>
      </w:r>
      <w:proofErr w:type="gramStart"/>
      <w:r w:rsidR="00E30576">
        <w:rPr>
          <w:rFonts w:hint="eastAsia"/>
          <w:sz w:val="24"/>
        </w:rPr>
        <w:t>监高责任险</w:t>
      </w:r>
      <w:r w:rsidRPr="00455E31">
        <w:rPr>
          <w:rFonts w:hint="eastAsia"/>
          <w:sz w:val="24"/>
        </w:rPr>
        <w:t>将隐性</w:t>
      </w:r>
      <w:proofErr w:type="gramEnd"/>
      <w:r w:rsidRPr="00455E31">
        <w:rPr>
          <w:rFonts w:hint="eastAsia"/>
          <w:sz w:val="24"/>
        </w:rPr>
        <w:t>风险显性化、市场化，有效应对潜在的诉讼风险和代理冲突</w:t>
      </w:r>
      <w:r w:rsidR="00B91A59">
        <w:rPr>
          <w:rFonts w:hint="eastAsia"/>
          <w:sz w:val="24"/>
        </w:rPr>
        <w:t>。</w:t>
      </w:r>
      <w:r w:rsidR="00E0104A">
        <w:rPr>
          <w:rFonts w:hint="eastAsia"/>
          <w:sz w:val="24"/>
        </w:rPr>
        <w:t>基于研究，本文贡献以下三点启示：</w:t>
      </w:r>
    </w:p>
    <w:p w14:paraId="0F803940" w14:textId="2C99D986" w:rsidR="00E30576" w:rsidRPr="00B92969" w:rsidRDefault="00E30576" w:rsidP="00875991">
      <w:pPr>
        <w:pStyle w:val="a9"/>
        <w:numPr>
          <w:ilvl w:val="0"/>
          <w:numId w:val="3"/>
        </w:numPr>
        <w:spacing w:line="360" w:lineRule="auto"/>
        <w:ind w:left="0" w:firstLine="0"/>
        <w:rPr>
          <w:sz w:val="24"/>
        </w:rPr>
      </w:pPr>
      <w:r w:rsidRPr="00B92969">
        <w:rPr>
          <w:rFonts w:hint="eastAsia"/>
          <w:sz w:val="24"/>
        </w:rPr>
        <w:t>企业应</w:t>
      </w:r>
      <w:r w:rsidR="00E0104A" w:rsidRPr="00B92969">
        <w:rPr>
          <w:rFonts w:hint="eastAsia"/>
          <w:sz w:val="24"/>
        </w:rPr>
        <w:t>积极积累</w:t>
      </w:r>
      <w:r w:rsidRPr="00B92969">
        <w:rPr>
          <w:rFonts w:hint="eastAsia"/>
          <w:sz w:val="24"/>
        </w:rPr>
        <w:t>生产性组织资本，以防</w:t>
      </w:r>
      <w:r w:rsidR="00C10A65" w:rsidRPr="00B92969">
        <w:rPr>
          <w:rFonts w:hint="eastAsia"/>
          <w:sz w:val="24"/>
        </w:rPr>
        <w:t>低质量</w:t>
      </w:r>
      <w:r w:rsidRPr="00B92969">
        <w:rPr>
          <w:rFonts w:hint="eastAsia"/>
          <w:sz w:val="24"/>
        </w:rPr>
        <w:t>组织资本的</w:t>
      </w:r>
      <w:r w:rsidR="00E0104A" w:rsidRPr="00B92969">
        <w:rPr>
          <w:rFonts w:hint="eastAsia"/>
          <w:sz w:val="24"/>
        </w:rPr>
        <w:t>代理冲突隐患</w:t>
      </w:r>
    </w:p>
    <w:p w14:paraId="5074999B" w14:textId="77777777" w:rsidR="00E30576" w:rsidRDefault="002F4C59" w:rsidP="00E30576">
      <w:pPr>
        <w:spacing w:line="360" w:lineRule="auto"/>
        <w:ind w:firstLineChars="200" w:firstLine="480"/>
        <w:rPr>
          <w:sz w:val="24"/>
        </w:rPr>
      </w:pPr>
      <w:r w:rsidRPr="00455E31">
        <w:rPr>
          <w:rFonts w:hint="eastAsia"/>
          <w:sz w:val="24"/>
        </w:rPr>
        <w:t>组织资本</w:t>
      </w:r>
      <w:r w:rsidR="00455E31">
        <w:rPr>
          <w:rFonts w:hint="eastAsia"/>
          <w:sz w:val="24"/>
        </w:rPr>
        <w:t>作为企业核心竞争力的关键载体，</w:t>
      </w:r>
      <w:r w:rsidR="00455E31" w:rsidRPr="00455E31">
        <w:rPr>
          <w:rFonts w:hint="eastAsia"/>
          <w:sz w:val="24"/>
        </w:rPr>
        <w:t>应被视为长期投资</w:t>
      </w:r>
      <w:r w:rsidR="00455E31">
        <w:rPr>
          <w:rFonts w:hint="eastAsia"/>
          <w:sz w:val="24"/>
        </w:rPr>
        <w:t>。</w:t>
      </w:r>
      <w:r w:rsidR="00455E31" w:rsidRPr="00455E31">
        <w:rPr>
          <w:rFonts w:hint="eastAsia"/>
          <w:sz w:val="24"/>
        </w:rPr>
        <w:t>但</w:t>
      </w:r>
      <w:r w:rsidR="00455E31">
        <w:rPr>
          <w:rFonts w:hint="eastAsia"/>
          <w:sz w:val="24"/>
        </w:rPr>
        <w:t>企业需</w:t>
      </w:r>
      <w:r w:rsidR="00455E31" w:rsidRPr="00455E31">
        <w:rPr>
          <w:rFonts w:hint="eastAsia"/>
          <w:sz w:val="24"/>
        </w:rPr>
        <w:t>要警惕其通过委托代理机制放大</w:t>
      </w:r>
      <w:r w:rsidR="00455E31">
        <w:rPr>
          <w:rFonts w:hint="eastAsia"/>
          <w:sz w:val="24"/>
        </w:rPr>
        <w:t>两类</w:t>
      </w:r>
      <w:r w:rsidR="00455E31" w:rsidRPr="00455E31">
        <w:rPr>
          <w:rFonts w:hint="eastAsia"/>
          <w:sz w:val="24"/>
        </w:rPr>
        <w:t>治理成本。</w:t>
      </w:r>
      <w:r w:rsidRPr="00455E31">
        <w:rPr>
          <w:rFonts w:hint="eastAsia"/>
          <w:sz w:val="24"/>
        </w:rPr>
        <w:t>随着组织资本的积累，权力资本可能导致管理层权力过度集中，规则资本可能会成为利益勾兑的</w:t>
      </w:r>
      <w:r w:rsidR="00455E31">
        <w:rPr>
          <w:rFonts w:hint="eastAsia"/>
          <w:sz w:val="24"/>
        </w:rPr>
        <w:t>工具</w:t>
      </w:r>
      <w:r w:rsidR="00E30576">
        <w:rPr>
          <w:rFonts w:hint="eastAsia"/>
          <w:sz w:val="24"/>
        </w:rPr>
        <w:t>或导致组织惰性</w:t>
      </w:r>
      <w:r w:rsidRPr="00455E31">
        <w:rPr>
          <w:rFonts w:hint="eastAsia"/>
          <w:sz w:val="24"/>
        </w:rPr>
        <w:t>，知识资本的信息不对称特性藏匿</w:t>
      </w:r>
      <w:r w:rsidR="00455E31">
        <w:rPr>
          <w:rFonts w:hint="eastAsia"/>
          <w:sz w:val="24"/>
        </w:rPr>
        <w:t>着</w:t>
      </w:r>
      <w:r w:rsidRPr="00455E31">
        <w:rPr>
          <w:rFonts w:hint="eastAsia"/>
          <w:sz w:val="24"/>
        </w:rPr>
        <w:t>风险。</w:t>
      </w:r>
    </w:p>
    <w:p w14:paraId="50D7EFD6" w14:textId="6558D6CA" w:rsidR="00A90C3E" w:rsidRDefault="00E30576" w:rsidP="004C7C3A">
      <w:pPr>
        <w:spacing w:line="360" w:lineRule="auto"/>
        <w:ind w:firstLineChars="200" w:firstLine="480"/>
        <w:rPr>
          <w:sz w:val="24"/>
        </w:rPr>
      </w:pPr>
      <w:r>
        <w:rPr>
          <w:rFonts w:hint="eastAsia"/>
          <w:sz w:val="24"/>
        </w:rPr>
        <w:t>基于此，</w:t>
      </w:r>
      <w:r w:rsidR="00A90C3E">
        <w:rPr>
          <w:rFonts w:hint="eastAsia"/>
          <w:sz w:val="24"/>
        </w:rPr>
        <w:t>企业应</w:t>
      </w:r>
      <w:r>
        <w:rPr>
          <w:rFonts w:hint="eastAsia"/>
          <w:sz w:val="24"/>
        </w:rPr>
        <w:t>着力积累高质量组织资本，提升生产性组织资本占比，</w:t>
      </w:r>
      <w:r w:rsidRPr="00455E31">
        <w:rPr>
          <w:rFonts w:hint="eastAsia"/>
          <w:sz w:val="24"/>
        </w:rPr>
        <w:t>例如通过数据分析与人才测评优化员工配置，</w:t>
      </w:r>
      <w:r>
        <w:rPr>
          <w:rFonts w:hint="eastAsia"/>
          <w:sz w:val="24"/>
        </w:rPr>
        <w:t>数字化赋能</w:t>
      </w:r>
      <w:r w:rsidR="004C7C3A">
        <w:rPr>
          <w:rFonts w:hint="eastAsia"/>
          <w:sz w:val="24"/>
        </w:rPr>
        <w:t>业务流程和丰富经验，</w:t>
      </w:r>
      <w:r w:rsidRPr="00455E31">
        <w:rPr>
          <w:rFonts w:hint="eastAsia"/>
          <w:sz w:val="24"/>
        </w:rPr>
        <w:t>顺应新质生产力的建设，加大对技术研发与知识管理的投入</w:t>
      </w:r>
      <w:r>
        <w:rPr>
          <w:rFonts w:hint="eastAsia"/>
          <w:sz w:val="24"/>
        </w:rPr>
        <w:t>。同时</w:t>
      </w:r>
      <w:r w:rsidR="00A90C3E">
        <w:rPr>
          <w:rFonts w:hint="eastAsia"/>
          <w:sz w:val="24"/>
        </w:rPr>
        <w:t>培养动态能力，避免传统组织资本带来的惰性</w:t>
      </w:r>
      <w:r>
        <w:rPr>
          <w:rFonts w:hint="eastAsia"/>
          <w:sz w:val="24"/>
        </w:rPr>
        <w:t>。</w:t>
      </w:r>
    </w:p>
    <w:p w14:paraId="4D9AFAE6" w14:textId="53439CCB" w:rsidR="002F4C59" w:rsidRPr="00B92969" w:rsidRDefault="004C7C3A" w:rsidP="00875991">
      <w:pPr>
        <w:pStyle w:val="a9"/>
        <w:numPr>
          <w:ilvl w:val="0"/>
          <w:numId w:val="3"/>
        </w:numPr>
        <w:spacing w:line="360" w:lineRule="auto"/>
        <w:ind w:left="0" w:firstLine="0"/>
        <w:rPr>
          <w:sz w:val="24"/>
        </w:rPr>
      </w:pPr>
      <w:r w:rsidRPr="00B92969">
        <w:rPr>
          <w:rFonts w:hint="eastAsia"/>
          <w:sz w:val="24"/>
        </w:rPr>
        <w:t>企业</w:t>
      </w:r>
      <w:r w:rsidR="00E0104A" w:rsidRPr="00B92969">
        <w:rPr>
          <w:rFonts w:hint="eastAsia"/>
          <w:sz w:val="24"/>
        </w:rPr>
        <w:t>应</w:t>
      </w:r>
      <w:r w:rsidR="002D7694" w:rsidRPr="00B92969">
        <w:rPr>
          <w:rFonts w:hint="eastAsia"/>
          <w:sz w:val="24"/>
        </w:rPr>
        <w:t>积极</w:t>
      </w:r>
      <w:r w:rsidR="00E0104A" w:rsidRPr="00B92969">
        <w:rPr>
          <w:rFonts w:hint="eastAsia"/>
          <w:sz w:val="24"/>
        </w:rPr>
        <w:t>配置</w:t>
      </w:r>
      <w:r w:rsidR="002F4C59" w:rsidRPr="00B92969">
        <w:rPr>
          <w:rFonts w:hint="eastAsia"/>
          <w:sz w:val="24"/>
        </w:rPr>
        <w:t>董</w:t>
      </w:r>
      <w:proofErr w:type="gramStart"/>
      <w:r w:rsidR="002F4C59" w:rsidRPr="00B92969">
        <w:rPr>
          <w:rFonts w:hint="eastAsia"/>
          <w:sz w:val="24"/>
        </w:rPr>
        <w:t>监高责任</w:t>
      </w:r>
      <w:proofErr w:type="gramEnd"/>
      <w:r w:rsidR="002F4C59" w:rsidRPr="00B92969">
        <w:rPr>
          <w:rFonts w:hint="eastAsia"/>
          <w:sz w:val="24"/>
        </w:rPr>
        <w:t>险</w:t>
      </w:r>
      <w:r w:rsidR="002D7694" w:rsidRPr="00B92969">
        <w:rPr>
          <w:rFonts w:hint="eastAsia"/>
          <w:sz w:val="24"/>
        </w:rPr>
        <w:t>，但</w:t>
      </w:r>
      <w:r w:rsidR="00C72F20" w:rsidRPr="00B92969">
        <w:rPr>
          <w:rFonts w:hint="eastAsia"/>
          <w:sz w:val="24"/>
        </w:rPr>
        <w:t>仍</w:t>
      </w:r>
      <w:r w:rsidR="002D7694" w:rsidRPr="00B92969">
        <w:rPr>
          <w:rFonts w:hint="eastAsia"/>
          <w:sz w:val="24"/>
        </w:rPr>
        <w:t>需要持续的风险监督</w:t>
      </w:r>
    </w:p>
    <w:p w14:paraId="0153D6C0" w14:textId="12431BEA" w:rsidR="002F4C59" w:rsidRPr="00B91A59" w:rsidRDefault="004C7C3A" w:rsidP="00B91A59">
      <w:pPr>
        <w:spacing w:line="360" w:lineRule="auto"/>
        <w:ind w:firstLineChars="200" w:firstLine="480"/>
        <w:rPr>
          <w:sz w:val="24"/>
        </w:rPr>
      </w:pPr>
      <w:r>
        <w:rPr>
          <w:rFonts w:hint="eastAsia"/>
          <w:sz w:val="24"/>
        </w:rPr>
        <w:t>投资者诉讼机制的完善和</w:t>
      </w:r>
      <w:proofErr w:type="gramStart"/>
      <w:r>
        <w:rPr>
          <w:rFonts w:hint="eastAsia"/>
          <w:sz w:val="24"/>
        </w:rPr>
        <w:t>董监</w:t>
      </w:r>
      <w:proofErr w:type="gramEnd"/>
      <w:r>
        <w:rPr>
          <w:rFonts w:hint="eastAsia"/>
          <w:sz w:val="24"/>
        </w:rPr>
        <w:t>高违约成本的提升均要求企业拥抱董</w:t>
      </w:r>
      <w:proofErr w:type="gramStart"/>
      <w:r>
        <w:rPr>
          <w:rFonts w:hint="eastAsia"/>
          <w:sz w:val="24"/>
        </w:rPr>
        <w:t>监高责任</w:t>
      </w:r>
      <w:proofErr w:type="gramEnd"/>
      <w:r>
        <w:rPr>
          <w:rFonts w:hint="eastAsia"/>
          <w:sz w:val="24"/>
        </w:rPr>
        <w:t>险，顺应证券市场的发展。</w:t>
      </w:r>
      <w:r w:rsidR="002F4C59" w:rsidRPr="00B91A59">
        <w:rPr>
          <w:rFonts w:hint="eastAsia"/>
          <w:sz w:val="24"/>
        </w:rPr>
        <w:t>从内部治理方面，</w:t>
      </w:r>
      <w:r>
        <w:rPr>
          <w:rFonts w:hint="eastAsia"/>
          <w:sz w:val="24"/>
        </w:rPr>
        <w:t>董</w:t>
      </w:r>
      <w:proofErr w:type="gramStart"/>
      <w:r>
        <w:rPr>
          <w:rFonts w:hint="eastAsia"/>
          <w:sz w:val="24"/>
        </w:rPr>
        <w:t>监高责任险</w:t>
      </w:r>
      <w:r w:rsidR="002F4C59" w:rsidRPr="00B91A59">
        <w:rPr>
          <w:rFonts w:hint="eastAsia"/>
          <w:sz w:val="24"/>
        </w:rPr>
        <w:t>能够</w:t>
      </w:r>
      <w:proofErr w:type="gramEnd"/>
      <w:r w:rsidR="002F4C59" w:rsidRPr="00B91A59">
        <w:rPr>
          <w:rFonts w:hint="eastAsia"/>
          <w:sz w:val="24"/>
        </w:rPr>
        <w:t>对两类代理成本起到制度化约束作用，有效抑制管理层或控股股东的短视行为；从外部治理角度，能够向市场传递风险透明的承诺、同时</w:t>
      </w:r>
      <w:r>
        <w:rPr>
          <w:rFonts w:hint="eastAsia"/>
          <w:sz w:val="24"/>
        </w:rPr>
        <w:t>缓解</w:t>
      </w:r>
      <w:r w:rsidR="002F4C59" w:rsidRPr="00B91A59">
        <w:rPr>
          <w:rFonts w:hint="eastAsia"/>
          <w:sz w:val="24"/>
        </w:rPr>
        <w:t>潜在的诉讼风险</w:t>
      </w:r>
      <w:r>
        <w:rPr>
          <w:rFonts w:hint="eastAsia"/>
          <w:sz w:val="24"/>
        </w:rPr>
        <w:t>。</w:t>
      </w:r>
      <w:r w:rsidR="002F4C59" w:rsidRPr="00B91A59">
        <w:rPr>
          <w:rFonts w:hint="eastAsia"/>
          <w:sz w:val="24"/>
        </w:rPr>
        <w:t>然而，这仅是保险的预期功效，</w:t>
      </w:r>
      <w:r>
        <w:rPr>
          <w:rFonts w:hint="eastAsia"/>
          <w:sz w:val="24"/>
        </w:rPr>
        <w:t>董</w:t>
      </w:r>
      <w:proofErr w:type="gramStart"/>
      <w:r>
        <w:rPr>
          <w:rFonts w:hint="eastAsia"/>
          <w:sz w:val="24"/>
        </w:rPr>
        <w:t>监高责任</w:t>
      </w:r>
      <w:proofErr w:type="gramEnd"/>
      <w:r>
        <w:rPr>
          <w:rFonts w:hint="eastAsia"/>
          <w:sz w:val="24"/>
        </w:rPr>
        <w:t>险也</w:t>
      </w:r>
      <w:r w:rsidR="002F4C59" w:rsidRPr="00B91A59">
        <w:rPr>
          <w:rFonts w:hint="eastAsia"/>
          <w:sz w:val="24"/>
        </w:rPr>
        <w:t>可能带来道德风险，这</w:t>
      </w:r>
      <w:r w:rsidR="00B91A59" w:rsidRPr="00B91A59">
        <w:rPr>
          <w:rFonts w:hint="eastAsia"/>
          <w:sz w:val="24"/>
        </w:rPr>
        <w:t>就</w:t>
      </w:r>
      <w:r w:rsidR="002F4C59" w:rsidRPr="00B91A59">
        <w:rPr>
          <w:rFonts w:hint="eastAsia"/>
          <w:sz w:val="24"/>
        </w:rPr>
        <w:t>要求企业在配置</w:t>
      </w:r>
      <w:r>
        <w:rPr>
          <w:rFonts w:hint="eastAsia"/>
          <w:sz w:val="24"/>
        </w:rPr>
        <w:t>合适的</w:t>
      </w:r>
      <w:r w:rsidR="00C72F20">
        <w:rPr>
          <w:rFonts w:hint="eastAsia"/>
          <w:sz w:val="24"/>
        </w:rPr>
        <w:t>保险</w:t>
      </w:r>
      <w:r w:rsidR="002F4C59" w:rsidRPr="00B91A59">
        <w:rPr>
          <w:rFonts w:hint="eastAsia"/>
          <w:sz w:val="24"/>
        </w:rPr>
        <w:t>后，要</w:t>
      </w:r>
      <w:r w:rsidR="00B91A59" w:rsidRPr="00B91A59">
        <w:rPr>
          <w:rFonts w:hint="eastAsia"/>
          <w:sz w:val="24"/>
        </w:rPr>
        <w:t>持续</w:t>
      </w:r>
      <w:r w:rsidR="002F4C59" w:rsidRPr="00B91A59">
        <w:rPr>
          <w:rFonts w:hint="eastAsia"/>
          <w:sz w:val="24"/>
        </w:rPr>
        <w:t>监督董</w:t>
      </w:r>
      <w:proofErr w:type="gramStart"/>
      <w:r w:rsidR="002F4C59" w:rsidRPr="00B91A59">
        <w:rPr>
          <w:rFonts w:hint="eastAsia"/>
          <w:sz w:val="24"/>
        </w:rPr>
        <w:t>监高作为</w:t>
      </w:r>
      <w:proofErr w:type="gramEnd"/>
      <w:r w:rsidR="002F4C59" w:rsidRPr="00B91A59">
        <w:rPr>
          <w:rFonts w:hint="eastAsia"/>
          <w:sz w:val="24"/>
        </w:rPr>
        <w:t>，</w:t>
      </w:r>
      <w:r w:rsidR="00B91A59" w:rsidRPr="00B91A59">
        <w:rPr>
          <w:rFonts w:hint="eastAsia"/>
          <w:sz w:val="24"/>
        </w:rPr>
        <w:t>确保</w:t>
      </w:r>
      <w:r w:rsidR="002F4C59" w:rsidRPr="00B91A59">
        <w:rPr>
          <w:rFonts w:hint="eastAsia"/>
          <w:sz w:val="24"/>
        </w:rPr>
        <w:t>风险管</w:t>
      </w:r>
      <w:proofErr w:type="gramStart"/>
      <w:r w:rsidR="002F4C59" w:rsidRPr="00B91A59">
        <w:rPr>
          <w:rFonts w:hint="eastAsia"/>
          <w:sz w:val="24"/>
        </w:rPr>
        <w:t>控满足</w:t>
      </w:r>
      <w:proofErr w:type="gramEnd"/>
      <w:r w:rsidR="002F4C59" w:rsidRPr="00B91A59">
        <w:rPr>
          <w:rFonts w:hint="eastAsia"/>
          <w:sz w:val="24"/>
        </w:rPr>
        <w:t>合理需求</w:t>
      </w:r>
      <w:r w:rsidR="002D7694">
        <w:rPr>
          <w:rFonts w:hint="eastAsia"/>
          <w:sz w:val="24"/>
        </w:rPr>
        <w:t>。</w:t>
      </w:r>
    </w:p>
    <w:p w14:paraId="693804EE" w14:textId="51F96291" w:rsidR="00650C04" w:rsidRPr="00B92969" w:rsidRDefault="00E0104A" w:rsidP="00875991">
      <w:pPr>
        <w:pStyle w:val="a9"/>
        <w:numPr>
          <w:ilvl w:val="0"/>
          <w:numId w:val="3"/>
        </w:numPr>
        <w:spacing w:line="360" w:lineRule="auto"/>
        <w:ind w:left="0" w:firstLine="0"/>
        <w:rPr>
          <w:sz w:val="24"/>
        </w:rPr>
      </w:pPr>
      <w:r w:rsidRPr="00B92969">
        <w:rPr>
          <w:rFonts w:hint="eastAsia"/>
          <w:sz w:val="24"/>
        </w:rPr>
        <w:t>保司和监管部门应做好基础设施建设，</w:t>
      </w:r>
      <w:r w:rsidR="004C7C3A" w:rsidRPr="00B92969">
        <w:rPr>
          <w:rFonts w:hint="eastAsia"/>
          <w:sz w:val="24"/>
        </w:rPr>
        <w:t>设计具有中国特色的董</w:t>
      </w:r>
      <w:proofErr w:type="gramStart"/>
      <w:r w:rsidR="004C7C3A" w:rsidRPr="00B92969">
        <w:rPr>
          <w:rFonts w:hint="eastAsia"/>
          <w:sz w:val="24"/>
        </w:rPr>
        <w:t>监高责任</w:t>
      </w:r>
      <w:proofErr w:type="gramEnd"/>
      <w:r w:rsidR="004C7C3A" w:rsidRPr="00B92969">
        <w:rPr>
          <w:rFonts w:hint="eastAsia"/>
          <w:sz w:val="24"/>
        </w:rPr>
        <w:t>险</w:t>
      </w:r>
      <w:r w:rsidRPr="00B92969">
        <w:rPr>
          <w:sz w:val="24"/>
        </w:rPr>
        <w:t xml:space="preserve"> </w:t>
      </w:r>
    </w:p>
    <w:p w14:paraId="0614C2A9" w14:textId="1D570FAE" w:rsidR="00E0104A" w:rsidRPr="00455E31" w:rsidRDefault="00E0104A" w:rsidP="00B92969">
      <w:pPr>
        <w:spacing w:line="360" w:lineRule="auto"/>
        <w:ind w:firstLineChars="200" w:firstLine="480"/>
        <w:rPr>
          <w:sz w:val="24"/>
        </w:rPr>
      </w:pPr>
      <w:r>
        <w:rPr>
          <w:rFonts w:hint="eastAsia"/>
          <w:sz w:val="24"/>
        </w:rPr>
        <w:t>社会文化、资本制度的不同导致我国公司面临的诉讼风险不同。保司和监管部门应因地制宜，基于中国公司的行业特点、市值特点和投资者特点制定投保与承保条款，</w:t>
      </w:r>
      <w:r w:rsidR="00C10A65">
        <w:rPr>
          <w:rFonts w:hint="eastAsia"/>
          <w:sz w:val="24"/>
        </w:rPr>
        <w:t>例如，基于中国法律语境明确“故意”“疏忽”等相关字眼，避免引发较大争议；对</w:t>
      </w:r>
      <w:proofErr w:type="gramStart"/>
      <w:r w:rsidR="00C10A65">
        <w:rPr>
          <w:rFonts w:hint="eastAsia"/>
          <w:sz w:val="24"/>
        </w:rPr>
        <w:t>高组织</w:t>
      </w:r>
      <w:proofErr w:type="gramEnd"/>
      <w:r w:rsidR="00C10A65">
        <w:rPr>
          <w:rFonts w:hint="eastAsia"/>
          <w:sz w:val="24"/>
        </w:rPr>
        <w:t>资本的企业可要求更透明的信息披露，对</w:t>
      </w:r>
      <w:proofErr w:type="gramStart"/>
      <w:r w:rsidR="00C10A65">
        <w:rPr>
          <w:rFonts w:hint="eastAsia"/>
          <w:sz w:val="24"/>
        </w:rPr>
        <w:t>低组织</w:t>
      </w:r>
      <w:proofErr w:type="gramEnd"/>
      <w:r w:rsidR="00C10A65">
        <w:rPr>
          <w:rFonts w:hint="eastAsia"/>
          <w:sz w:val="24"/>
        </w:rPr>
        <w:t>资本的企业可提供保险激励政策，引导其优化治理结构。</w:t>
      </w:r>
    </w:p>
    <w:p w14:paraId="1958C80D" w14:textId="41A348D4" w:rsidR="002F4C59" w:rsidRPr="00455E31" w:rsidRDefault="002F4C59" w:rsidP="00455E31">
      <w:pPr>
        <w:spacing w:line="360" w:lineRule="auto"/>
        <w:ind w:firstLineChars="200" w:firstLine="480"/>
        <w:rPr>
          <w:sz w:val="24"/>
        </w:rPr>
      </w:pPr>
      <w:r w:rsidRPr="00455E31">
        <w:rPr>
          <w:rFonts w:hint="eastAsia"/>
          <w:sz w:val="24"/>
        </w:rPr>
        <w:t>未来的研究可以进一步优化相关主题，提出更加细致的研究方向。首先，可以将组织资本进行更为细化的拆分和量化，类似于智力资本的测算，将智力资本分为知识资本、关系资本和结构资本等类别。通过精细化的组织资本分析，可以更全面地评估不同类型的组织资本对公司治理、决策效率以及风险管理的具体影响。通过拆解这些细分领域，能够帮助企业在不同的情境下，针对性地</w:t>
      </w:r>
      <w:r w:rsidRPr="00455E31">
        <w:rPr>
          <w:rFonts w:hint="eastAsia"/>
          <w:sz w:val="24"/>
        </w:rPr>
        <w:lastRenderedPageBreak/>
        <w:t>优化资源配置和决策策略，从而提升公司整体的运营效率和竞争力。</w:t>
      </w:r>
    </w:p>
    <w:p w14:paraId="7DFF4B6C" w14:textId="3A2702C8" w:rsidR="002F4C59" w:rsidRPr="00455E31" w:rsidRDefault="002F4C59" w:rsidP="00455E31">
      <w:pPr>
        <w:spacing w:line="360" w:lineRule="auto"/>
        <w:ind w:firstLineChars="200" w:firstLine="480"/>
        <w:rPr>
          <w:sz w:val="24"/>
        </w:rPr>
      </w:pPr>
      <w:r w:rsidRPr="00455E31">
        <w:rPr>
          <w:rFonts w:hint="eastAsia"/>
          <w:sz w:val="24"/>
        </w:rPr>
        <w:t>其次，可以更积极地探索董</w:t>
      </w:r>
      <w:proofErr w:type="gramStart"/>
      <w:r w:rsidRPr="00455E31">
        <w:rPr>
          <w:rFonts w:hint="eastAsia"/>
          <w:sz w:val="24"/>
        </w:rPr>
        <w:t>监高责任</w:t>
      </w:r>
      <w:proofErr w:type="gramEnd"/>
      <w:r w:rsidRPr="00455E31">
        <w:rPr>
          <w:rFonts w:hint="eastAsia"/>
          <w:sz w:val="24"/>
        </w:rPr>
        <w:t>险的配置效益，尤其是其对公司治理结构的改善作用。研究可以进一步检验</w:t>
      </w:r>
      <w:r w:rsidR="00E0104A">
        <w:rPr>
          <w:rFonts w:hint="eastAsia"/>
          <w:sz w:val="24"/>
        </w:rPr>
        <w:t>董</w:t>
      </w:r>
      <w:proofErr w:type="gramStart"/>
      <w:r w:rsidR="00E0104A">
        <w:rPr>
          <w:rFonts w:hint="eastAsia"/>
          <w:sz w:val="24"/>
        </w:rPr>
        <w:t>监高责任</w:t>
      </w:r>
      <w:proofErr w:type="gramEnd"/>
      <w:r w:rsidR="00E0104A">
        <w:rPr>
          <w:rFonts w:hint="eastAsia"/>
          <w:sz w:val="24"/>
        </w:rPr>
        <w:t>险条款</w:t>
      </w:r>
      <w:r w:rsidR="00A157CE">
        <w:rPr>
          <w:rFonts w:hint="eastAsia"/>
          <w:sz w:val="24"/>
        </w:rPr>
        <w:t>性质或数量</w:t>
      </w:r>
      <w:r w:rsidR="00E0104A">
        <w:rPr>
          <w:rFonts w:hint="eastAsia"/>
          <w:sz w:val="24"/>
        </w:rPr>
        <w:t>等能否</w:t>
      </w:r>
      <w:r w:rsidRPr="00455E31">
        <w:rPr>
          <w:rFonts w:hint="eastAsia"/>
          <w:sz w:val="24"/>
        </w:rPr>
        <w:t>有效减少公司内部的代理问题，优化公司的风险画像，</w:t>
      </w:r>
      <w:r w:rsidR="00E0104A">
        <w:rPr>
          <w:rFonts w:hint="eastAsia"/>
          <w:sz w:val="24"/>
        </w:rPr>
        <w:t>而非单纯依赖是否配置董</w:t>
      </w:r>
      <w:proofErr w:type="gramStart"/>
      <w:r w:rsidR="00E0104A">
        <w:rPr>
          <w:rFonts w:hint="eastAsia"/>
          <w:sz w:val="24"/>
        </w:rPr>
        <w:t>监高责任</w:t>
      </w:r>
      <w:proofErr w:type="gramEnd"/>
      <w:r w:rsidR="00E0104A">
        <w:rPr>
          <w:rFonts w:hint="eastAsia"/>
          <w:sz w:val="24"/>
        </w:rPr>
        <w:t>险这一二元变量。</w:t>
      </w:r>
    </w:p>
    <w:p w14:paraId="09CE24D5" w14:textId="77777777" w:rsidR="002F4C59" w:rsidRDefault="002F4C59" w:rsidP="002F4C59">
      <w:pPr>
        <w:spacing w:line="360" w:lineRule="auto"/>
        <w:ind w:firstLineChars="200" w:firstLine="480"/>
        <w:rPr>
          <w:sz w:val="24"/>
        </w:rPr>
      </w:pPr>
    </w:p>
    <w:p w14:paraId="75BC6AA3" w14:textId="77777777" w:rsidR="00887AB9" w:rsidRPr="00086241" w:rsidRDefault="00887AB9" w:rsidP="002F4C59">
      <w:pPr>
        <w:pStyle w:val="1"/>
        <w:numPr>
          <w:ilvl w:val="0"/>
          <w:numId w:val="0"/>
        </w:numPr>
        <w:spacing w:before="480" w:after="360"/>
        <w:jc w:val="both"/>
        <w:rPr>
          <w:rFonts w:ascii="Times New Roman" w:eastAsia="宋体" w:hAnsi="Times New Roman"/>
        </w:rPr>
        <w:sectPr w:rsidR="00887AB9" w:rsidRPr="00086241" w:rsidSect="004C36D5">
          <w:headerReference w:type="even" r:id="rId30"/>
          <w:headerReference w:type="default" r:id="rId31"/>
          <w:headerReference w:type="first" r:id="rId32"/>
          <w:pgSz w:w="11906" w:h="16838"/>
          <w:pgMar w:top="1440" w:right="1800" w:bottom="1440" w:left="1800" w:header="851" w:footer="992" w:gutter="0"/>
          <w:cols w:space="425"/>
          <w:docGrid w:type="lines" w:linePitch="312"/>
        </w:sectPr>
      </w:pPr>
    </w:p>
    <w:p w14:paraId="65473CFF" w14:textId="3ED772E9" w:rsidR="00CC0688" w:rsidRPr="00601DA8" w:rsidRDefault="00E277CC" w:rsidP="00601DA8">
      <w:pPr>
        <w:pStyle w:val="1"/>
        <w:numPr>
          <w:ilvl w:val="0"/>
          <w:numId w:val="0"/>
        </w:numPr>
        <w:rPr>
          <w:rFonts w:hint="eastAsia"/>
        </w:rPr>
      </w:pPr>
      <w:bookmarkStart w:id="165" w:name="_Toc191420768"/>
      <w:bookmarkStart w:id="166" w:name="_Toc191574138"/>
      <w:bookmarkStart w:id="167" w:name="_Toc198287009"/>
      <w:r w:rsidRPr="00601DA8">
        <w:rPr>
          <w:rFonts w:hint="eastAsia"/>
        </w:rPr>
        <w:lastRenderedPageBreak/>
        <w:t>参考文献</w:t>
      </w:r>
      <w:bookmarkEnd w:id="165"/>
      <w:bookmarkEnd w:id="166"/>
      <w:bookmarkEnd w:id="167"/>
    </w:p>
    <w:p w14:paraId="38F161CC" w14:textId="1C891005" w:rsidR="008A45B5" w:rsidRPr="00B92969" w:rsidRDefault="008A45B5" w:rsidP="00875991">
      <w:pPr>
        <w:pStyle w:val="a9"/>
        <w:numPr>
          <w:ilvl w:val="0"/>
          <w:numId w:val="2"/>
        </w:numPr>
        <w:rPr>
          <w:szCs w:val="21"/>
        </w:rPr>
      </w:pPr>
      <w:r w:rsidRPr="00B92969">
        <w:rPr>
          <w:rFonts w:hint="eastAsia"/>
          <w:szCs w:val="21"/>
        </w:rPr>
        <w:t>白重恩</w:t>
      </w:r>
      <w:r w:rsidRPr="00B92969">
        <w:rPr>
          <w:rFonts w:hint="eastAsia"/>
          <w:szCs w:val="21"/>
        </w:rPr>
        <w:t xml:space="preserve">, </w:t>
      </w:r>
      <w:r w:rsidRPr="00B92969">
        <w:rPr>
          <w:rFonts w:hint="eastAsia"/>
          <w:szCs w:val="21"/>
        </w:rPr>
        <w:t>刘俏</w:t>
      </w:r>
      <w:r w:rsidRPr="00B92969">
        <w:rPr>
          <w:rFonts w:hint="eastAsia"/>
          <w:szCs w:val="21"/>
        </w:rPr>
        <w:t xml:space="preserve">, </w:t>
      </w:r>
      <w:proofErr w:type="gramStart"/>
      <w:r w:rsidRPr="00B92969">
        <w:rPr>
          <w:rFonts w:hint="eastAsia"/>
          <w:szCs w:val="21"/>
        </w:rPr>
        <w:t>陆洲</w:t>
      </w:r>
      <w:proofErr w:type="gramEnd"/>
      <w:r w:rsidRPr="00B92969">
        <w:rPr>
          <w:rFonts w:hint="eastAsia"/>
          <w:szCs w:val="21"/>
        </w:rPr>
        <w:t xml:space="preserve">, </w:t>
      </w:r>
      <w:r w:rsidRPr="00B92969">
        <w:rPr>
          <w:rFonts w:hint="eastAsia"/>
          <w:szCs w:val="21"/>
        </w:rPr>
        <w:t>等</w:t>
      </w:r>
      <w:r w:rsidRPr="00B92969">
        <w:rPr>
          <w:rFonts w:hint="eastAsia"/>
          <w:szCs w:val="21"/>
        </w:rPr>
        <w:t xml:space="preserve">. </w:t>
      </w:r>
      <w:r w:rsidRPr="00B92969">
        <w:rPr>
          <w:rFonts w:hint="eastAsia"/>
          <w:szCs w:val="21"/>
        </w:rPr>
        <w:t>中国上市公司治理结构的实证研究</w:t>
      </w:r>
      <w:r w:rsidRPr="00B92969">
        <w:rPr>
          <w:rFonts w:hint="eastAsia"/>
          <w:szCs w:val="21"/>
        </w:rPr>
        <w:t xml:space="preserve">[J]. </w:t>
      </w:r>
      <w:r w:rsidRPr="00B92969">
        <w:rPr>
          <w:rFonts w:hint="eastAsia"/>
          <w:szCs w:val="21"/>
        </w:rPr>
        <w:t>经济研究</w:t>
      </w:r>
      <w:r w:rsidRPr="00B92969">
        <w:rPr>
          <w:rFonts w:hint="eastAsia"/>
          <w:szCs w:val="21"/>
        </w:rPr>
        <w:t>, 2005</w:t>
      </w:r>
      <w:r w:rsidR="00365EC7" w:rsidRPr="00B92969">
        <w:rPr>
          <w:rFonts w:hint="eastAsia"/>
          <w:szCs w:val="21"/>
        </w:rPr>
        <w:t>(</w:t>
      </w:r>
      <w:r w:rsidRPr="00B92969">
        <w:rPr>
          <w:rFonts w:hint="eastAsia"/>
          <w:szCs w:val="21"/>
        </w:rPr>
        <w:t>2): 81-91.</w:t>
      </w:r>
    </w:p>
    <w:p w14:paraId="1F4199AA" w14:textId="1D8C5DF2" w:rsidR="008A45B5" w:rsidRPr="00B92969" w:rsidRDefault="008A45B5" w:rsidP="00875991">
      <w:pPr>
        <w:pStyle w:val="a9"/>
        <w:numPr>
          <w:ilvl w:val="0"/>
          <w:numId w:val="2"/>
        </w:numPr>
        <w:rPr>
          <w:szCs w:val="21"/>
        </w:rPr>
      </w:pPr>
      <w:r w:rsidRPr="00B92969">
        <w:rPr>
          <w:rFonts w:hint="eastAsia"/>
          <w:szCs w:val="21"/>
        </w:rPr>
        <w:t>陈传明</w:t>
      </w:r>
      <w:r w:rsidRPr="00B92969">
        <w:rPr>
          <w:rFonts w:hint="eastAsia"/>
          <w:szCs w:val="21"/>
        </w:rPr>
        <w:t xml:space="preserve">, </w:t>
      </w:r>
      <w:r w:rsidRPr="00B92969">
        <w:rPr>
          <w:rFonts w:hint="eastAsia"/>
          <w:szCs w:val="21"/>
        </w:rPr>
        <w:t>张敏</w:t>
      </w:r>
      <w:r w:rsidRPr="00B92969">
        <w:rPr>
          <w:rFonts w:hint="eastAsia"/>
          <w:szCs w:val="21"/>
        </w:rPr>
        <w:t xml:space="preserve">. </w:t>
      </w:r>
      <w:r w:rsidRPr="00B92969">
        <w:rPr>
          <w:rFonts w:hint="eastAsia"/>
          <w:szCs w:val="21"/>
        </w:rPr>
        <w:t>企业文化的刚性特征</w:t>
      </w:r>
      <w:r w:rsidRPr="00B92969">
        <w:rPr>
          <w:rFonts w:hint="eastAsia"/>
          <w:szCs w:val="21"/>
        </w:rPr>
        <w:t xml:space="preserve">: </w:t>
      </w:r>
      <w:r w:rsidRPr="00B92969">
        <w:rPr>
          <w:rFonts w:hint="eastAsia"/>
          <w:szCs w:val="21"/>
        </w:rPr>
        <w:t>分析与测度</w:t>
      </w:r>
      <w:r w:rsidRPr="00B92969">
        <w:rPr>
          <w:rFonts w:hint="eastAsia"/>
          <w:szCs w:val="21"/>
        </w:rPr>
        <w:t xml:space="preserve">[J]. </w:t>
      </w:r>
      <w:r w:rsidRPr="00B92969">
        <w:rPr>
          <w:rFonts w:hint="eastAsia"/>
          <w:szCs w:val="21"/>
        </w:rPr>
        <w:t>管理世界</w:t>
      </w:r>
      <w:r w:rsidRPr="00B92969">
        <w:rPr>
          <w:rFonts w:hint="eastAsia"/>
          <w:szCs w:val="21"/>
        </w:rPr>
        <w:t>, 2005</w:t>
      </w:r>
      <w:r w:rsidR="00365EC7" w:rsidRPr="00B92969">
        <w:rPr>
          <w:rFonts w:hint="eastAsia"/>
          <w:szCs w:val="21"/>
        </w:rPr>
        <w:t>,</w:t>
      </w:r>
      <w:r w:rsidRPr="00B92969">
        <w:rPr>
          <w:rFonts w:hint="eastAsia"/>
          <w:szCs w:val="21"/>
        </w:rPr>
        <w:t>06: 101-106+172.</w:t>
      </w:r>
    </w:p>
    <w:p w14:paraId="32B0DE55" w14:textId="77777777" w:rsidR="008A45B5" w:rsidRPr="00B92969" w:rsidRDefault="008A45B5" w:rsidP="00875991">
      <w:pPr>
        <w:pStyle w:val="a9"/>
        <w:numPr>
          <w:ilvl w:val="0"/>
          <w:numId w:val="2"/>
        </w:numPr>
        <w:rPr>
          <w:szCs w:val="21"/>
        </w:rPr>
      </w:pPr>
      <w:r w:rsidRPr="00B92969">
        <w:rPr>
          <w:rFonts w:hint="eastAsia"/>
          <w:szCs w:val="21"/>
        </w:rPr>
        <w:t>陈德球</w:t>
      </w:r>
      <w:r w:rsidRPr="00B92969">
        <w:rPr>
          <w:rFonts w:hint="eastAsia"/>
          <w:szCs w:val="21"/>
        </w:rPr>
        <w:t xml:space="preserve">, </w:t>
      </w:r>
      <w:r w:rsidRPr="00B92969">
        <w:rPr>
          <w:rFonts w:hint="eastAsia"/>
          <w:szCs w:val="21"/>
        </w:rPr>
        <w:t>胡晴</w:t>
      </w:r>
      <w:r w:rsidRPr="00B92969">
        <w:rPr>
          <w:rFonts w:hint="eastAsia"/>
          <w:szCs w:val="21"/>
        </w:rPr>
        <w:t xml:space="preserve">. </w:t>
      </w:r>
      <w:r w:rsidRPr="00B92969">
        <w:rPr>
          <w:rFonts w:hint="eastAsia"/>
          <w:szCs w:val="21"/>
        </w:rPr>
        <w:t>数字经济时代下的公司治理研究</w:t>
      </w:r>
      <w:r w:rsidRPr="00B92969">
        <w:rPr>
          <w:rFonts w:hint="eastAsia"/>
          <w:szCs w:val="21"/>
        </w:rPr>
        <w:t xml:space="preserve">: </w:t>
      </w:r>
      <w:r w:rsidRPr="00B92969">
        <w:rPr>
          <w:rFonts w:hint="eastAsia"/>
          <w:szCs w:val="21"/>
        </w:rPr>
        <w:t>范式创新与实践前沿</w:t>
      </w:r>
      <w:r w:rsidRPr="00B92969">
        <w:rPr>
          <w:rFonts w:hint="eastAsia"/>
          <w:szCs w:val="21"/>
        </w:rPr>
        <w:t xml:space="preserve">[J]. </w:t>
      </w:r>
      <w:r w:rsidRPr="00B92969">
        <w:rPr>
          <w:rFonts w:hint="eastAsia"/>
          <w:szCs w:val="21"/>
        </w:rPr>
        <w:t>管理世界</w:t>
      </w:r>
      <w:r w:rsidRPr="00B92969">
        <w:rPr>
          <w:rFonts w:hint="eastAsia"/>
          <w:szCs w:val="21"/>
        </w:rPr>
        <w:t>, 2022, 38(6): 213-240.</w:t>
      </w:r>
    </w:p>
    <w:p w14:paraId="464E38F9" w14:textId="6DEFB09E" w:rsidR="008A45B5" w:rsidRPr="00B92969" w:rsidRDefault="008A45B5" w:rsidP="00875991">
      <w:pPr>
        <w:pStyle w:val="a9"/>
        <w:numPr>
          <w:ilvl w:val="0"/>
          <w:numId w:val="2"/>
        </w:numPr>
        <w:rPr>
          <w:szCs w:val="21"/>
        </w:rPr>
      </w:pPr>
      <w:r w:rsidRPr="00B92969">
        <w:rPr>
          <w:rFonts w:hint="eastAsia"/>
          <w:szCs w:val="21"/>
        </w:rPr>
        <w:t>陈守明</w:t>
      </w:r>
      <w:r w:rsidRPr="00B92969">
        <w:rPr>
          <w:rFonts w:hint="eastAsia"/>
          <w:szCs w:val="21"/>
        </w:rPr>
        <w:t xml:space="preserve">, </w:t>
      </w:r>
      <w:r w:rsidRPr="00B92969">
        <w:rPr>
          <w:rFonts w:hint="eastAsia"/>
          <w:szCs w:val="21"/>
        </w:rPr>
        <w:t>冉毅</w:t>
      </w:r>
      <w:r w:rsidRPr="00B92969">
        <w:rPr>
          <w:rFonts w:hint="eastAsia"/>
          <w:szCs w:val="21"/>
        </w:rPr>
        <w:t xml:space="preserve">, </w:t>
      </w:r>
      <w:proofErr w:type="gramStart"/>
      <w:r w:rsidRPr="00B92969">
        <w:rPr>
          <w:rFonts w:hint="eastAsia"/>
          <w:szCs w:val="21"/>
        </w:rPr>
        <w:t>陶兴慧</w:t>
      </w:r>
      <w:proofErr w:type="gramEnd"/>
      <w:r w:rsidRPr="00B92969">
        <w:rPr>
          <w:rFonts w:hint="eastAsia"/>
          <w:szCs w:val="21"/>
        </w:rPr>
        <w:t xml:space="preserve">. R&amp;D </w:t>
      </w:r>
      <w:r w:rsidRPr="00B92969">
        <w:rPr>
          <w:rFonts w:hint="eastAsia"/>
          <w:szCs w:val="21"/>
        </w:rPr>
        <w:t>强度与</w:t>
      </w:r>
      <w:r w:rsidR="006B2F45" w:rsidRPr="00B92969">
        <w:rPr>
          <w:rFonts w:hint="eastAsia"/>
          <w:szCs w:val="21"/>
        </w:rPr>
        <w:t>A</w:t>
      </w:r>
      <w:r w:rsidRPr="00B92969">
        <w:rPr>
          <w:rFonts w:hint="eastAsia"/>
          <w:szCs w:val="21"/>
        </w:rPr>
        <w:t>企业价值</w:t>
      </w:r>
      <w:r w:rsidRPr="00B92969">
        <w:rPr>
          <w:rFonts w:hint="eastAsia"/>
          <w:szCs w:val="21"/>
        </w:rPr>
        <w:t xml:space="preserve"> </w:t>
      </w:r>
      <w:r w:rsidRPr="00B92969">
        <w:rPr>
          <w:rFonts w:hint="eastAsia"/>
          <w:szCs w:val="21"/>
        </w:rPr>
        <w:t>——</w:t>
      </w:r>
      <w:r w:rsidRPr="00B92969">
        <w:rPr>
          <w:rFonts w:hint="eastAsia"/>
          <w:szCs w:val="21"/>
        </w:rPr>
        <w:t xml:space="preserve"> </w:t>
      </w:r>
      <w:r w:rsidRPr="00B92969">
        <w:rPr>
          <w:rFonts w:hint="eastAsia"/>
          <w:szCs w:val="21"/>
        </w:rPr>
        <w:t>股权性质和两职合一的调节作用</w:t>
      </w:r>
      <w:r w:rsidRPr="00B92969">
        <w:rPr>
          <w:rFonts w:hint="eastAsia"/>
          <w:szCs w:val="21"/>
        </w:rPr>
        <w:t>[J]</w:t>
      </w:r>
      <w:r w:rsidR="00365EC7" w:rsidRPr="00B92969">
        <w:rPr>
          <w:rFonts w:hint="eastAsia"/>
          <w:szCs w:val="21"/>
        </w:rPr>
        <w:t xml:space="preserve">. </w:t>
      </w:r>
      <w:r w:rsidRPr="00B92969">
        <w:rPr>
          <w:rFonts w:hint="eastAsia"/>
          <w:szCs w:val="21"/>
        </w:rPr>
        <w:t>科学学研究</w:t>
      </w:r>
      <w:r w:rsidRPr="00B92969">
        <w:rPr>
          <w:rFonts w:hint="eastAsia"/>
          <w:szCs w:val="21"/>
        </w:rPr>
        <w:t>, 2012, 30(03): 441-448.</w:t>
      </w:r>
    </w:p>
    <w:p w14:paraId="68E82892" w14:textId="14FBE755" w:rsidR="006B5FD6" w:rsidRPr="00B92969" w:rsidRDefault="006B5FD6" w:rsidP="00875991">
      <w:pPr>
        <w:pStyle w:val="a9"/>
        <w:numPr>
          <w:ilvl w:val="0"/>
          <w:numId w:val="2"/>
        </w:numPr>
        <w:rPr>
          <w:szCs w:val="21"/>
        </w:rPr>
      </w:pPr>
      <w:proofErr w:type="gramStart"/>
      <w:r w:rsidRPr="00B92969">
        <w:rPr>
          <w:rFonts w:hint="eastAsia"/>
          <w:szCs w:val="21"/>
        </w:rPr>
        <w:t>陈钦源</w:t>
      </w:r>
      <w:proofErr w:type="gramEnd"/>
      <w:r w:rsidRPr="00B92969">
        <w:rPr>
          <w:rFonts w:hint="eastAsia"/>
          <w:szCs w:val="21"/>
        </w:rPr>
        <w:t xml:space="preserve">, </w:t>
      </w:r>
      <w:r w:rsidRPr="00B92969">
        <w:rPr>
          <w:rFonts w:hint="eastAsia"/>
          <w:szCs w:val="21"/>
        </w:rPr>
        <w:t>马黎珺</w:t>
      </w:r>
      <w:r w:rsidRPr="00B92969">
        <w:rPr>
          <w:rFonts w:hint="eastAsia"/>
          <w:szCs w:val="21"/>
        </w:rPr>
        <w:t xml:space="preserve">, </w:t>
      </w:r>
      <w:r w:rsidRPr="00B92969">
        <w:rPr>
          <w:rFonts w:hint="eastAsia"/>
          <w:szCs w:val="21"/>
        </w:rPr>
        <w:t>伊志宏</w:t>
      </w:r>
      <w:r w:rsidRPr="00B92969">
        <w:rPr>
          <w:rFonts w:hint="eastAsia"/>
          <w:szCs w:val="21"/>
        </w:rPr>
        <w:t xml:space="preserve">. </w:t>
      </w:r>
      <w:r w:rsidRPr="00B92969">
        <w:rPr>
          <w:rFonts w:hint="eastAsia"/>
          <w:szCs w:val="21"/>
        </w:rPr>
        <w:t>分析师跟踪与企业创新绩效的逻辑</w:t>
      </w:r>
      <w:r w:rsidRPr="00B92969">
        <w:rPr>
          <w:rFonts w:hint="eastAsia"/>
          <w:szCs w:val="21"/>
        </w:rPr>
        <w:t xml:space="preserve">[J]. </w:t>
      </w:r>
      <w:r w:rsidRPr="00B92969">
        <w:rPr>
          <w:rFonts w:hint="eastAsia"/>
          <w:szCs w:val="21"/>
        </w:rPr>
        <w:t>南开管理评论</w:t>
      </w:r>
      <w:r w:rsidRPr="00B92969">
        <w:rPr>
          <w:rFonts w:hint="eastAsia"/>
          <w:szCs w:val="21"/>
        </w:rPr>
        <w:t>, 2017</w:t>
      </w:r>
      <w:r w:rsidR="00365EC7" w:rsidRPr="00B92969">
        <w:rPr>
          <w:rFonts w:hint="eastAsia"/>
          <w:szCs w:val="21"/>
        </w:rPr>
        <w:t>(</w:t>
      </w:r>
      <w:r w:rsidRPr="00B92969">
        <w:rPr>
          <w:rFonts w:hint="eastAsia"/>
          <w:szCs w:val="21"/>
        </w:rPr>
        <w:t>3): 15-27.</w:t>
      </w:r>
    </w:p>
    <w:p w14:paraId="41EC76FB" w14:textId="2CFCBEF8" w:rsidR="008A45B5" w:rsidRPr="00B92969" w:rsidRDefault="008A45B5" w:rsidP="00875991">
      <w:pPr>
        <w:pStyle w:val="a9"/>
        <w:numPr>
          <w:ilvl w:val="0"/>
          <w:numId w:val="2"/>
        </w:numPr>
        <w:rPr>
          <w:szCs w:val="21"/>
        </w:rPr>
      </w:pPr>
      <w:r w:rsidRPr="00B92969">
        <w:rPr>
          <w:rFonts w:hint="eastAsia"/>
          <w:szCs w:val="21"/>
        </w:rPr>
        <w:t>程冕</w:t>
      </w:r>
      <w:r w:rsidRPr="00B92969">
        <w:rPr>
          <w:rFonts w:hint="eastAsia"/>
          <w:szCs w:val="21"/>
        </w:rPr>
        <w:t xml:space="preserve">, </w:t>
      </w:r>
      <w:r w:rsidRPr="00B92969">
        <w:rPr>
          <w:rFonts w:hint="eastAsia"/>
          <w:szCs w:val="21"/>
        </w:rPr>
        <w:t>许自</w:t>
      </w:r>
      <w:proofErr w:type="gramStart"/>
      <w:r w:rsidRPr="00B92969">
        <w:rPr>
          <w:rFonts w:hint="eastAsia"/>
          <w:szCs w:val="21"/>
        </w:rPr>
        <w:t>坚</w:t>
      </w:r>
      <w:proofErr w:type="gramEnd"/>
      <w:r w:rsidRPr="00B92969">
        <w:rPr>
          <w:rFonts w:hint="eastAsia"/>
          <w:szCs w:val="21"/>
        </w:rPr>
        <w:t xml:space="preserve">, </w:t>
      </w:r>
      <w:r w:rsidRPr="00B92969">
        <w:rPr>
          <w:rFonts w:hint="eastAsia"/>
          <w:szCs w:val="21"/>
        </w:rPr>
        <w:t>史本山</w:t>
      </w:r>
      <w:r w:rsidRPr="00B92969">
        <w:rPr>
          <w:rFonts w:hint="eastAsia"/>
          <w:szCs w:val="21"/>
        </w:rPr>
        <w:t xml:space="preserve">. </w:t>
      </w:r>
      <w:r w:rsidRPr="00B92969">
        <w:rPr>
          <w:rFonts w:hint="eastAsia"/>
          <w:szCs w:val="21"/>
        </w:rPr>
        <w:t>组织资本对企业并购与并购绩效的影响研究</w:t>
      </w:r>
      <w:r w:rsidRPr="00B92969">
        <w:rPr>
          <w:rFonts w:hint="eastAsia"/>
          <w:szCs w:val="21"/>
        </w:rPr>
        <w:t xml:space="preserve">[J]. </w:t>
      </w:r>
      <w:r w:rsidRPr="00B92969">
        <w:rPr>
          <w:rFonts w:hint="eastAsia"/>
          <w:szCs w:val="21"/>
        </w:rPr>
        <w:t>财经问题研究</w:t>
      </w:r>
      <w:r w:rsidRPr="00B92969">
        <w:rPr>
          <w:rFonts w:hint="eastAsia"/>
          <w:szCs w:val="21"/>
        </w:rPr>
        <w:t>, 2019</w:t>
      </w:r>
      <w:r w:rsidR="00365EC7" w:rsidRPr="00B92969">
        <w:rPr>
          <w:rFonts w:hint="eastAsia"/>
          <w:szCs w:val="21"/>
        </w:rPr>
        <w:t>,</w:t>
      </w:r>
      <w:r w:rsidRPr="00B92969">
        <w:rPr>
          <w:rFonts w:hint="eastAsia"/>
          <w:szCs w:val="21"/>
        </w:rPr>
        <w:t>11: 137-145.</w:t>
      </w:r>
    </w:p>
    <w:p w14:paraId="3095CE14" w14:textId="1F57827B" w:rsidR="0010312E" w:rsidRPr="00B92969" w:rsidRDefault="0010312E" w:rsidP="00875991">
      <w:pPr>
        <w:pStyle w:val="a9"/>
        <w:numPr>
          <w:ilvl w:val="0"/>
          <w:numId w:val="2"/>
        </w:numPr>
        <w:rPr>
          <w:szCs w:val="21"/>
        </w:rPr>
      </w:pPr>
      <w:r w:rsidRPr="00B92969">
        <w:rPr>
          <w:rFonts w:hint="eastAsia"/>
          <w:szCs w:val="21"/>
        </w:rPr>
        <w:t>蔡雪玲</w:t>
      </w:r>
      <w:r w:rsidRPr="00B92969">
        <w:rPr>
          <w:rFonts w:hint="eastAsia"/>
          <w:szCs w:val="21"/>
        </w:rPr>
        <w:t>.</w:t>
      </w:r>
      <w:r w:rsidRPr="00B92969">
        <w:rPr>
          <w:rFonts w:hint="eastAsia"/>
          <w:szCs w:val="21"/>
        </w:rPr>
        <w:t>组织资本、融资约束与管理层激励</w:t>
      </w:r>
      <w:r w:rsidRPr="00B92969">
        <w:rPr>
          <w:rFonts w:hint="eastAsia"/>
          <w:szCs w:val="21"/>
        </w:rPr>
        <w:t>[J].</w:t>
      </w:r>
      <w:r w:rsidR="00365EC7" w:rsidRPr="00B92969">
        <w:rPr>
          <w:rFonts w:hint="eastAsia"/>
          <w:szCs w:val="21"/>
        </w:rPr>
        <w:t xml:space="preserve"> </w:t>
      </w:r>
      <w:r w:rsidRPr="00B92969">
        <w:rPr>
          <w:rFonts w:hint="eastAsia"/>
          <w:szCs w:val="21"/>
        </w:rPr>
        <w:t>投资研究</w:t>
      </w:r>
      <w:r w:rsidRPr="00B92969">
        <w:rPr>
          <w:rFonts w:hint="eastAsia"/>
          <w:szCs w:val="21"/>
        </w:rPr>
        <w:t>,2024,43(09):119-133.</w:t>
      </w:r>
    </w:p>
    <w:p w14:paraId="279D62D0" w14:textId="7736F074" w:rsidR="008A45B5" w:rsidRPr="00B92969" w:rsidRDefault="008A45B5" w:rsidP="00875991">
      <w:pPr>
        <w:pStyle w:val="a9"/>
        <w:numPr>
          <w:ilvl w:val="0"/>
          <w:numId w:val="2"/>
        </w:numPr>
        <w:rPr>
          <w:szCs w:val="21"/>
        </w:rPr>
      </w:pPr>
      <w:r w:rsidRPr="00B92969">
        <w:rPr>
          <w:rFonts w:hint="eastAsia"/>
          <w:szCs w:val="21"/>
        </w:rPr>
        <w:t>杜勇</w:t>
      </w:r>
      <w:r w:rsidRPr="00B92969">
        <w:rPr>
          <w:rFonts w:hint="eastAsia"/>
          <w:szCs w:val="21"/>
        </w:rPr>
        <w:t xml:space="preserve">, </w:t>
      </w:r>
      <w:proofErr w:type="gramStart"/>
      <w:r w:rsidRPr="00B92969">
        <w:rPr>
          <w:rFonts w:hint="eastAsia"/>
          <w:szCs w:val="21"/>
        </w:rPr>
        <w:t>孙帆</w:t>
      </w:r>
      <w:proofErr w:type="gramEnd"/>
      <w:r w:rsidRPr="00B92969">
        <w:rPr>
          <w:rFonts w:hint="eastAsia"/>
          <w:szCs w:val="21"/>
        </w:rPr>
        <w:t xml:space="preserve">, </w:t>
      </w:r>
      <w:r w:rsidRPr="00B92969">
        <w:rPr>
          <w:rFonts w:hint="eastAsia"/>
          <w:szCs w:val="21"/>
        </w:rPr>
        <w:t>邓旭</w:t>
      </w:r>
      <w:r w:rsidRPr="00B92969">
        <w:rPr>
          <w:rFonts w:hint="eastAsia"/>
          <w:szCs w:val="21"/>
        </w:rPr>
        <w:t xml:space="preserve">. </w:t>
      </w:r>
      <w:r w:rsidRPr="00B92969">
        <w:rPr>
          <w:rFonts w:hint="eastAsia"/>
          <w:szCs w:val="21"/>
        </w:rPr>
        <w:t>共同机构所有权与企业盈余管理</w:t>
      </w:r>
      <w:r w:rsidRPr="00B92969">
        <w:rPr>
          <w:rFonts w:hint="eastAsia"/>
          <w:szCs w:val="21"/>
        </w:rPr>
        <w:t xml:space="preserve">[J]. </w:t>
      </w:r>
      <w:r w:rsidRPr="00B92969">
        <w:rPr>
          <w:rFonts w:hint="eastAsia"/>
          <w:szCs w:val="21"/>
        </w:rPr>
        <w:t>中国工业经济</w:t>
      </w:r>
      <w:r w:rsidRPr="00B92969">
        <w:rPr>
          <w:rFonts w:hint="eastAsia"/>
          <w:szCs w:val="21"/>
        </w:rPr>
        <w:t>, 2021</w:t>
      </w:r>
      <w:r w:rsidR="00365EC7" w:rsidRPr="00B92969">
        <w:rPr>
          <w:rFonts w:hint="eastAsia"/>
          <w:szCs w:val="21"/>
        </w:rPr>
        <w:t>,</w:t>
      </w:r>
      <w:r w:rsidRPr="00B92969">
        <w:rPr>
          <w:rFonts w:hint="eastAsia"/>
          <w:szCs w:val="21"/>
        </w:rPr>
        <w:t>06: 155-173.</w:t>
      </w:r>
    </w:p>
    <w:p w14:paraId="046DCD25" w14:textId="77777777" w:rsidR="00365EC7" w:rsidRPr="00B92969" w:rsidRDefault="00365EC7" w:rsidP="00875991">
      <w:pPr>
        <w:pStyle w:val="a9"/>
        <w:numPr>
          <w:ilvl w:val="0"/>
          <w:numId w:val="2"/>
        </w:numPr>
        <w:rPr>
          <w:szCs w:val="21"/>
        </w:rPr>
      </w:pPr>
      <w:r w:rsidRPr="00B92969">
        <w:rPr>
          <w:rFonts w:hint="eastAsia"/>
          <w:szCs w:val="21"/>
        </w:rPr>
        <w:t>华秀萍</w:t>
      </w:r>
      <w:r w:rsidRPr="00B92969">
        <w:rPr>
          <w:rFonts w:hint="eastAsia"/>
          <w:szCs w:val="21"/>
        </w:rPr>
        <w:t xml:space="preserve">, </w:t>
      </w:r>
      <w:r w:rsidRPr="00B92969">
        <w:rPr>
          <w:rFonts w:hint="eastAsia"/>
          <w:szCs w:val="21"/>
        </w:rPr>
        <w:t>程思睿</w:t>
      </w:r>
      <w:r w:rsidRPr="00B92969">
        <w:rPr>
          <w:rFonts w:hint="eastAsia"/>
          <w:szCs w:val="21"/>
        </w:rPr>
        <w:t xml:space="preserve">, </w:t>
      </w:r>
      <w:r w:rsidRPr="00B92969">
        <w:rPr>
          <w:rFonts w:hint="eastAsia"/>
          <w:szCs w:val="21"/>
        </w:rPr>
        <w:t>李婉宁</w:t>
      </w:r>
      <w:r w:rsidRPr="00B92969">
        <w:rPr>
          <w:rFonts w:hint="eastAsia"/>
          <w:szCs w:val="21"/>
        </w:rPr>
        <w:t xml:space="preserve">, </w:t>
      </w:r>
      <w:r w:rsidRPr="00B92969">
        <w:rPr>
          <w:rFonts w:hint="eastAsia"/>
          <w:szCs w:val="21"/>
        </w:rPr>
        <w:t>等</w:t>
      </w:r>
      <w:r w:rsidRPr="00B92969">
        <w:rPr>
          <w:rFonts w:hint="eastAsia"/>
          <w:szCs w:val="21"/>
        </w:rPr>
        <w:t xml:space="preserve">. </w:t>
      </w:r>
      <w:r w:rsidRPr="00B92969">
        <w:rPr>
          <w:rFonts w:hint="eastAsia"/>
          <w:szCs w:val="21"/>
        </w:rPr>
        <w:t>非正式融资中的文化力量——企业文化对商业信用的影响</w:t>
      </w:r>
      <w:r w:rsidRPr="00B92969">
        <w:rPr>
          <w:rFonts w:hint="eastAsia"/>
          <w:szCs w:val="21"/>
        </w:rPr>
        <w:t xml:space="preserve">[J]. </w:t>
      </w:r>
      <w:r w:rsidRPr="00B92969">
        <w:rPr>
          <w:rFonts w:hint="eastAsia"/>
          <w:szCs w:val="21"/>
        </w:rPr>
        <w:t>金融研究</w:t>
      </w:r>
      <w:r w:rsidRPr="00B92969">
        <w:rPr>
          <w:rFonts w:hint="eastAsia"/>
          <w:szCs w:val="21"/>
        </w:rPr>
        <w:t>, 2023, 521(10): 186-206.</w:t>
      </w:r>
    </w:p>
    <w:p w14:paraId="5BE4810E" w14:textId="4E1B3284" w:rsidR="008A45B5" w:rsidRPr="00B92969" w:rsidRDefault="008A45B5" w:rsidP="00875991">
      <w:pPr>
        <w:pStyle w:val="a9"/>
        <w:numPr>
          <w:ilvl w:val="0"/>
          <w:numId w:val="2"/>
        </w:numPr>
        <w:rPr>
          <w:szCs w:val="21"/>
        </w:rPr>
      </w:pPr>
      <w:r w:rsidRPr="00B92969">
        <w:rPr>
          <w:rFonts w:hint="eastAsia"/>
          <w:szCs w:val="21"/>
        </w:rPr>
        <w:t>戚聿东</w:t>
      </w:r>
      <w:r w:rsidRPr="00B92969">
        <w:rPr>
          <w:rFonts w:hint="eastAsia"/>
          <w:szCs w:val="21"/>
        </w:rPr>
        <w:t xml:space="preserve">, </w:t>
      </w:r>
      <w:r w:rsidRPr="00B92969">
        <w:rPr>
          <w:rFonts w:hint="eastAsia"/>
          <w:szCs w:val="21"/>
        </w:rPr>
        <w:t>肖旭</w:t>
      </w:r>
      <w:r w:rsidRPr="00B92969">
        <w:rPr>
          <w:rFonts w:hint="eastAsia"/>
          <w:szCs w:val="21"/>
        </w:rPr>
        <w:t xml:space="preserve">. </w:t>
      </w:r>
      <w:r w:rsidRPr="00B92969">
        <w:rPr>
          <w:rFonts w:hint="eastAsia"/>
          <w:szCs w:val="21"/>
        </w:rPr>
        <w:t>数字经济时代的企业管理变革</w:t>
      </w:r>
      <w:r w:rsidRPr="00B92969">
        <w:rPr>
          <w:rFonts w:hint="eastAsia"/>
          <w:szCs w:val="21"/>
        </w:rPr>
        <w:t xml:space="preserve">[J]. </w:t>
      </w:r>
      <w:r w:rsidRPr="00B92969">
        <w:rPr>
          <w:rFonts w:hint="eastAsia"/>
          <w:szCs w:val="21"/>
        </w:rPr>
        <w:t>管理世界</w:t>
      </w:r>
      <w:r w:rsidRPr="00B92969">
        <w:rPr>
          <w:rFonts w:hint="eastAsia"/>
          <w:szCs w:val="21"/>
        </w:rPr>
        <w:t>, 2020, 36(06): 135-152+250.</w:t>
      </w:r>
    </w:p>
    <w:p w14:paraId="6837D877" w14:textId="77777777" w:rsidR="008A45B5" w:rsidRPr="00B92969" w:rsidRDefault="008A45B5" w:rsidP="00875991">
      <w:pPr>
        <w:pStyle w:val="a9"/>
        <w:numPr>
          <w:ilvl w:val="0"/>
          <w:numId w:val="2"/>
        </w:numPr>
        <w:rPr>
          <w:szCs w:val="21"/>
        </w:rPr>
      </w:pPr>
      <w:r w:rsidRPr="00B92969">
        <w:rPr>
          <w:rFonts w:hint="eastAsia"/>
          <w:szCs w:val="21"/>
        </w:rPr>
        <w:t>蒋艺翅</w:t>
      </w:r>
      <w:r w:rsidRPr="00B92969">
        <w:rPr>
          <w:rFonts w:hint="eastAsia"/>
          <w:szCs w:val="21"/>
        </w:rPr>
        <w:t xml:space="preserve">, </w:t>
      </w:r>
      <w:r w:rsidRPr="00B92969">
        <w:rPr>
          <w:rFonts w:hint="eastAsia"/>
          <w:szCs w:val="21"/>
        </w:rPr>
        <w:t>姚树洁</w:t>
      </w:r>
      <w:r w:rsidRPr="00B92969">
        <w:rPr>
          <w:rFonts w:hint="eastAsia"/>
          <w:szCs w:val="21"/>
        </w:rPr>
        <w:t xml:space="preserve">. </w:t>
      </w:r>
      <w:r w:rsidRPr="00B92969">
        <w:rPr>
          <w:rFonts w:hint="eastAsia"/>
          <w:szCs w:val="21"/>
        </w:rPr>
        <w:t>组织资本、利益相关</w:t>
      </w:r>
      <w:proofErr w:type="gramStart"/>
      <w:r w:rsidRPr="00B92969">
        <w:rPr>
          <w:rFonts w:hint="eastAsia"/>
          <w:szCs w:val="21"/>
        </w:rPr>
        <w:t>者压力</w:t>
      </w:r>
      <w:proofErr w:type="gramEnd"/>
      <w:r w:rsidRPr="00B92969">
        <w:rPr>
          <w:rFonts w:hint="eastAsia"/>
          <w:szCs w:val="21"/>
        </w:rPr>
        <w:t>与企业绿色创新</w:t>
      </w:r>
      <w:r w:rsidRPr="00B92969">
        <w:rPr>
          <w:rFonts w:hint="eastAsia"/>
          <w:szCs w:val="21"/>
        </w:rPr>
        <w:t xml:space="preserve">[J]. </w:t>
      </w:r>
      <w:r w:rsidRPr="00B92969">
        <w:rPr>
          <w:rFonts w:hint="eastAsia"/>
          <w:szCs w:val="21"/>
        </w:rPr>
        <w:t>科研管理</w:t>
      </w:r>
      <w:r w:rsidRPr="00B92969">
        <w:rPr>
          <w:rFonts w:hint="eastAsia"/>
          <w:szCs w:val="21"/>
        </w:rPr>
        <w:t>, 2023, 44(12): 71-81.</w:t>
      </w:r>
    </w:p>
    <w:p w14:paraId="41783A07" w14:textId="312D29DA" w:rsidR="008A45B5" w:rsidRPr="00B92969" w:rsidRDefault="008A45B5" w:rsidP="00875991">
      <w:pPr>
        <w:pStyle w:val="a9"/>
        <w:numPr>
          <w:ilvl w:val="0"/>
          <w:numId w:val="2"/>
        </w:numPr>
        <w:rPr>
          <w:szCs w:val="21"/>
        </w:rPr>
      </w:pPr>
      <w:r w:rsidRPr="00B92969">
        <w:rPr>
          <w:rFonts w:hint="eastAsia"/>
          <w:szCs w:val="21"/>
        </w:rPr>
        <w:t>金</w:t>
      </w:r>
      <w:proofErr w:type="gramStart"/>
      <w:r w:rsidRPr="00B92969">
        <w:rPr>
          <w:rFonts w:hint="eastAsia"/>
          <w:szCs w:val="21"/>
        </w:rPr>
        <w:t>碚</w:t>
      </w:r>
      <w:proofErr w:type="gramEnd"/>
      <w:r w:rsidRPr="00B92969">
        <w:rPr>
          <w:rFonts w:hint="eastAsia"/>
          <w:szCs w:val="21"/>
        </w:rPr>
        <w:t xml:space="preserve">. </w:t>
      </w:r>
      <w:r w:rsidRPr="00B92969">
        <w:rPr>
          <w:rFonts w:hint="eastAsia"/>
          <w:szCs w:val="21"/>
        </w:rPr>
        <w:t>论经济的组织资本与组织政策——兼议新冠肺炎疫情的启示</w:t>
      </w:r>
      <w:r w:rsidRPr="00B92969">
        <w:rPr>
          <w:rFonts w:hint="eastAsia"/>
          <w:szCs w:val="21"/>
        </w:rPr>
        <w:t xml:space="preserve">[J]. </w:t>
      </w:r>
      <w:r w:rsidRPr="00B92969">
        <w:rPr>
          <w:rFonts w:hint="eastAsia"/>
          <w:szCs w:val="21"/>
        </w:rPr>
        <w:t>中国工业经济</w:t>
      </w:r>
      <w:r w:rsidRPr="00B92969">
        <w:rPr>
          <w:rFonts w:hint="eastAsia"/>
          <w:szCs w:val="21"/>
        </w:rPr>
        <w:t>, 2020</w:t>
      </w:r>
      <w:r w:rsidR="00365EC7" w:rsidRPr="00B92969">
        <w:rPr>
          <w:rFonts w:hint="eastAsia"/>
          <w:szCs w:val="21"/>
        </w:rPr>
        <w:t>,</w:t>
      </w:r>
      <w:r w:rsidRPr="00B92969">
        <w:rPr>
          <w:rFonts w:hint="eastAsia"/>
          <w:szCs w:val="21"/>
        </w:rPr>
        <w:t>04: 23-41.</w:t>
      </w:r>
    </w:p>
    <w:p w14:paraId="3C56EE7E" w14:textId="2CAB6012" w:rsidR="008A45B5" w:rsidRPr="00B92969" w:rsidRDefault="008A45B5" w:rsidP="00875991">
      <w:pPr>
        <w:pStyle w:val="a9"/>
        <w:numPr>
          <w:ilvl w:val="0"/>
          <w:numId w:val="2"/>
        </w:numPr>
        <w:rPr>
          <w:szCs w:val="21"/>
        </w:rPr>
      </w:pPr>
      <w:r w:rsidRPr="00B92969">
        <w:rPr>
          <w:rFonts w:hint="eastAsia"/>
          <w:szCs w:val="21"/>
        </w:rPr>
        <w:t>李从刚</w:t>
      </w:r>
      <w:r w:rsidRPr="00B92969">
        <w:rPr>
          <w:rFonts w:hint="eastAsia"/>
          <w:szCs w:val="21"/>
        </w:rPr>
        <w:t xml:space="preserve">, </w:t>
      </w:r>
      <w:r w:rsidRPr="00B92969">
        <w:rPr>
          <w:rFonts w:hint="eastAsia"/>
          <w:szCs w:val="21"/>
        </w:rPr>
        <w:t>许荣</w:t>
      </w:r>
      <w:r w:rsidRPr="00B92969">
        <w:rPr>
          <w:rFonts w:hint="eastAsia"/>
          <w:szCs w:val="21"/>
        </w:rPr>
        <w:t xml:space="preserve">. </w:t>
      </w:r>
      <w:r w:rsidRPr="00B92969">
        <w:rPr>
          <w:rFonts w:hint="eastAsia"/>
          <w:szCs w:val="21"/>
        </w:rPr>
        <w:t>保险治理与公司违规</w:t>
      </w:r>
      <w:r w:rsidRPr="00B92969">
        <w:rPr>
          <w:rFonts w:hint="eastAsia"/>
          <w:szCs w:val="21"/>
        </w:rPr>
        <w:t xml:space="preserve"> </w:t>
      </w:r>
      <w:r w:rsidRPr="00B92969">
        <w:rPr>
          <w:rFonts w:hint="eastAsia"/>
          <w:szCs w:val="21"/>
        </w:rPr>
        <w:t>——</w:t>
      </w:r>
      <w:r w:rsidRPr="00B92969">
        <w:rPr>
          <w:rFonts w:hint="eastAsia"/>
          <w:szCs w:val="21"/>
        </w:rPr>
        <w:t xml:space="preserve"> </w:t>
      </w:r>
      <w:r w:rsidRPr="00B92969">
        <w:rPr>
          <w:rFonts w:hint="eastAsia"/>
          <w:szCs w:val="21"/>
        </w:rPr>
        <w:t>董事高管责任保险的治理效应研究</w:t>
      </w:r>
      <w:r w:rsidRPr="00B92969">
        <w:rPr>
          <w:rFonts w:hint="eastAsia"/>
          <w:szCs w:val="21"/>
        </w:rPr>
        <w:t xml:space="preserve">[J]. </w:t>
      </w:r>
      <w:r w:rsidRPr="00B92969">
        <w:rPr>
          <w:rFonts w:hint="eastAsia"/>
          <w:szCs w:val="21"/>
        </w:rPr>
        <w:t>金融研究</w:t>
      </w:r>
      <w:r w:rsidRPr="00B92969">
        <w:rPr>
          <w:rFonts w:hint="eastAsia"/>
          <w:szCs w:val="21"/>
        </w:rPr>
        <w:t>, 2020</w:t>
      </w:r>
      <w:r w:rsidR="00365EC7" w:rsidRPr="00B92969">
        <w:rPr>
          <w:rFonts w:hint="eastAsia"/>
          <w:szCs w:val="21"/>
        </w:rPr>
        <w:t>,</w:t>
      </w:r>
      <w:r w:rsidRPr="00B92969">
        <w:rPr>
          <w:rFonts w:hint="eastAsia"/>
          <w:szCs w:val="21"/>
        </w:rPr>
        <w:t>06: 188-206.</w:t>
      </w:r>
    </w:p>
    <w:p w14:paraId="6E082A58" w14:textId="77777777" w:rsidR="008A45B5" w:rsidRPr="00B92969" w:rsidRDefault="008A45B5" w:rsidP="00875991">
      <w:pPr>
        <w:pStyle w:val="a9"/>
        <w:numPr>
          <w:ilvl w:val="0"/>
          <w:numId w:val="2"/>
        </w:numPr>
        <w:rPr>
          <w:szCs w:val="21"/>
        </w:rPr>
      </w:pPr>
      <w:proofErr w:type="gramStart"/>
      <w:r w:rsidRPr="00B92969">
        <w:rPr>
          <w:rFonts w:hint="eastAsia"/>
          <w:szCs w:val="21"/>
        </w:rPr>
        <w:t>李欢</w:t>
      </w:r>
      <w:r w:rsidRPr="00B92969">
        <w:rPr>
          <w:rFonts w:hint="eastAsia"/>
          <w:szCs w:val="21"/>
        </w:rPr>
        <w:t>,</w:t>
      </w:r>
      <w:proofErr w:type="gramEnd"/>
      <w:r w:rsidRPr="00B92969">
        <w:rPr>
          <w:rFonts w:hint="eastAsia"/>
          <w:szCs w:val="21"/>
        </w:rPr>
        <w:t xml:space="preserve"> </w:t>
      </w:r>
      <w:r w:rsidRPr="00B92969">
        <w:rPr>
          <w:rFonts w:hint="eastAsia"/>
          <w:szCs w:val="21"/>
        </w:rPr>
        <w:t>罗婷</w:t>
      </w:r>
      <w:r w:rsidRPr="00B92969">
        <w:rPr>
          <w:rFonts w:hint="eastAsia"/>
          <w:szCs w:val="21"/>
        </w:rPr>
        <w:t xml:space="preserve">. </w:t>
      </w:r>
      <w:r w:rsidRPr="00B92969">
        <w:rPr>
          <w:rFonts w:hint="eastAsia"/>
          <w:szCs w:val="21"/>
        </w:rPr>
        <w:t>管理层业绩预测的机会主义行为——来自高管股票交易的证据</w:t>
      </w:r>
      <w:r w:rsidRPr="00B92969">
        <w:rPr>
          <w:rFonts w:hint="eastAsia"/>
          <w:szCs w:val="21"/>
        </w:rPr>
        <w:t xml:space="preserve">[J]. </w:t>
      </w:r>
      <w:r w:rsidRPr="00B92969">
        <w:rPr>
          <w:rFonts w:hint="eastAsia"/>
          <w:szCs w:val="21"/>
        </w:rPr>
        <w:t>南开管理评论</w:t>
      </w:r>
      <w:r w:rsidRPr="00B92969">
        <w:rPr>
          <w:rFonts w:hint="eastAsia"/>
          <w:szCs w:val="21"/>
        </w:rPr>
        <w:t>, 2016, 19(04): 63-74.</w:t>
      </w:r>
    </w:p>
    <w:p w14:paraId="4A4D5240" w14:textId="77777777" w:rsidR="008A45B5" w:rsidRPr="00B92969" w:rsidRDefault="008A45B5" w:rsidP="00875991">
      <w:pPr>
        <w:pStyle w:val="a9"/>
        <w:numPr>
          <w:ilvl w:val="0"/>
          <w:numId w:val="2"/>
        </w:numPr>
        <w:rPr>
          <w:szCs w:val="21"/>
        </w:rPr>
      </w:pPr>
      <w:r w:rsidRPr="00B92969">
        <w:rPr>
          <w:rFonts w:hint="eastAsia"/>
          <w:szCs w:val="21"/>
        </w:rPr>
        <w:t>李筱乐</w:t>
      </w:r>
      <w:r w:rsidRPr="00B92969">
        <w:rPr>
          <w:rFonts w:hint="eastAsia"/>
          <w:szCs w:val="21"/>
        </w:rPr>
        <w:t xml:space="preserve">, </w:t>
      </w:r>
      <w:r w:rsidRPr="00B92969">
        <w:rPr>
          <w:rFonts w:hint="eastAsia"/>
          <w:szCs w:val="21"/>
        </w:rPr>
        <w:t>张军</w:t>
      </w:r>
      <w:r w:rsidRPr="00B92969">
        <w:rPr>
          <w:rFonts w:hint="eastAsia"/>
          <w:szCs w:val="21"/>
        </w:rPr>
        <w:t xml:space="preserve">, </w:t>
      </w:r>
      <w:proofErr w:type="gramStart"/>
      <w:r w:rsidRPr="00B92969">
        <w:rPr>
          <w:rFonts w:hint="eastAsia"/>
          <w:szCs w:val="21"/>
        </w:rPr>
        <w:t>李梦荷</w:t>
      </w:r>
      <w:proofErr w:type="gramEnd"/>
      <w:r w:rsidRPr="00B92969">
        <w:rPr>
          <w:rFonts w:hint="eastAsia"/>
          <w:szCs w:val="21"/>
        </w:rPr>
        <w:t xml:space="preserve">. </w:t>
      </w:r>
      <w:r w:rsidRPr="00B92969">
        <w:rPr>
          <w:rFonts w:hint="eastAsia"/>
          <w:szCs w:val="21"/>
        </w:rPr>
        <w:t>董</w:t>
      </w:r>
      <w:proofErr w:type="gramStart"/>
      <w:r w:rsidRPr="00B92969">
        <w:rPr>
          <w:rFonts w:hint="eastAsia"/>
          <w:szCs w:val="21"/>
        </w:rPr>
        <w:t>监高责任</w:t>
      </w:r>
      <w:proofErr w:type="gramEnd"/>
      <w:r w:rsidRPr="00B92969">
        <w:rPr>
          <w:rFonts w:hint="eastAsia"/>
          <w:szCs w:val="21"/>
        </w:rPr>
        <w:t>险</w:t>
      </w:r>
      <w:r w:rsidRPr="00B92969">
        <w:rPr>
          <w:rFonts w:hint="eastAsia"/>
          <w:szCs w:val="21"/>
        </w:rPr>
        <w:t xml:space="preserve">, </w:t>
      </w:r>
      <w:r w:rsidRPr="00B92969">
        <w:rPr>
          <w:rFonts w:hint="eastAsia"/>
          <w:szCs w:val="21"/>
        </w:rPr>
        <w:t>企业声誉与绿色创新</w:t>
      </w:r>
      <w:r w:rsidRPr="00B92969">
        <w:rPr>
          <w:rFonts w:hint="eastAsia"/>
          <w:szCs w:val="21"/>
        </w:rPr>
        <w:t xml:space="preserve">[J]. </w:t>
      </w:r>
      <w:r w:rsidRPr="00B92969">
        <w:rPr>
          <w:rFonts w:hint="eastAsia"/>
          <w:szCs w:val="21"/>
        </w:rPr>
        <w:t>上海财经大学学报</w:t>
      </w:r>
      <w:r w:rsidRPr="00B92969">
        <w:rPr>
          <w:rFonts w:hint="eastAsia"/>
          <w:szCs w:val="21"/>
        </w:rPr>
        <w:t>, 2023, 25(2).</w:t>
      </w:r>
    </w:p>
    <w:p w14:paraId="13594AD4" w14:textId="45915E24" w:rsidR="008A45B5" w:rsidRPr="00B92969" w:rsidRDefault="008A45B5" w:rsidP="00875991">
      <w:pPr>
        <w:pStyle w:val="a9"/>
        <w:numPr>
          <w:ilvl w:val="0"/>
          <w:numId w:val="2"/>
        </w:numPr>
        <w:rPr>
          <w:szCs w:val="21"/>
        </w:rPr>
      </w:pPr>
      <w:r w:rsidRPr="00B92969">
        <w:rPr>
          <w:rFonts w:hint="eastAsia"/>
          <w:szCs w:val="21"/>
        </w:rPr>
        <w:t>凌士显</w:t>
      </w:r>
      <w:r w:rsidRPr="00B92969">
        <w:rPr>
          <w:rFonts w:hint="eastAsia"/>
          <w:szCs w:val="21"/>
        </w:rPr>
        <w:t xml:space="preserve">, </w:t>
      </w:r>
      <w:r w:rsidRPr="00B92969">
        <w:rPr>
          <w:rFonts w:hint="eastAsia"/>
          <w:szCs w:val="21"/>
        </w:rPr>
        <w:t>白锐锋</w:t>
      </w:r>
      <w:r w:rsidRPr="00B92969">
        <w:rPr>
          <w:rFonts w:hint="eastAsia"/>
          <w:szCs w:val="21"/>
        </w:rPr>
        <w:t xml:space="preserve">. </w:t>
      </w:r>
      <w:r w:rsidRPr="00B92969">
        <w:rPr>
          <w:rFonts w:hint="eastAsia"/>
          <w:szCs w:val="21"/>
        </w:rPr>
        <w:t>董事高管责任保险与公司费用粘性——基于中国上市公司经验数据的实证检验</w:t>
      </w:r>
      <w:r w:rsidRPr="00B92969">
        <w:rPr>
          <w:rFonts w:hint="eastAsia"/>
          <w:szCs w:val="21"/>
        </w:rPr>
        <w:t xml:space="preserve">[J]. </w:t>
      </w:r>
      <w:r w:rsidRPr="00B92969">
        <w:rPr>
          <w:rFonts w:hint="eastAsia"/>
          <w:szCs w:val="21"/>
        </w:rPr>
        <w:t>保险研究</w:t>
      </w:r>
      <w:r w:rsidRPr="00B92969">
        <w:rPr>
          <w:rFonts w:hint="eastAsia"/>
          <w:szCs w:val="21"/>
        </w:rPr>
        <w:t>, 2018</w:t>
      </w:r>
      <w:r w:rsidR="00365EC7" w:rsidRPr="00B92969">
        <w:rPr>
          <w:rFonts w:hint="eastAsia"/>
          <w:szCs w:val="21"/>
        </w:rPr>
        <w:t>,</w:t>
      </w:r>
      <w:r w:rsidRPr="00B92969">
        <w:rPr>
          <w:rFonts w:hint="eastAsia"/>
          <w:szCs w:val="21"/>
        </w:rPr>
        <w:t>5: 73-86.</w:t>
      </w:r>
    </w:p>
    <w:p w14:paraId="639857DE" w14:textId="77777777" w:rsidR="008A45B5" w:rsidRPr="00B92969" w:rsidRDefault="008A45B5" w:rsidP="00875991">
      <w:pPr>
        <w:pStyle w:val="a9"/>
        <w:numPr>
          <w:ilvl w:val="0"/>
          <w:numId w:val="2"/>
        </w:numPr>
        <w:rPr>
          <w:szCs w:val="21"/>
        </w:rPr>
      </w:pPr>
      <w:r w:rsidRPr="00B92969">
        <w:rPr>
          <w:rFonts w:hint="eastAsia"/>
          <w:szCs w:val="21"/>
        </w:rPr>
        <w:t>凌士显</w:t>
      </w:r>
      <w:r w:rsidRPr="00B92969">
        <w:rPr>
          <w:rFonts w:hint="eastAsia"/>
          <w:szCs w:val="21"/>
        </w:rPr>
        <w:t xml:space="preserve">, </w:t>
      </w:r>
      <w:r w:rsidRPr="00B92969">
        <w:rPr>
          <w:rFonts w:hint="eastAsia"/>
          <w:szCs w:val="21"/>
        </w:rPr>
        <w:t>白锐锋</w:t>
      </w:r>
      <w:r w:rsidRPr="00B92969">
        <w:rPr>
          <w:rFonts w:hint="eastAsia"/>
          <w:szCs w:val="21"/>
        </w:rPr>
        <w:t xml:space="preserve">. </w:t>
      </w:r>
      <w:r w:rsidRPr="00B92969">
        <w:rPr>
          <w:rFonts w:hint="eastAsia"/>
          <w:szCs w:val="21"/>
        </w:rPr>
        <w:t>董事高管责任保险与公司绩效——基于中国上市公司经验数据的实证检验</w:t>
      </w:r>
      <w:r w:rsidRPr="00B92969">
        <w:rPr>
          <w:rFonts w:hint="eastAsia"/>
          <w:szCs w:val="21"/>
        </w:rPr>
        <w:t xml:space="preserve">[J]. </w:t>
      </w:r>
      <w:r w:rsidRPr="00B92969">
        <w:rPr>
          <w:rFonts w:hint="eastAsia"/>
          <w:szCs w:val="21"/>
        </w:rPr>
        <w:t>商业研究</w:t>
      </w:r>
      <w:r w:rsidRPr="00B92969">
        <w:rPr>
          <w:rFonts w:hint="eastAsia"/>
          <w:szCs w:val="21"/>
        </w:rPr>
        <w:t>, 2017, 59(10): 78.</w:t>
      </w:r>
    </w:p>
    <w:p w14:paraId="666FC9F8" w14:textId="77777777" w:rsidR="008A45B5" w:rsidRPr="00B92969" w:rsidRDefault="008A45B5" w:rsidP="00875991">
      <w:pPr>
        <w:pStyle w:val="a9"/>
        <w:numPr>
          <w:ilvl w:val="0"/>
          <w:numId w:val="2"/>
        </w:numPr>
        <w:rPr>
          <w:szCs w:val="21"/>
        </w:rPr>
      </w:pPr>
      <w:r w:rsidRPr="00B92969">
        <w:rPr>
          <w:rFonts w:hint="eastAsia"/>
          <w:szCs w:val="21"/>
        </w:rPr>
        <w:t>林晚发</w:t>
      </w:r>
      <w:r w:rsidRPr="00B92969">
        <w:rPr>
          <w:rFonts w:hint="eastAsia"/>
          <w:szCs w:val="21"/>
        </w:rPr>
        <w:t xml:space="preserve">, </w:t>
      </w:r>
      <w:r w:rsidRPr="00B92969">
        <w:rPr>
          <w:rFonts w:hint="eastAsia"/>
          <w:szCs w:val="21"/>
        </w:rPr>
        <w:t>赵仲匡</w:t>
      </w:r>
      <w:r w:rsidRPr="00B92969">
        <w:rPr>
          <w:rFonts w:hint="eastAsia"/>
          <w:szCs w:val="21"/>
        </w:rPr>
        <w:t xml:space="preserve">, </w:t>
      </w:r>
      <w:r w:rsidRPr="00B92969">
        <w:rPr>
          <w:rFonts w:hint="eastAsia"/>
          <w:szCs w:val="21"/>
        </w:rPr>
        <w:t>宋敏</w:t>
      </w:r>
      <w:r w:rsidRPr="00B92969">
        <w:rPr>
          <w:rFonts w:hint="eastAsia"/>
          <w:szCs w:val="21"/>
        </w:rPr>
        <w:t xml:space="preserve">. </w:t>
      </w:r>
      <w:r w:rsidRPr="00B92969">
        <w:rPr>
          <w:rFonts w:hint="eastAsia"/>
          <w:szCs w:val="21"/>
        </w:rPr>
        <w:t>管理</w:t>
      </w:r>
      <w:proofErr w:type="gramStart"/>
      <w:r w:rsidRPr="00B92969">
        <w:rPr>
          <w:rFonts w:hint="eastAsia"/>
          <w:szCs w:val="21"/>
        </w:rPr>
        <w:t>层讨论</w:t>
      </w:r>
      <w:proofErr w:type="gramEnd"/>
      <w:r w:rsidRPr="00B92969">
        <w:rPr>
          <w:rFonts w:hint="eastAsia"/>
          <w:szCs w:val="21"/>
        </w:rPr>
        <w:t>与分析的语调操纵及其债券市场反应</w:t>
      </w:r>
      <w:r w:rsidRPr="00B92969">
        <w:rPr>
          <w:rFonts w:hint="eastAsia"/>
          <w:szCs w:val="21"/>
        </w:rPr>
        <w:t xml:space="preserve">[J]. </w:t>
      </w:r>
      <w:r w:rsidRPr="00B92969">
        <w:rPr>
          <w:rFonts w:hint="eastAsia"/>
          <w:szCs w:val="21"/>
        </w:rPr>
        <w:t>管理世界</w:t>
      </w:r>
      <w:r w:rsidRPr="00B92969">
        <w:rPr>
          <w:rFonts w:hint="eastAsia"/>
          <w:szCs w:val="21"/>
        </w:rPr>
        <w:t>, 2022, 38(01): 164-180.</w:t>
      </w:r>
    </w:p>
    <w:p w14:paraId="69A425A1" w14:textId="77777777" w:rsidR="008A45B5" w:rsidRPr="00B92969" w:rsidRDefault="008A45B5" w:rsidP="00875991">
      <w:pPr>
        <w:pStyle w:val="a9"/>
        <w:numPr>
          <w:ilvl w:val="0"/>
          <w:numId w:val="2"/>
        </w:numPr>
        <w:rPr>
          <w:szCs w:val="21"/>
        </w:rPr>
      </w:pPr>
      <w:proofErr w:type="gramStart"/>
      <w:r w:rsidRPr="00B92969">
        <w:rPr>
          <w:rFonts w:hint="eastAsia"/>
          <w:szCs w:val="21"/>
        </w:rPr>
        <w:t>刘海建</w:t>
      </w:r>
      <w:proofErr w:type="gramEnd"/>
      <w:r w:rsidRPr="00B92969">
        <w:rPr>
          <w:rFonts w:hint="eastAsia"/>
          <w:szCs w:val="21"/>
        </w:rPr>
        <w:t xml:space="preserve">, </w:t>
      </w:r>
      <w:r w:rsidRPr="00B92969">
        <w:rPr>
          <w:rFonts w:hint="eastAsia"/>
          <w:szCs w:val="21"/>
        </w:rPr>
        <w:t>陈传明</w:t>
      </w:r>
      <w:r w:rsidRPr="00B92969">
        <w:rPr>
          <w:rFonts w:hint="eastAsia"/>
          <w:szCs w:val="21"/>
        </w:rPr>
        <w:t xml:space="preserve">. </w:t>
      </w:r>
      <w:r w:rsidRPr="00B92969">
        <w:rPr>
          <w:rFonts w:hint="eastAsia"/>
          <w:szCs w:val="21"/>
        </w:rPr>
        <w:t>企业组织资本</w:t>
      </w:r>
      <w:r w:rsidRPr="00B92969">
        <w:rPr>
          <w:rFonts w:hint="eastAsia"/>
          <w:szCs w:val="21"/>
        </w:rPr>
        <w:t xml:space="preserve">, </w:t>
      </w:r>
      <w:r w:rsidRPr="00B92969">
        <w:rPr>
          <w:rFonts w:hint="eastAsia"/>
          <w:szCs w:val="21"/>
        </w:rPr>
        <w:t>战略前瞻性与企业绩效：基于中国企业的实证研究</w:t>
      </w:r>
      <w:r w:rsidRPr="00B92969">
        <w:rPr>
          <w:rFonts w:hint="eastAsia"/>
          <w:szCs w:val="21"/>
        </w:rPr>
        <w:t xml:space="preserve">[J]. </w:t>
      </w:r>
      <w:r w:rsidRPr="00B92969">
        <w:rPr>
          <w:rFonts w:hint="eastAsia"/>
          <w:szCs w:val="21"/>
        </w:rPr>
        <w:t>管理世界</w:t>
      </w:r>
      <w:r w:rsidRPr="00B92969">
        <w:rPr>
          <w:rFonts w:hint="eastAsia"/>
          <w:szCs w:val="21"/>
        </w:rPr>
        <w:t>, 2007, 5: 83-93.</w:t>
      </w:r>
    </w:p>
    <w:p w14:paraId="594478F7" w14:textId="74D56F7B" w:rsidR="008A45B5" w:rsidRPr="00B92969" w:rsidRDefault="008A45B5" w:rsidP="00875991">
      <w:pPr>
        <w:pStyle w:val="a9"/>
        <w:numPr>
          <w:ilvl w:val="0"/>
          <w:numId w:val="2"/>
        </w:numPr>
        <w:rPr>
          <w:szCs w:val="21"/>
        </w:rPr>
      </w:pPr>
      <w:r w:rsidRPr="00B92969">
        <w:rPr>
          <w:rFonts w:hint="eastAsia"/>
          <w:szCs w:val="21"/>
        </w:rPr>
        <w:t>彭韶兵</w:t>
      </w:r>
      <w:r w:rsidRPr="00B92969">
        <w:rPr>
          <w:rFonts w:hint="eastAsia"/>
          <w:szCs w:val="21"/>
        </w:rPr>
        <w:t xml:space="preserve">, </w:t>
      </w:r>
      <w:r w:rsidRPr="00B92969">
        <w:rPr>
          <w:rFonts w:hint="eastAsia"/>
          <w:szCs w:val="21"/>
        </w:rPr>
        <w:t>王玉</w:t>
      </w:r>
      <w:r w:rsidRPr="00B92969">
        <w:rPr>
          <w:rFonts w:hint="eastAsia"/>
          <w:szCs w:val="21"/>
        </w:rPr>
        <w:t xml:space="preserve">, </w:t>
      </w:r>
      <w:r w:rsidRPr="00B92969">
        <w:rPr>
          <w:rFonts w:hint="eastAsia"/>
          <w:szCs w:val="21"/>
        </w:rPr>
        <w:t>唐嘉尉</w:t>
      </w:r>
      <w:r w:rsidRPr="00B92969">
        <w:rPr>
          <w:rFonts w:hint="eastAsia"/>
          <w:szCs w:val="21"/>
        </w:rPr>
        <w:t xml:space="preserve">. </w:t>
      </w:r>
      <w:r w:rsidRPr="00B92969">
        <w:rPr>
          <w:rFonts w:hint="eastAsia"/>
          <w:szCs w:val="21"/>
        </w:rPr>
        <w:t>董事高管责任保险与投资效率——基于合同条款的实证检验</w:t>
      </w:r>
      <w:r w:rsidRPr="00B92969">
        <w:rPr>
          <w:rFonts w:hint="eastAsia"/>
          <w:szCs w:val="21"/>
        </w:rPr>
        <w:t xml:space="preserve">[J]. </w:t>
      </w:r>
      <w:r w:rsidRPr="00B92969">
        <w:rPr>
          <w:rFonts w:hint="eastAsia"/>
          <w:szCs w:val="21"/>
        </w:rPr>
        <w:t>保险研究</w:t>
      </w:r>
      <w:r w:rsidRPr="00B92969">
        <w:rPr>
          <w:rFonts w:hint="eastAsia"/>
          <w:szCs w:val="21"/>
        </w:rPr>
        <w:t>, 2018</w:t>
      </w:r>
      <w:r w:rsidR="00365EC7" w:rsidRPr="00B92969">
        <w:rPr>
          <w:rFonts w:hint="eastAsia"/>
          <w:szCs w:val="21"/>
        </w:rPr>
        <w:t>,</w:t>
      </w:r>
      <w:r w:rsidRPr="00B92969">
        <w:rPr>
          <w:rFonts w:hint="eastAsia"/>
          <w:szCs w:val="21"/>
        </w:rPr>
        <w:t>03: 76-90.</w:t>
      </w:r>
    </w:p>
    <w:p w14:paraId="32E16FA7" w14:textId="77777777" w:rsidR="008A45B5" w:rsidRPr="00B92969" w:rsidRDefault="008A45B5" w:rsidP="00875991">
      <w:pPr>
        <w:pStyle w:val="a9"/>
        <w:numPr>
          <w:ilvl w:val="0"/>
          <w:numId w:val="2"/>
        </w:numPr>
        <w:rPr>
          <w:szCs w:val="21"/>
        </w:rPr>
      </w:pPr>
      <w:r w:rsidRPr="00B92969">
        <w:rPr>
          <w:rFonts w:hint="eastAsia"/>
          <w:szCs w:val="21"/>
        </w:rPr>
        <w:t>沈华玉</w:t>
      </w:r>
      <w:r w:rsidRPr="00B92969">
        <w:rPr>
          <w:rFonts w:hint="eastAsia"/>
          <w:szCs w:val="21"/>
        </w:rPr>
        <w:t xml:space="preserve">, </w:t>
      </w:r>
      <w:r w:rsidRPr="00B92969">
        <w:rPr>
          <w:rFonts w:hint="eastAsia"/>
          <w:szCs w:val="21"/>
        </w:rPr>
        <w:t>吴晓晖</w:t>
      </w:r>
      <w:r w:rsidRPr="00B92969">
        <w:rPr>
          <w:rFonts w:hint="eastAsia"/>
          <w:szCs w:val="21"/>
        </w:rPr>
        <w:t xml:space="preserve">, </w:t>
      </w:r>
      <w:r w:rsidRPr="00B92969">
        <w:rPr>
          <w:rFonts w:hint="eastAsia"/>
          <w:szCs w:val="21"/>
        </w:rPr>
        <w:t>吴</w:t>
      </w:r>
      <w:proofErr w:type="gramStart"/>
      <w:r w:rsidRPr="00B92969">
        <w:rPr>
          <w:rFonts w:hint="eastAsia"/>
          <w:szCs w:val="21"/>
        </w:rPr>
        <w:t>世</w:t>
      </w:r>
      <w:proofErr w:type="gramEnd"/>
      <w:r w:rsidRPr="00B92969">
        <w:rPr>
          <w:rFonts w:hint="eastAsia"/>
          <w:szCs w:val="21"/>
        </w:rPr>
        <w:t>农</w:t>
      </w:r>
      <w:r w:rsidRPr="00B92969">
        <w:rPr>
          <w:rFonts w:hint="eastAsia"/>
          <w:szCs w:val="21"/>
        </w:rPr>
        <w:t xml:space="preserve">. </w:t>
      </w:r>
      <w:r w:rsidRPr="00B92969">
        <w:rPr>
          <w:rFonts w:hint="eastAsia"/>
          <w:szCs w:val="21"/>
        </w:rPr>
        <w:t>控股股东控制权与股价崩盘风险</w:t>
      </w:r>
      <w:r w:rsidRPr="00B92969">
        <w:rPr>
          <w:rFonts w:hint="eastAsia"/>
          <w:szCs w:val="21"/>
        </w:rPr>
        <w:t>:</w:t>
      </w:r>
      <w:r w:rsidRPr="00B92969">
        <w:rPr>
          <w:rFonts w:hint="eastAsia"/>
          <w:szCs w:val="21"/>
        </w:rPr>
        <w:t>“利益协同”还是“隧道”效应</w:t>
      </w:r>
      <w:r w:rsidRPr="00B92969">
        <w:rPr>
          <w:rFonts w:hint="eastAsia"/>
          <w:szCs w:val="21"/>
        </w:rPr>
        <w:t xml:space="preserve">?[J]. </w:t>
      </w:r>
      <w:r w:rsidRPr="00B92969">
        <w:rPr>
          <w:rFonts w:hint="eastAsia"/>
          <w:szCs w:val="21"/>
        </w:rPr>
        <w:t>经济管理</w:t>
      </w:r>
      <w:r w:rsidRPr="00B92969">
        <w:rPr>
          <w:rFonts w:hint="eastAsia"/>
          <w:szCs w:val="21"/>
        </w:rPr>
        <w:t>, 2017, 39(04): 65-83.</w:t>
      </w:r>
    </w:p>
    <w:p w14:paraId="0D851DEE" w14:textId="3B22AACF" w:rsidR="008A45B5" w:rsidRPr="00B92969" w:rsidRDefault="008A45B5" w:rsidP="00875991">
      <w:pPr>
        <w:pStyle w:val="a9"/>
        <w:numPr>
          <w:ilvl w:val="0"/>
          <w:numId w:val="2"/>
        </w:numPr>
        <w:rPr>
          <w:szCs w:val="21"/>
        </w:rPr>
      </w:pPr>
      <w:r w:rsidRPr="00B92969">
        <w:rPr>
          <w:rFonts w:hint="eastAsia"/>
          <w:szCs w:val="21"/>
        </w:rPr>
        <w:t>司登奎</w:t>
      </w:r>
      <w:r w:rsidRPr="00B92969">
        <w:rPr>
          <w:rFonts w:hint="eastAsia"/>
          <w:szCs w:val="21"/>
        </w:rPr>
        <w:t xml:space="preserve">, </w:t>
      </w:r>
      <w:r w:rsidRPr="00B92969">
        <w:rPr>
          <w:rFonts w:hint="eastAsia"/>
          <w:szCs w:val="21"/>
        </w:rPr>
        <w:t>李小林</w:t>
      </w:r>
      <w:r w:rsidRPr="00B92969">
        <w:rPr>
          <w:rFonts w:hint="eastAsia"/>
          <w:szCs w:val="21"/>
        </w:rPr>
        <w:t xml:space="preserve">, </w:t>
      </w:r>
      <w:r w:rsidRPr="00B92969">
        <w:rPr>
          <w:rFonts w:hint="eastAsia"/>
          <w:szCs w:val="21"/>
        </w:rPr>
        <w:t>赵仲匡</w:t>
      </w:r>
      <w:r w:rsidRPr="00B92969">
        <w:rPr>
          <w:rFonts w:hint="eastAsia"/>
          <w:szCs w:val="21"/>
        </w:rPr>
        <w:t xml:space="preserve">. </w:t>
      </w:r>
      <w:r w:rsidRPr="00B92969">
        <w:rPr>
          <w:rFonts w:hint="eastAsia"/>
          <w:szCs w:val="21"/>
        </w:rPr>
        <w:t>非金融企业影子银行化与股价崩盘风险</w:t>
      </w:r>
      <w:r w:rsidRPr="00B92969">
        <w:rPr>
          <w:rFonts w:hint="eastAsia"/>
          <w:szCs w:val="21"/>
        </w:rPr>
        <w:t xml:space="preserve">[J]. </w:t>
      </w:r>
      <w:r w:rsidRPr="00B92969">
        <w:rPr>
          <w:rFonts w:hint="eastAsia"/>
          <w:szCs w:val="21"/>
        </w:rPr>
        <w:t>中国工业经济</w:t>
      </w:r>
      <w:r w:rsidRPr="00B92969">
        <w:rPr>
          <w:rFonts w:hint="eastAsia"/>
          <w:szCs w:val="21"/>
        </w:rPr>
        <w:t>, 2021</w:t>
      </w:r>
      <w:r w:rsidR="00365EC7" w:rsidRPr="00B92969">
        <w:rPr>
          <w:rFonts w:hint="eastAsia"/>
          <w:szCs w:val="21"/>
        </w:rPr>
        <w:t>,</w:t>
      </w:r>
      <w:r w:rsidRPr="00B92969">
        <w:rPr>
          <w:rFonts w:hint="eastAsia"/>
          <w:szCs w:val="21"/>
        </w:rPr>
        <w:t>06: 174-192.</w:t>
      </w:r>
    </w:p>
    <w:p w14:paraId="46D9F925" w14:textId="77777777" w:rsidR="008A45B5" w:rsidRPr="00B92969" w:rsidRDefault="008A45B5" w:rsidP="00875991">
      <w:pPr>
        <w:pStyle w:val="a9"/>
        <w:numPr>
          <w:ilvl w:val="0"/>
          <w:numId w:val="2"/>
        </w:numPr>
        <w:rPr>
          <w:szCs w:val="21"/>
        </w:rPr>
      </w:pPr>
      <w:proofErr w:type="gramStart"/>
      <w:r w:rsidRPr="00B92969">
        <w:rPr>
          <w:rFonts w:hint="eastAsia"/>
          <w:szCs w:val="21"/>
        </w:rPr>
        <w:t>王垒</w:t>
      </w:r>
      <w:r w:rsidRPr="00B92969">
        <w:rPr>
          <w:rFonts w:hint="eastAsia"/>
          <w:szCs w:val="21"/>
        </w:rPr>
        <w:t xml:space="preserve">, </w:t>
      </w:r>
      <w:r w:rsidRPr="00B92969">
        <w:rPr>
          <w:rFonts w:hint="eastAsia"/>
          <w:szCs w:val="21"/>
        </w:rPr>
        <w:t>曲晶</w:t>
      </w:r>
      <w:proofErr w:type="gramEnd"/>
      <w:r w:rsidRPr="00B92969">
        <w:rPr>
          <w:rFonts w:hint="eastAsia"/>
          <w:szCs w:val="21"/>
        </w:rPr>
        <w:t xml:space="preserve">, </w:t>
      </w:r>
      <w:r w:rsidRPr="00B92969">
        <w:rPr>
          <w:rFonts w:hint="eastAsia"/>
          <w:szCs w:val="21"/>
        </w:rPr>
        <w:t>赵忠超</w:t>
      </w:r>
      <w:r w:rsidRPr="00B92969">
        <w:rPr>
          <w:rFonts w:hint="eastAsia"/>
          <w:szCs w:val="21"/>
        </w:rPr>
        <w:t xml:space="preserve">, </w:t>
      </w:r>
      <w:r w:rsidRPr="00B92969">
        <w:rPr>
          <w:rFonts w:hint="eastAsia"/>
          <w:szCs w:val="21"/>
        </w:rPr>
        <w:t>等</w:t>
      </w:r>
      <w:r w:rsidRPr="00B92969">
        <w:rPr>
          <w:rFonts w:hint="eastAsia"/>
          <w:szCs w:val="21"/>
        </w:rPr>
        <w:t xml:space="preserve">. </w:t>
      </w:r>
      <w:r w:rsidRPr="00B92969">
        <w:rPr>
          <w:rFonts w:hint="eastAsia"/>
          <w:szCs w:val="21"/>
        </w:rPr>
        <w:t>组织绩效期望差距与异质机构投资者行为选择：双重委托代理视角</w:t>
      </w:r>
      <w:r w:rsidRPr="00B92969">
        <w:rPr>
          <w:rFonts w:hint="eastAsia"/>
          <w:szCs w:val="21"/>
        </w:rPr>
        <w:t xml:space="preserve">[J]. </w:t>
      </w:r>
      <w:r w:rsidRPr="00B92969">
        <w:rPr>
          <w:rFonts w:hint="eastAsia"/>
          <w:szCs w:val="21"/>
        </w:rPr>
        <w:t>管理世界</w:t>
      </w:r>
      <w:r w:rsidRPr="00B92969">
        <w:rPr>
          <w:rFonts w:hint="eastAsia"/>
          <w:szCs w:val="21"/>
        </w:rPr>
        <w:t>, 2020, 36(07): 132-153.</w:t>
      </w:r>
    </w:p>
    <w:p w14:paraId="3337D76F" w14:textId="77777777" w:rsidR="008A45B5" w:rsidRPr="00B92969" w:rsidRDefault="008A45B5" w:rsidP="00875991">
      <w:pPr>
        <w:pStyle w:val="a9"/>
        <w:numPr>
          <w:ilvl w:val="0"/>
          <w:numId w:val="2"/>
        </w:numPr>
        <w:rPr>
          <w:szCs w:val="21"/>
        </w:rPr>
      </w:pPr>
      <w:r w:rsidRPr="00B92969">
        <w:rPr>
          <w:rFonts w:hint="eastAsia"/>
          <w:szCs w:val="21"/>
        </w:rPr>
        <w:t>王文姣</w:t>
      </w:r>
      <w:r w:rsidRPr="00B92969">
        <w:rPr>
          <w:rFonts w:hint="eastAsia"/>
          <w:szCs w:val="21"/>
        </w:rPr>
        <w:t xml:space="preserve">, </w:t>
      </w:r>
      <w:proofErr w:type="gramStart"/>
      <w:r w:rsidRPr="00B92969">
        <w:rPr>
          <w:rFonts w:hint="eastAsia"/>
          <w:szCs w:val="21"/>
        </w:rPr>
        <w:t>夏常源</w:t>
      </w:r>
      <w:proofErr w:type="gramEnd"/>
      <w:r w:rsidRPr="00B92969">
        <w:rPr>
          <w:rFonts w:hint="eastAsia"/>
          <w:szCs w:val="21"/>
        </w:rPr>
        <w:t xml:space="preserve">, </w:t>
      </w:r>
      <w:proofErr w:type="gramStart"/>
      <w:r w:rsidRPr="00B92969">
        <w:rPr>
          <w:rFonts w:hint="eastAsia"/>
          <w:szCs w:val="21"/>
        </w:rPr>
        <w:t>傅代国</w:t>
      </w:r>
      <w:proofErr w:type="gramEnd"/>
      <w:r w:rsidRPr="00B92969">
        <w:rPr>
          <w:rFonts w:hint="eastAsia"/>
          <w:szCs w:val="21"/>
        </w:rPr>
        <w:t xml:space="preserve">, </w:t>
      </w:r>
      <w:r w:rsidRPr="00B92969">
        <w:rPr>
          <w:rFonts w:hint="eastAsia"/>
          <w:szCs w:val="21"/>
        </w:rPr>
        <w:t>等</w:t>
      </w:r>
      <w:r w:rsidRPr="00B92969">
        <w:rPr>
          <w:rFonts w:hint="eastAsia"/>
          <w:szCs w:val="21"/>
        </w:rPr>
        <w:t xml:space="preserve">. </w:t>
      </w:r>
      <w:r w:rsidRPr="00B92969">
        <w:rPr>
          <w:rFonts w:hint="eastAsia"/>
          <w:szCs w:val="21"/>
        </w:rPr>
        <w:t>独立董事网络、信息双向传递与公司被</w:t>
      </w:r>
      <w:proofErr w:type="gramStart"/>
      <w:r w:rsidRPr="00B92969">
        <w:rPr>
          <w:rFonts w:hint="eastAsia"/>
          <w:szCs w:val="21"/>
        </w:rPr>
        <w:t>诉风险</w:t>
      </w:r>
      <w:proofErr w:type="gramEnd"/>
      <w:r w:rsidRPr="00B92969">
        <w:rPr>
          <w:rFonts w:hint="eastAsia"/>
          <w:szCs w:val="21"/>
        </w:rPr>
        <w:t xml:space="preserve">[J]. </w:t>
      </w:r>
      <w:r w:rsidRPr="00B92969">
        <w:rPr>
          <w:rFonts w:hint="eastAsia"/>
          <w:szCs w:val="21"/>
        </w:rPr>
        <w:t>管理科学</w:t>
      </w:r>
      <w:r w:rsidRPr="00B92969">
        <w:rPr>
          <w:rFonts w:hint="eastAsia"/>
          <w:szCs w:val="21"/>
        </w:rPr>
        <w:t xml:space="preserve">, </w:t>
      </w:r>
      <w:r w:rsidRPr="00B92969">
        <w:rPr>
          <w:rFonts w:hint="eastAsia"/>
          <w:szCs w:val="21"/>
        </w:rPr>
        <w:lastRenderedPageBreak/>
        <w:t>2017, 30(04): 63-78+82+79-81.</w:t>
      </w:r>
    </w:p>
    <w:p w14:paraId="005092BF" w14:textId="77777777" w:rsidR="008A45B5" w:rsidRPr="00B92969" w:rsidRDefault="008A45B5" w:rsidP="00875991">
      <w:pPr>
        <w:pStyle w:val="a9"/>
        <w:numPr>
          <w:ilvl w:val="0"/>
          <w:numId w:val="2"/>
        </w:numPr>
        <w:rPr>
          <w:szCs w:val="21"/>
        </w:rPr>
      </w:pPr>
      <w:r w:rsidRPr="00B92969">
        <w:rPr>
          <w:rFonts w:hint="eastAsia"/>
          <w:szCs w:val="21"/>
        </w:rPr>
        <w:t>王笑</w:t>
      </w:r>
      <w:r w:rsidRPr="00B92969">
        <w:rPr>
          <w:rFonts w:hint="eastAsia"/>
          <w:szCs w:val="21"/>
        </w:rPr>
        <w:t>. 2024</w:t>
      </w:r>
      <w:r w:rsidRPr="00B92969">
        <w:rPr>
          <w:rFonts w:hint="eastAsia"/>
          <w:szCs w:val="21"/>
        </w:rPr>
        <w:t>年</w:t>
      </w:r>
      <w:proofErr w:type="gramStart"/>
      <w:r w:rsidRPr="00B92969">
        <w:rPr>
          <w:rFonts w:hint="eastAsia"/>
          <w:szCs w:val="21"/>
        </w:rPr>
        <w:t>董责险购买</w:t>
      </w:r>
      <w:proofErr w:type="gramEnd"/>
      <w:r w:rsidRPr="00B92969">
        <w:rPr>
          <w:rFonts w:hint="eastAsia"/>
          <w:szCs w:val="21"/>
        </w:rPr>
        <w:t>量增长三成</w:t>
      </w:r>
      <w:r w:rsidRPr="00B92969">
        <w:rPr>
          <w:rFonts w:hint="eastAsia"/>
          <w:szCs w:val="21"/>
        </w:rPr>
        <w:t xml:space="preserve">[N]. </w:t>
      </w:r>
      <w:r w:rsidRPr="00B92969">
        <w:rPr>
          <w:rFonts w:hint="eastAsia"/>
          <w:szCs w:val="21"/>
        </w:rPr>
        <w:t>金融时报</w:t>
      </w:r>
      <w:r w:rsidRPr="00B92969">
        <w:rPr>
          <w:rFonts w:hint="eastAsia"/>
          <w:szCs w:val="21"/>
        </w:rPr>
        <w:t>, 2025-01-22(011).</w:t>
      </w:r>
    </w:p>
    <w:p w14:paraId="2E1A5F90" w14:textId="3BFF9B0B" w:rsidR="008A45B5" w:rsidRPr="00B92969" w:rsidRDefault="008A45B5" w:rsidP="00875991">
      <w:pPr>
        <w:pStyle w:val="a9"/>
        <w:numPr>
          <w:ilvl w:val="0"/>
          <w:numId w:val="2"/>
        </w:numPr>
        <w:rPr>
          <w:szCs w:val="21"/>
        </w:rPr>
      </w:pPr>
      <w:r w:rsidRPr="00B92969">
        <w:rPr>
          <w:rFonts w:hint="eastAsia"/>
          <w:szCs w:val="21"/>
        </w:rPr>
        <w:t>王勇</w:t>
      </w:r>
      <w:r w:rsidRPr="00B92969">
        <w:rPr>
          <w:rFonts w:hint="eastAsia"/>
          <w:szCs w:val="21"/>
        </w:rPr>
        <w:t xml:space="preserve">, </w:t>
      </w:r>
      <w:r w:rsidRPr="00B92969">
        <w:rPr>
          <w:rFonts w:hint="eastAsia"/>
          <w:szCs w:val="21"/>
        </w:rPr>
        <w:t>窦斌</w:t>
      </w:r>
      <w:r w:rsidRPr="00B92969">
        <w:rPr>
          <w:rFonts w:hint="eastAsia"/>
          <w:szCs w:val="21"/>
        </w:rPr>
        <w:t xml:space="preserve">, </w:t>
      </w:r>
      <w:r w:rsidRPr="00B92969">
        <w:rPr>
          <w:rFonts w:hint="eastAsia"/>
          <w:szCs w:val="21"/>
        </w:rPr>
        <w:t>宋培睿</w:t>
      </w:r>
      <w:r w:rsidRPr="00B92969">
        <w:rPr>
          <w:rFonts w:hint="eastAsia"/>
          <w:szCs w:val="21"/>
        </w:rPr>
        <w:t xml:space="preserve">, </w:t>
      </w:r>
      <w:r w:rsidRPr="00B92969">
        <w:rPr>
          <w:rFonts w:hint="eastAsia"/>
          <w:szCs w:val="21"/>
        </w:rPr>
        <w:t>等</w:t>
      </w:r>
      <w:r w:rsidRPr="00B92969">
        <w:rPr>
          <w:rFonts w:hint="eastAsia"/>
          <w:szCs w:val="21"/>
        </w:rPr>
        <w:t xml:space="preserve">. </w:t>
      </w:r>
      <w:r w:rsidRPr="00B92969">
        <w:rPr>
          <w:rFonts w:hint="eastAsia"/>
          <w:szCs w:val="21"/>
        </w:rPr>
        <w:t>管理层语调偏离会影响投资者决策吗</w:t>
      </w:r>
      <w:r w:rsidRPr="00B92969">
        <w:rPr>
          <w:rFonts w:hint="eastAsia"/>
          <w:szCs w:val="21"/>
        </w:rPr>
        <w:t>?</w:t>
      </w:r>
      <w:r w:rsidRPr="00B92969">
        <w:rPr>
          <w:rFonts w:hint="eastAsia"/>
          <w:szCs w:val="21"/>
        </w:rPr>
        <w:t>——基于我国上市公司文本与财务数据的经验研究</w:t>
      </w:r>
      <w:r w:rsidRPr="00B92969">
        <w:rPr>
          <w:rFonts w:hint="eastAsia"/>
          <w:szCs w:val="21"/>
        </w:rPr>
        <w:t xml:space="preserve">[J]. </w:t>
      </w:r>
      <w:r w:rsidRPr="00B92969">
        <w:rPr>
          <w:rFonts w:hint="eastAsia"/>
          <w:szCs w:val="21"/>
        </w:rPr>
        <w:t>金融研究</w:t>
      </w:r>
      <w:r w:rsidRPr="00B92969">
        <w:rPr>
          <w:rFonts w:hint="eastAsia"/>
          <w:szCs w:val="21"/>
        </w:rPr>
        <w:t>, 2023</w:t>
      </w:r>
      <w:r w:rsidR="00365EC7" w:rsidRPr="00B92969">
        <w:rPr>
          <w:rFonts w:hint="eastAsia"/>
          <w:szCs w:val="21"/>
        </w:rPr>
        <w:t>,</w:t>
      </w:r>
      <w:r w:rsidRPr="00B92969">
        <w:rPr>
          <w:rFonts w:hint="eastAsia"/>
          <w:szCs w:val="21"/>
        </w:rPr>
        <w:t>03: 169-187.</w:t>
      </w:r>
    </w:p>
    <w:p w14:paraId="31B88CDA" w14:textId="04BA87DD" w:rsidR="008A45B5" w:rsidRPr="00B92969" w:rsidRDefault="008A45B5" w:rsidP="00875991">
      <w:pPr>
        <w:pStyle w:val="a9"/>
        <w:numPr>
          <w:ilvl w:val="0"/>
          <w:numId w:val="2"/>
        </w:numPr>
        <w:rPr>
          <w:szCs w:val="21"/>
        </w:rPr>
      </w:pPr>
      <w:r w:rsidRPr="00B92969">
        <w:rPr>
          <w:rFonts w:hint="eastAsia"/>
          <w:szCs w:val="21"/>
        </w:rPr>
        <w:t>翁君奕</w:t>
      </w:r>
      <w:r w:rsidRPr="00B92969">
        <w:rPr>
          <w:rFonts w:hint="eastAsia"/>
          <w:szCs w:val="21"/>
        </w:rPr>
        <w:t xml:space="preserve">. </w:t>
      </w:r>
      <w:r w:rsidRPr="00B92969">
        <w:rPr>
          <w:rFonts w:hint="eastAsia"/>
          <w:szCs w:val="21"/>
        </w:rPr>
        <w:t>企业组织资本理论</w:t>
      </w:r>
      <w:r w:rsidRPr="00B92969">
        <w:rPr>
          <w:rFonts w:hint="eastAsia"/>
          <w:szCs w:val="21"/>
        </w:rPr>
        <w:t xml:space="preserve">: </w:t>
      </w:r>
      <w:r w:rsidRPr="00B92969">
        <w:rPr>
          <w:rFonts w:hint="eastAsia"/>
          <w:szCs w:val="21"/>
        </w:rPr>
        <w:t>组织激励与协调的博弈分析</w:t>
      </w:r>
      <w:r w:rsidRPr="00B92969">
        <w:rPr>
          <w:rFonts w:hint="eastAsia"/>
          <w:szCs w:val="21"/>
        </w:rPr>
        <w:t xml:space="preserve">[M]. </w:t>
      </w:r>
      <w:r w:rsidRPr="00B92969">
        <w:rPr>
          <w:rFonts w:hint="eastAsia"/>
          <w:szCs w:val="21"/>
        </w:rPr>
        <w:t>北京</w:t>
      </w:r>
      <w:r w:rsidRPr="00B92969">
        <w:rPr>
          <w:rFonts w:hint="eastAsia"/>
          <w:szCs w:val="21"/>
        </w:rPr>
        <w:t xml:space="preserve">: </w:t>
      </w:r>
      <w:r w:rsidRPr="00B92969">
        <w:rPr>
          <w:rFonts w:hint="eastAsia"/>
          <w:szCs w:val="21"/>
        </w:rPr>
        <w:t>经济科学出版社</w:t>
      </w:r>
      <w:r w:rsidRPr="00B92969">
        <w:rPr>
          <w:rFonts w:hint="eastAsia"/>
          <w:szCs w:val="21"/>
        </w:rPr>
        <w:t>, 1999.</w:t>
      </w:r>
    </w:p>
    <w:p w14:paraId="44D0D74E" w14:textId="57EBD8A6" w:rsidR="008A45B5" w:rsidRPr="00B92969" w:rsidRDefault="008A45B5" w:rsidP="00875991">
      <w:pPr>
        <w:pStyle w:val="a9"/>
        <w:numPr>
          <w:ilvl w:val="0"/>
          <w:numId w:val="2"/>
        </w:numPr>
        <w:rPr>
          <w:szCs w:val="21"/>
        </w:rPr>
      </w:pPr>
      <w:proofErr w:type="gramStart"/>
      <w:r w:rsidRPr="00B92969">
        <w:rPr>
          <w:rFonts w:hint="eastAsia"/>
          <w:szCs w:val="21"/>
        </w:rPr>
        <w:t>向显湖</w:t>
      </w:r>
      <w:proofErr w:type="gramEnd"/>
      <w:r w:rsidRPr="00B92969">
        <w:rPr>
          <w:rFonts w:hint="eastAsia"/>
          <w:szCs w:val="21"/>
        </w:rPr>
        <w:t xml:space="preserve">, </w:t>
      </w:r>
      <w:r w:rsidRPr="00B92969">
        <w:rPr>
          <w:rFonts w:hint="eastAsia"/>
          <w:szCs w:val="21"/>
        </w:rPr>
        <w:t>李永焱</w:t>
      </w:r>
      <w:r w:rsidRPr="00B92969">
        <w:rPr>
          <w:rFonts w:hint="eastAsia"/>
          <w:szCs w:val="21"/>
        </w:rPr>
        <w:t xml:space="preserve">. </w:t>
      </w:r>
      <w:r w:rsidRPr="00B92969">
        <w:rPr>
          <w:rFonts w:hint="eastAsia"/>
          <w:szCs w:val="21"/>
        </w:rPr>
        <w:t>试论企业组织资本与财务管理创新</w:t>
      </w:r>
      <w:r w:rsidRPr="00B92969">
        <w:rPr>
          <w:rFonts w:hint="eastAsia"/>
          <w:szCs w:val="21"/>
        </w:rPr>
        <w:t xml:space="preserve">[J]. </w:t>
      </w:r>
      <w:r w:rsidRPr="00B92969">
        <w:rPr>
          <w:rFonts w:hint="eastAsia"/>
          <w:szCs w:val="21"/>
        </w:rPr>
        <w:t>金融研究</w:t>
      </w:r>
      <w:r w:rsidRPr="00B92969">
        <w:rPr>
          <w:rFonts w:hint="eastAsia"/>
          <w:szCs w:val="21"/>
        </w:rPr>
        <w:t>, 2009</w:t>
      </w:r>
      <w:r w:rsidR="00365EC7" w:rsidRPr="00B92969">
        <w:rPr>
          <w:rFonts w:hint="eastAsia"/>
          <w:szCs w:val="21"/>
        </w:rPr>
        <w:t>,</w:t>
      </w:r>
      <w:r w:rsidRPr="00B92969">
        <w:rPr>
          <w:rFonts w:hint="eastAsia"/>
          <w:szCs w:val="21"/>
        </w:rPr>
        <w:t>02: 199-206.</w:t>
      </w:r>
    </w:p>
    <w:p w14:paraId="1AE091D9" w14:textId="77777777" w:rsidR="008A45B5" w:rsidRPr="00B92969" w:rsidRDefault="008A45B5" w:rsidP="00875991">
      <w:pPr>
        <w:pStyle w:val="a9"/>
        <w:numPr>
          <w:ilvl w:val="0"/>
          <w:numId w:val="2"/>
        </w:numPr>
        <w:rPr>
          <w:szCs w:val="21"/>
        </w:rPr>
      </w:pPr>
      <w:r w:rsidRPr="00B92969">
        <w:rPr>
          <w:rFonts w:hint="eastAsia"/>
          <w:szCs w:val="21"/>
        </w:rPr>
        <w:t>谢佩洪</w:t>
      </w:r>
      <w:r w:rsidRPr="00B92969">
        <w:rPr>
          <w:rFonts w:hint="eastAsia"/>
          <w:szCs w:val="21"/>
        </w:rPr>
        <w:t xml:space="preserve">, </w:t>
      </w:r>
      <w:r w:rsidRPr="00B92969">
        <w:rPr>
          <w:rFonts w:hint="eastAsia"/>
          <w:szCs w:val="21"/>
        </w:rPr>
        <w:t>汪春霞</w:t>
      </w:r>
      <w:r w:rsidRPr="00B92969">
        <w:rPr>
          <w:rFonts w:hint="eastAsia"/>
          <w:szCs w:val="21"/>
        </w:rPr>
        <w:t xml:space="preserve">. </w:t>
      </w:r>
      <w:r w:rsidRPr="00B92969">
        <w:rPr>
          <w:rFonts w:hint="eastAsia"/>
          <w:szCs w:val="21"/>
        </w:rPr>
        <w:t>管理层权力、企业生命周期与投资效率——基于中国制造业上市公司的经验研究</w:t>
      </w:r>
      <w:r w:rsidRPr="00B92969">
        <w:rPr>
          <w:rFonts w:hint="eastAsia"/>
          <w:szCs w:val="21"/>
        </w:rPr>
        <w:t xml:space="preserve">[J]. </w:t>
      </w:r>
      <w:r w:rsidRPr="00B92969">
        <w:rPr>
          <w:rFonts w:hint="eastAsia"/>
          <w:szCs w:val="21"/>
        </w:rPr>
        <w:t>南开管理评论</w:t>
      </w:r>
      <w:r w:rsidRPr="00B92969">
        <w:rPr>
          <w:rFonts w:hint="eastAsia"/>
          <w:szCs w:val="21"/>
        </w:rPr>
        <w:t>, 2017, 20(01): 57-66.</w:t>
      </w:r>
    </w:p>
    <w:p w14:paraId="3447E263" w14:textId="0DE3487A" w:rsidR="008A45B5" w:rsidRPr="00B92969" w:rsidRDefault="008A45B5" w:rsidP="00875991">
      <w:pPr>
        <w:pStyle w:val="a9"/>
        <w:numPr>
          <w:ilvl w:val="0"/>
          <w:numId w:val="2"/>
        </w:numPr>
        <w:rPr>
          <w:szCs w:val="21"/>
        </w:rPr>
      </w:pPr>
      <w:r w:rsidRPr="00B92969">
        <w:rPr>
          <w:rFonts w:hint="eastAsia"/>
          <w:szCs w:val="21"/>
        </w:rPr>
        <w:t>许荣</w:t>
      </w:r>
      <w:r w:rsidRPr="00B92969">
        <w:rPr>
          <w:rFonts w:hint="eastAsia"/>
          <w:szCs w:val="21"/>
        </w:rPr>
        <w:t xml:space="preserve">, </w:t>
      </w:r>
      <w:r w:rsidRPr="00B92969">
        <w:rPr>
          <w:rFonts w:hint="eastAsia"/>
          <w:szCs w:val="21"/>
        </w:rPr>
        <w:t>王杰</w:t>
      </w:r>
      <w:r w:rsidRPr="00B92969">
        <w:rPr>
          <w:rFonts w:hint="eastAsia"/>
          <w:szCs w:val="21"/>
        </w:rPr>
        <w:t xml:space="preserve">. </w:t>
      </w:r>
      <w:r w:rsidRPr="00B92969">
        <w:rPr>
          <w:rFonts w:hint="eastAsia"/>
          <w:szCs w:val="21"/>
        </w:rPr>
        <w:t>董事责任保险与公司治理机制的互动影响研究——来自中国</w:t>
      </w:r>
      <w:r w:rsidRPr="00B92969">
        <w:rPr>
          <w:rFonts w:hint="eastAsia"/>
          <w:szCs w:val="21"/>
        </w:rPr>
        <w:t xml:space="preserve"> A </w:t>
      </w:r>
      <w:r w:rsidRPr="00B92969">
        <w:rPr>
          <w:rFonts w:hint="eastAsia"/>
          <w:szCs w:val="21"/>
        </w:rPr>
        <w:t>股上市公司的证据</w:t>
      </w:r>
      <w:r w:rsidRPr="00B92969">
        <w:rPr>
          <w:rFonts w:hint="eastAsia"/>
          <w:szCs w:val="21"/>
        </w:rPr>
        <w:t xml:space="preserve">[J]. </w:t>
      </w:r>
      <w:r w:rsidRPr="00B92969">
        <w:rPr>
          <w:rFonts w:hint="eastAsia"/>
          <w:szCs w:val="21"/>
        </w:rPr>
        <w:t>保险研究</w:t>
      </w:r>
      <w:r w:rsidRPr="00B92969">
        <w:rPr>
          <w:rFonts w:hint="eastAsia"/>
          <w:szCs w:val="21"/>
        </w:rPr>
        <w:t>, 2012</w:t>
      </w:r>
      <w:r w:rsidR="00365EC7" w:rsidRPr="00B92969">
        <w:rPr>
          <w:rFonts w:hint="eastAsia"/>
          <w:szCs w:val="21"/>
        </w:rPr>
        <w:t>,</w:t>
      </w:r>
      <w:r w:rsidRPr="00B92969">
        <w:rPr>
          <w:rFonts w:hint="eastAsia"/>
          <w:szCs w:val="21"/>
        </w:rPr>
        <w:t>03: 68-78.</w:t>
      </w:r>
    </w:p>
    <w:p w14:paraId="44C4BE6A" w14:textId="77777777" w:rsidR="008A45B5" w:rsidRPr="00B92969" w:rsidRDefault="008A45B5" w:rsidP="00875991">
      <w:pPr>
        <w:pStyle w:val="a9"/>
        <w:numPr>
          <w:ilvl w:val="0"/>
          <w:numId w:val="2"/>
        </w:numPr>
        <w:rPr>
          <w:szCs w:val="21"/>
        </w:rPr>
      </w:pPr>
      <w:proofErr w:type="gramStart"/>
      <w:r w:rsidRPr="00B92969">
        <w:rPr>
          <w:rFonts w:hint="eastAsia"/>
          <w:szCs w:val="21"/>
        </w:rPr>
        <w:t>许永洪</w:t>
      </w:r>
      <w:proofErr w:type="gramEnd"/>
      <w:r w:rsidRPr="00B92969">
        <w:rPr>
          <w:rFonts w:hint="eastAsia"/>
          <w:szCs w:val="21"/>
        </w:rPr>
        <w:t xml:space="preserve">, </w:t>
      </w:r>
      <w:proofErr w:type="gramStart"/>
      <w:r w:rsidRPr="00B92969">
        <w:rPr>
          <w:rFonts w:hint="eastAsia"/>
          <w:szCs w:val="21"/>
        </w:rPr>
        <w:t>杜瑶</w:t>
      </w:r>
      <w:proofErr w:type="gramEnd"/>
      <w:r w:rsidRPr="00B92969">
        <w:rPr>
          <w:rFonts w:hint="eastAsia"/>
          <w:szCs w:val="21"/>
        </w:rPr>
        <w:t xml:space="preserve">, </w:t>
      </w:r>
      <w:r w:rsidRPr="00B92969">
        <w:rPr>
          <w:rFonts w:hint="eastAsia"/>
          <w:szCs w:val="21"/>
        </w:rPr>
        <w:t>王璐</w:t>
      </w:r>
      <w:r w:rsidRPr="00B92969">
        <w:rPr>
          <w:rFonts w:hint="eastAsia"/>
          <w:szCs w:val="21"/>
        </w:rPr>
        <w:t xml:space="preserve">. </w:t>
      </w:r>
      <w:r w:rsidRPr="00B92969">
        <w:rPr>
          <w:rFonts w:hint="eastAsia"/>
          <w:szCs w:val="21"/>
        </w:rPr>
        <w:t>我国研发资本折旧率和存量测算</w:t>
      </w:r>
      <w:r w:rsidRPr="00B92969">
        <w:rPr>
          <w:rFonts w:hint="eastAsia"/>
          <w:szCs w:val="21"/>
        </w:rPr>
        <w:t xml:space="preserve">[J]. </w:t>
      </w:r>
      <w:r w:rsidRPr="00B92969">
        <w:rPr>
          <w:rFonts w:hint="eastAsia"/>
          <w:szCs w:val="21"/>
        </w:rPr>
        <w:t>统计研究</w:t>
      </w:r>
      <w:r w:rsidRPr="00B92969">
        <w:rPr>
          <w:rFonts w:hint="eastAsia"/>
          <w:szCs w:val="21"/>
        </w:rPr>
        <w:t>, 2023, 40(08): 3-17.</w:t>
      </w:r>
    </w:p>
    <w:p w14:paraId="4AC9C92A" w14:textId="77777777" w:rsidR="008A45B5" w:rsidRPr="00B92969" w:rsidRDefault="008A45B5" w:rsidP="00875991">
      <w:pPr>
        <w:pStyle w:val="a9"/>
        <w:numPr>
          <w:ilvl w:val="0"/>
          <w:numId w:val="2"/>
        </w:numPr>
        <w:rPr>
          <w:szCs w:val="21"/>
        </w:rPr>
      </w:pPr>
      <w:r w:rsidRPr="00B92969">
        <w:rPr>
          <w:rFonts w:hint="eastAsia"/>
          <w:szCs w:val="21"/>
        </w:rPr>
        <w:t>余义勇</w:t>
      </w:r>
      <w:r w:rsidRPr="00B92969">
        <w:rPr>
          <w:rFonts w:hint="eastAsia"/>
          <w:szCs w:val="21"/>
        </w:rPr>
        <w:t xml:space="preserve">, </w:t>
      </w:r>
      <w:r w:rsidRPr="00B92969">
        <w:rPr>
          <w:rFonts w:hint="eastAsia"/>
          <w:szCs w:val="21"/>
        </w:rPr>
        <w:t>杨忠</w:t>
      </w:r>
      <w:r w:rsidRPr="00B92969">
        <w:rPr>
          <w:rFonts w:hint="eastAsia"/>
          <w:szCs w:val="21"/>
        </w:rPr>
        <w:t xml:space="preserve">. </w:t>
      </w:r>
      <w:r w:rsidRPr="00B92969">
        <w:rPr>
          <w:rFonts w:hint="eastAsia"/>
          <w:szCs w:val="21"/>
        </w:rPr>
        <w:t>动态情境下企业如何克服组织惰性以实现持续成长？——基于“情境—认知—行动”分析框架</w:t>
      </w:r>
      <w:r w:rsidRPr="00B92969">
        <w:rPr>
          <w:rFonts w:hint="eastAsia"/>
          <w:szCs w:val="21"/>
        </w:rPr>
        <w:t xml:space="preserve">[J]. </w:t>
      </w:r>
      <w:r w:rsidRPr="00B92969">
        <w:rPr>
          <w:rFonts w:hint="eastAsia"/>
          <w:szCs w:val="21"/>
        </w:rPr>
        <w:t>管理世界</w:t>
      </w:r>
      <w:r w:rsidRPr="00B92969">
        <w:rPr>
          <w:rFonts w:hint="eastAsia"/>
          <w:szCs w:val="21"/>
        </w:rPr>
        <w:t>, 2022, 38(12): 159-177.</w:t>
      </w:r>
    </w:p>
    <w:p w14:paraId="3A37363C" w14:textId="77777777" w:rsidR="008A45B5" w:rsidRPr="00B92969" w:rsidRDefault="008A45B5" w:rsidP="00875991">
      <w:pPr>
        <w:pStyle w:val="a9"/>
        <w:numPr>
          <w:ilvl w:val="0"/>
          <w:numId w:val="2"/>
        </w:numPr>
        <w:rPr>
          <w:szCs w:val="21"/>
        </w:rPr>
      </w:pPr>
      <w:r w:rsidRPr="00B92969">
        <w:rPr>
          <w:rFonts w:hint="eastAsia"/>
          <w:szCs w:val="21"/>
        </w:rPr>
        <w:t>杨俊仙</w:t>
      </w:r>
      <w:r w:rsidRPr="00B92969">
        <w:rPr>
          <w:rFonts w:hint="eastAsia"/>
          <w:szCs w:val="21"/>
        </w:rPr>
        <w:t xml:space="preserve">, </w:t>
      </w:r>
      <w:r w:rsidRPr="00B92969">
        <w:rPr>
          <w:rFonts w:hint="eastAsia"/>
          <w:szCs w:val="21"/>
        </w:rPr>
        <w:t>周洁</w:t>
      </w:r>
      <w:r w:rsidRPr="00B92969">
        <w:rPr>
          <w:rFonts w:hint="eastAsia"/>
          <w:szCs w:val="21"/>
        </w:rPr>
        <w:t xml:space="preserve">. </w:t>
      </w:r>
      <w:r w:rsidRPr="00B92969">
        <w:rPr>
          <w:rFonts w:hint="eastAsia"/>
          <w:szCs w:val="21"/>
        </w:rPr>
        <w:t>组织资本</w:t>
      </w:r>
      <w:r w:rsidRPr="00B92969">
        <w:rPr>
          <w:rFonts w:hint="eastAsia"/>
          <w:szCs w:val="21"/>
        </w:rPr>
        <w:t xml:space="preserve">, </w:t>
      </w:r>
      <w:r w:rsidRPr="00B92969">
        <w:rPr>
          <w:rFonts w:hint="eastAsia"/>
          <w:szCs w:val="21"/>
        </w:rPr>
        <w:t>横截面收益和全要素生产率</w:t>
      </w:r>
      <w:r w:rsidRPr="00B92969">
        <w:rPr>
          <w:rFonts w:hint="eastAsia"/>
          <w:szCs w:val="21"/>
        </w:rPr>
        <w:t xml:space="preserve"> </w:t>
      </w:r>
      <w:r w:rsidRPr="00B92969">
        <w:rPr>
          <w:rFonts w:hint="eastAsia"/>
          <w:szCs w:val="21"/>
        </w:rPr>
        <w:t>——</w:t>
      </w:r>
      <w:r w:rsidRPr="00B92969">
        <w:rPr>
          <w:rFonts w:hint="eastAsia"/>
          <w:szCs w:val="21"/>
        </w:rPr>
        <w:t xml:space="preserve"> </w:t>
      </w:r>
      <w:r w:rsidRPr="00B92969">
        <w:rPr>
          <w:rFonts w:hint="eastAsia"/>
          <w:szCs w:val="21"/>
        </w:rPr>
        <w:t>来自中国上市公司的经验</w:t>
      </w:r>
      <w:r w:rsidRPr="00B92969">
        <w:rPr>
          <w:rFonts w:hint="eastAsia"/>
          <w:szCs w:val="21"/>
        </w:rPr>
        <w:t xml:space="preserve">[J]. </w:t>
      </w:r>
      <w:r w:rsidRPr="00B92969">
        <w:rPr>
          <w:rFonts w:hint="eastAsia"/>
          <w:szCs w:val="21"/>
        </w:rPr>
        <w:t>中国管理科学</w:t>
      </w:r>
      <w:r w:rsidRPr="00B92969">
        <w:rPr>
          <w:rFonts w:hint="eastAsia"/>
          <w:szCs w:val="21"/>
        </w:rPr>
        <w:t>, 2016, 24(S1): 418-423.</w:t>
      </w:r>
    </w:p>
    <w:p w14:paraId="04FFF87F" w14:textId="1E0B6506" w:rsidR="007B3315" w:rsidRPr="00B92969" w:rsidRDefault="007B3315" w:rsidP="00875991">
      <w:pPr>
        <w:pStyle w:val="a9"/>
        <w:numPr>
          <w:ilvl w:val="0"/>
          <w:numId w:val="2"/>
        </w:numPr>
        <w:rPr>
          <w:szCs w:val="21"/>
        </w:rPr>
      </w:pPr>
      <w:r w:rsidRPr="00B92969">
        <w:rPr>
          <w:rFonts w:hint="eastAsia"/>
          <w:szCs w:val="21"/>
        </w:rPr>
        <w:t>赵凯</w:t>
      </w:r>
      <w:r w:rsidRPr="00B92969">
        <w:rPr>
          <w:rFonts w:hint="eastAsia"/>
          <w:szCs w:val="21"/>
        </w:rPr>
        <w:t xml:space="preserve">, </w:t>
      </w:r>
      <w:r w:rsidRPr="00B92969">
        <w:rPr>
          <w:rFonts w:hint="eastAsia"/>
          <w:szCs w:val="21"/>
        </w:rPr>
        <w:t>高友笙</w:t>
      </w:r>
      <w:r w:rsidRPr="00B92969">
        <w:rPr>
          <w:rFonts w:hint="eastAsia"/>
          <w:szCs w:val="21"/>
        </w:rPr>
        <w:t xml:space="preserve">, </w:t>
      </w:r>
      <w:r w:rsidRPr="00B92969">
        <w:rPr>
          <w:rFonts w:hint="eastAsia"/>
          <w:szCs w:val="21"/>
        </w:rPr>
        <w:t>黄志国</w:t>
      </w:r>
      <w:r w:rsidRPr="00B92969">
        <w:rPr>
          <w:rFonts w:hint="eastAsia"/>
          <w:szCs w:val="21"/>
        </w:rPr>
        <w:t>.</w:t>
      </w:r>
      <w:r w:rsidRPr="00B92969">
        <w:rPr>
          <w:rFonts w:hint="eastAsia"/>
          <w:szCs w:val="21"/>
        </w:rPr>
        <w:t>中国劳动力市场均衡及失业问题研究</w:t>
      </w:r>
      <w:r w:rsidRPr="00B92969">
        <w:rPr>
          <w:rFonts w:hint="eastAsia"/>
          <w:szCs w:val="21"/>
        </w:rPr>
        <w:t xml:space="preserve">[J]. </w:t>
      </w:r>
      <w:r w:rsidRPr="00B92969">
        <w:rPr>
          <w:rFonts w:hint="eastAsia"/>
          <w:szCs w:val="21"/>
        </w:rPr>
        <w:t>统计研究</w:t>
      </w:r>
      <w:r w:rsidRPr="00B92969">
        <w:rPr>
          <w:rFonts w:hint="eastAsia"/>
          <w:szCs w:val="21"/>
        </w:rPr>
        <w:t>,2016,33(05):69-76.</w:t>
      </w:r>
    </w:p>
    <w:p w14:paraId="73287DCD" w14:textId="77777777" w:rsidR="008A45B5" w:rsidRPr="00B92969" w:rsidRDefault="008A45B5" w:rsidP="00875991">
      <w:pPr>
        <w:pStyle w:val="a9"/>
        <w:numPr>
          <w:ilvl w:val="0"/>
          <w:numId w:val="2"/>
        </w:numPr>
        <w:rPr>
          <w:szCs w:val="21"/>
        </w:rPr>
      </w:pPr>
      <w:r w:rsidRPr="00B92969">
        <w:rPr>
          <w:rFonts w:hint="eastAsia"/>
          <w:szCs w:val="21"/>
        </w:rPr>
        <w:t>张钢</w:t>
      </w:r>
      <w:r w:rsidRPr="00B92969">
        <w:rPr>
          <w:rFonts w:hint="eastAsia"/>
          <w:szCs w:val="21"/>
        </w:rPr>
        <w:t xml:space="preserve">. </w:t>
      </w:r>
      <w:r w:rsidRPr="00B92969">
        <w:rPr>
          <w:rFonts w:hint="eastAsia"/>
          <w:szCs w:val="21"/>
        </w:rPr>
        <w:t>人力资本、组织资本与组织创新</w:t>
      </w:r>
      <w:r w:rsidRPr="00B92969">
        <w:rPr>
          <w:rFonts w:hint="eastAsia"/>
          <w:szCs w:val="21"/>
        </w:rPr>
        <w:t xml:space="preserve">[J]. </w:t>
      </w:r>
      <w:r w:rsidRPr="00B92969">
        <w:rPr>
          <w:rFonts w:hint="eastAsia"/>
          <w:szCs w:val="21"/>
        </w:rPr>
        <w:t>科学学研究</w:t>
      </w:r>
      <w:r w:rsidRPr="00B92969">
        <w:rPr>
          <w:rFonts w:hint="eastAsia"/>
          <w:szCs w:val="21"/>
        </w:rPr>
        <w:t>, 2000, 18(1): 67-74.</w:t>
      </w:r>
    </w:p>
    <w:p w14:paraId="736F11CA" w14:textId="7B909F89" w:rsidR="008A45B5" w:rsidRPr="00B92969" w:rsidRDefault="008A45B5" w:rsidP="00875991">
      <w:pPr>
        <w:pStyle w:val="a9"/>
        <w:numPr>
          <w:ilvl w:val="0"/>
          <w:numId w:val="2"/>
        </w:numPr>
        <w:rPr>
          <w:szCs w:val="21"/>
        </w:rPr>
      </w:pPr>
      <w:r w:rsidRPr="00B92969">
        <w:rPr>
          <w:rFonts w:hint="eastAsia"/>
          <w:szCs w:val="21"/>
        </w:rPr>
        <w:t>郑志刚</w:t>
      </w:r>
      <w:r w:rsidRPr="00B92969">
        <w:rPr>
          <w:rFonts w:hint="eastAsia"/>
          <w:szCs w:val="21"/>
        </w:rPr>
        <w:t xml:space="preserve">, </w:t>
      </w:r>
      <w:proofErr w:type="gramStart"/>
      <w:r w:rsidRPr="00B92969">
        <w:rPr>
          <w:rFonts w:hint="eastAsia"/>
          <w:szCs w:val="21"/>
        </w:rPr>
        <w:t>郇</w:t>
      </w:r>
      <w:proofErr w:type="gramEnd"/>
      <w:r w:rsidRPr="00B92969">
        <w:rPr>
          <w:rFonts w:hint="eastAsia"/>
          <w:szCs w:val="21"/>
        </w:rPr>
        <w:t>珍</w:t>
      </w:r>
      <w:r w:rsidRPr="00B92969">
        <w:rPr>
          <w:rFonts w:hint="eastAsia"/>
          <w:szCs w:val="21"/>
        </w:rPr>
        <w:t xml:space="preserve">, </w:t>
      </w:r>
      <w:r w:rsidRPr="00B92969">
        <w:rPr>
          <w:rFonts w:hint="eastAsia"/>
          <w:szCs w:val="21"/>
        </w:rPr>
        <w:t>黄继承等</w:t>
      </w:r>
      <w:r w:rsidRPr="00B92969">
        <w:rPr>
          <w:rFonts w:hint="eastAsia"/>
          <w:szCs w:val="21"/>
        </w:rPr>
        <w:t xml:space="preserve">. </w:t>
      </w:r>
      <w:r w:rsidRPr="00B92969">
        <w:rPr>
          <w:rFonts w:hint="eastAsia"/>
          <w:szCs w:val="21"/>
        </w:rPr>
        <w:t>金字塔式控股结构与上市公司资本运作的机会主义倾向</w:t>
      </w:r>
      <w:r w:rsidRPr="00B92969">
        <w:rPr>
          <w:rFonts w:hint="eastAsia"/>
          <w:szCs w:val="21"/>
        </w:rPr>
        <w:t xml:space="preserve">[J]. </w:t>
      </w:r>
      <w:r w:rsidRPr="00B92969">
        <w:rPr>
          <w:rFonts w:hint="eastAsia"/>
          <w:szCs w:val="21"/>
        </w:rPr>
        <w:t>金融研究</w:t>
      </w:r>
      <w:r w:rsidRPr="00B92969">
        <w:rPr>
          <w:rFonts w:hint="eastAsia"/>
          <w:szCs w:val="21"/>
        </w:rPr>
        <w:t>, 2021</w:t>
      </w:r>
      <w:r w:rsidR="00365EC7" w:rsidRPr="00B92969">
        <w:rPr>
          <w:rFonts w:hint="eastAsia"/>
          <w:szCs w:val="21"/>
        </w:rPr>
        <w:t>,</w:t>
      </w:r>
      <w:r w:rsidRPr="00B92969">
        <w:rPr>
          <w:rFonts w:hint="eastAsia"/>
          <w:szCs w:val="21"/>
        </w:rPr>
        <w:t>11: 153-169.</w:t>
      </w:r>
    </w:p>
    <w:p w14:paraId="070A5704" w14:textId="79CE8057" w:rsidR="008A45B5" w:rsidRPr="00B92969" w:rsidRDefault="008A45B5" w:rsidP="00875991">
      <w:pPr>
        <w:pStyle w:val="a9"/>
        <w:numPr>
          <w:ilvl w:val="0"/>
          <w:numId w:val="2"/>
        </w:numPr>
        <w:rPr>
          <w:szCs w:val="21"/>
        </w:rPr>
      </w:pPr>
      <w:r w:rsidRPr="00B92969">
        <w:rPr>
          <w:rFonts w:hint="eastAsia"/>
          <w:szCs w:val="21"/>
        </w:rPr>
        <w:t>周美华</w:t>
      </w:r>
      <w:r w:rsidRPr="00B92969">
        <w:rPr>
          <w:rFonts w:hint="eastAsia"/>
          <w:szCs w:val="21"/>
        </w:rPr>
        <w:t xml:space="preserve">, </w:t>
      </w:r>
      <w:r w:rsidRPr="00B92969">
        <w:rPr>
          <w:rFonts w:hint="eastAsia"/>
          <w:szCs w:val="21"/>
        </w:rPr>
        <w:t>林斌</w:t>
      </w:r>
      <w:r w:rsidRPr="00B92969">
        <w:rPr>
          <w:rFonts w:hint="eastAsia"/>
          <w:szCs w:val="21"/>
        </w:rPr>
        <w:t xml:space="preserve">, </w:t>
      </w:r>
      <w:r w:rsidRPr="00B92969">
        <w:rPr>
          <w:rFonts w:hint="eastAsia"/>
          <w:szCs w:val="21"/>
        </w:rPr>
        <w:t>林东杰</w:t>
      </w:r>
      <w:r w:rsidRPr="00B92969">
        <w:rPr>
          <w:rFonts w:hint="eastAsia"/>
          <w:szCs w:val="21"/>
        </w:rPr>
        <w:t xml:space="preserve">. </w:t>
      </w:r>
      <w:r w:rsidRPr="00B92969">
        <w:rPr>
          <w:rFonts w:hint="eastAsia"/>
          <w:szCs w:val="21"/>
        </w:rPr>
        <w:t>管理层权力、内部控制与腐败治理</w:t>
      </w:r>
      <w:r w:rsidRPr="00B92969">
        <w:rPr>
          <w:rFonts w:hint="eastAsia"/>
          <w:szCs w:val="21"/>
        </w:rPr>
        <w:t xml:space="preserve">[J]. </w:t>
      </w:r>
      <w:r w:rsidRPr="00B92969">
        <w:rPr>
          <w:rFonts w:hint="eastAsia"/>
          <w:szCs w:val="21"/>
        </w:rPr>
        <w:t>会计研究</w:t>
      </w:r>
      <w:r w:rsidRPr="00B92969">
        <w:rPr>
          <w:rFonts w:hint="eastAsia"/>
          <w:szCs w:val="21"/>
        </w:rPr>
        <w:t>, 2016</w:t>
      </w:r>
      <w:r w:rsidR="00365EC7" w:rsidRPr="00B92969">
        <w:rPr>
          <w:rFonts w:hint="eastAsia"/>
          <w:szCs w:val="21"/>
        </w:rPr>
        <w:t>,</w:t>
      </w:r>
      <w:r w:rsidRPr="00B92969">
        <w:rPr>
          <w:rFonts w:hint="eastAsia"/>
          <w:szCs w:val="21"/>
        </w:rPr>
        <w:t>03: 56-63+96.</w:t>
      </w:r>
    </w:p>
    <w:p w14:paraId="5E31E2F6" w14:textId="39E4F78B" w:rsidR="006B5FD6" w:rsidRPr="00B92969" w:rsidRDefault="006B5FD6" w:rsidP="00875991">
      <w:pPr>
        <w:pStyle w:val="a9"/>
        <w:numPr>
          <w:ilvl w:val="0"/>
          <w:numId w:val="2"/>
        </w:numPr>
        <w:rPr>
          <w:szCs w:val="21"/>
        </w:rPr>
      </w:pPr>
      <w:r w:rsidRPr="00B92969">
        <w:rPr>
          <w:szCs w:val="21"/>
        </w:rPr>
        <w:t xml:space="preserve">Aboody D, Lev B. Information asymmetry, R&amp;D, and insider gains[J]. The </w:t>
      </w:r>
      <w:r w:rsidR="00C75E41" w:rsidRPr="00B92969">
        <w:rPr>
          <w:rFonts w:hint="eastAsia"/>
          <w:szCs w:val="21"/>
        </w:rPr>
        <w:t>J</w:t>
      </w:r>
      <w:r w:rsidRPr="00B92969">
        <w:rPr>
          <w:szCs w:val="21"/>
        </w:rPr>
        <w:t>ournal of Finance, 2000, 55(6): 2747-2766.</w:t>
      </w:r>
    </w:p>
    <w:p w14:paraId="613ABBFA" w14:textId="108AC03E" w:rsidR="00C756F7" w:rsidRPr="00B92969" w:rsidRDefault="00C756F7" w:rsidP="00875991">
      <w:pPr>
        <w:pStyle w:val="a9"/>
        <w:numPr>
          <w:ilvl w:val="0"/>
          <w:numId w:val="2"/>
        </w:numPr>
        <w:rPr>
          <w:szCs w:val="21"/>
        </w:rPr>
      </w:pPr>
      <w:r w:rsidRPr="00B92969">
        <w:rPr>
          <w:szCs w:val="21"/>
        </w:rPr>
        <w:t>Akerlof G A. 4. The market for ‘lemons’: quality uncertainty and the market mechanism[J]. Market Failure or Success, 1970, 66.</w:t>
      </w:r>
    </w:p>
    <w:p w14:paraId="3569CFEB" w14:textId="5FDA0E15" w:rsidR="008A45B5" w:rsidRPr="00B92969" w:rsidRDefault="008A45B5" w:rsidP="00875991">
      <w:pPr>
        <w:pStyle w:val="a9"/>
        <w:numPr>
          <w:ilvl w:val="0"/>
          <w:numId w:val="2"/>
        </w:numPr>
        <w:rPr>
          <w:szCs w:val="21"/>
        </w:rPr>
      </w:pPr>
      <w:proofErr w:type="spellStart"/>
      <w:r w:rsidRPr="00B92969">
        <w:rPr>
          <w:szCs w:val="21"/>
        </w:rPr>
        <w:t>Aguir</w:t>
      </w:r>
      <w:proofErr w:type="spellEnd"/>
      <w:r w:rsidRPr="00B92969">
        <w:rPr>
          <w:szCs w:val="21"/>
        </w:rPr>
        <w:t xml:space="preserve"> I, </w:t>
      </w:r>
      <w:proofErr w:type="spellStart"/>
      <w:r w:rsidRPr="00B92969">
        <w:rPr>
          <w:szCs w:val="21"/>
        </w:rPr>
        <w:t>Aguir</w:t>
      </w:r>
      <w:proofErr w:type="spellEnd"/>
      <w:r w:rsidRPr="00B92969">
        <w:rPr>
          <w:szCs w:val="21"/>
        </w:rPr>
        <w:t xml:space="preserve"> W. Director and Officer Liability Protection and Firm Value: Unintended Consequences</w:t>
      </w:r>
      <w:r w:rsidR="006B2F45" w:rsidRPr="00B92969">
        <w:rPr>
          <w:szCs w:val="21"/>
        </w:rPr>
        <w:t>[J</w:t>
      </w:r>
      <w:r w:rsidRPr="00B92969">
        <w:rPr>
          <w:szCs w:val="21"/>
        </w:rPr>
        <w:t>]. Finance Research Letters, 2020, 32:101177.</w:t>
      </w:r>
    </w:p>
    <w:p w14:paraId="1C622404" w14:textId="77777777" w:rsidR="008A45B5" w:rsidRPr="00B92969" w:rsidRDefault="008A45B5" w:rsidP="00875991">
      <w:pPr>
        <w:pStyle w:val="a9"/>
        <w:numPr>
          <w:ilvl w:val="0"/>
          <w:numId w:val="2"/>
        </w:numPr>
        <w:rPr>
          <w:szCs w:val="21"/>
        </w:rPr>
      </w:pPr>
      <w:r w:rsidRPr="00B92969">
        <w:rPr>
          <w:szCs w:val="21"/>
        </w:rPr>
        <w:t>Arrow K J. The limits of organization [M]. WW Norton &amp; Company, 1974.</w:t>
      </w:r>
    </w:p>
    <w:p w14:paraId="7C0C76F4" w14:textId="02F9E745" w:rsidR="008A45B5" w:rsidRPr="00B92969" w:rsidRDefault="008A45B5" w:rsidP="00875991">
      <w:pPr>
        <w:pStyle w:val="a9"/>
        <w:numPr>
          <w:ilvl w:val="0"/>
          <w:numId w:val="2"/>
        </w:numPr>
        <w:rPr>
          <w:szCs w:val="21"/>
        </w:rPr>
      </w:pPr>
      <w:r w:rsidRPr="00B92969">
        <w:rPr>
          <w:szCs w:val="21"/>
        </w:rPr>
        <w:t>Atkeson A, Kehoe P J. Modeling and measuring organization capital</w:t>
      </w:r>
      <w:r w:rsidR="006B2F45" w:rsidRPr="00B92969">
        <w:rPr>
          <w:szCs w:val="21"/>
        </w:rPr>
        <w:t>[J</w:t>
      </w:r>
      <w:r w:rsidRPr="00B92969">
        <w:rPr>
          <w:szCs w:val="21"/>
        </w:rPr>
        <w:t xml:space="preserve">]. Journal of </w:t>
      </w:r>
      <w:r w:rsidR="00551A94" w:rsidRPr="00B92969">
        <w:rPr>
          <w:rFonts w:hint="eastAsia"/>
          <w:szCs w:val="21"/>
        </w:rPr>
        <w:t>P</w:t>
      </w:r>
      <w:r w:rsidRPr="00B92969">
        <w:rPr>
          <w:szCs w:val="21"/>
        </w:rPr>
        <w:t>olitical Economy, 2005, 113</w:t>
      </w:r>
      <w:r w:rsidR="00365EC7" w:rsidRPr="00B92969">
        <w:rPr>
          <w:szCs w:val="21"/>
        </w:rPr>
        <w:t>(</w:t>
      </w:r>
      <w:r w:rsidRPr="00B92969">
        <w:rPr>
          <w:szCs w:val="21"/>
        </w:rPr>
        <w:t>5):1026-1053.</w:t>
      </w:r>
    </w:p>
    <w:p w14:paraId="1AF072B6" w14:textId="77777777" w:rsidR="00365EC7" w:rsidRPr="00B92969" w:rsidRDefault="00365EC7" w:rsidP="00875991">
      <w:pPr>
        <w:pStyle w:val="a9"/>
        <w:numPr>
          <w:ilvl w:val="0"/>
          <w:numId w:val="2"/>
        </w:numPr>
        <w:rPr>
          <w:szCs w:val="21"/>
        </w:rPr>
      </w:pPr>
      <w:r w:rsidRPr="00B92969">
        <w:rPr>
          <w:szCs w:val="21"/>
        </w:rPr>
        <w:t>Aggarwal R A J, Cao J, Chen F. Information environment, dividend changes, and signaling: evidence from ADR firms[J]. Contemporary Accounting Research, 2012, 29(2): 403-431.</w:t>
      </w:r>
    </w:p>
    <w:p w14:paraId="053C761D" w14:textId="6B970039" w:rsidR="008A45B5" w:rsidRPr="00B92969" w:rsidRDefault="008A45B5" w:rsidP="00875991">
      <w:pPr>
        <w:pStyle w:val="a9"/>
        <w:numPr>
          <w:ilvl w:val="0"/>
          <w:numId w:val="2"/>
        </w:numPr>
        <w:rPr>
          <w:szCs w:val="21"/>
        </w:rPr>
      </w:pPr>
      <w:r w:rsidRPr="00B92969">
        <w:rPr>
          <w:szCs w:val="21"/>
        </w:rPr>
        <w:t>Baker T, Griffith S J. Ensuring corporate misconduct: How liability insurance undermines shareholder litigation [M]. University of Chicago Press, 2019.</w:t>
      </w:r>
    </w:p>
    <w:p w14:paraId="7B8BF998" w14:textId="77777777" w:rsidR="008A45B5" w:rsidRPr="00B92969" w:rsidRDefault="008A45B5" w:rsidP="00875991">
      <w:pPr>
        <w:pStyle w:val="a9"/>
        <w:numPr>
          <w:ilvl w:val="0"/>
          <w:numId w:val="2"/>
        </w:numPr>
        <w:rPr>
          <w:szCs w:val="21"/>
        </w:rPr>
      </w:pPr>
      <w:r w:rsidRPr="00B92969">
        <w:rPr>
          <w:szCs w:val="21"/>
        </w:rPr>
        <w:t>Black S E, Lynch L M. Measuring organizational capital in the new economy [M]. IZA, 2005.</w:t>
      </w:r>
    </w:p>
    <w:p w14:paraId="537E8D53" w14:textId="06E2AC18" w:rsidR="00453146" w:rsidRPr="00B92969" w:rsidRDefault="00453146" w:rsidP="00875991">
      <w:pPr>
        <w:pStyle w:val="a9"/>
        <w:numPr>
          <w:ilvl w:val="0"/>
          <w:numId w:val="2"/>
        </w:numPr>
        <w:rPr>
          <w:szCs w:val="21"/>
        </w:rPr>
      </w:pPr>
      <w:r w:rsidRPr="00B92969">
        <w:rPr>
          <w:szCs w:val="21"/>
        </w:rPr>
        <w:t>Bloom N, Van Reenen J. Measuring and explaining management practices across firms and countries</w:t>
      </w:r>
      <w:r w:rsidR="006B2F45" w:rsidRPr="00B92969">
        <w:rPr>
          <w:szCs w:val="21"/>
        </w:rPr>
        <w:t>[J</w:t>
      </w:r>
      <w:r w:rsidRPr="00B92969">
        <w:rPr>
          <w:szCs w:val="21"/>
        </w:rPr>
        <w:t xml:space="preserve">]. The </w:t>
      </w:r>
      <w:r w:rsidR="00C75E41" w:rsidRPr="00B92969">
        <w:rPr>
          <w:rFonts w:hint="eastAsia"/>
          <w:szCs w:val="21"/>
        </w:rPr>
        <w:t>Q</w:t>
      </w:r>
      <w:r w:rsidRPr="00B92969">
        <w:rPr>
          <w:szCs w:val="21"/>
        </w:rPr>
        <w:t xml:space="preserve">uarterly </w:t>
      </w:r>
      <w:r w:rsidR="00C75E41" w:rsidRPr="00B92969">
        <w:rPr>
          <w:rFonts w:hint="eastAsia"/>
          <w:szCs w:val="21"/>
        </w:rPr>
        <w:t>J</w:t>
      </w:r>
      <w:r w:rsidRPr="00B92969">
        <w:rPr>
          <w:szCs w:val="21"/>
        </w:rPr>
        <w:t>ournal of Economics, 2007, 122</w:t>
      </w:r>
      <w:r w:rsidR="00365EC7" w:rsidRPr="00B92969">
        <w:rPr>
          <w:szCs w:val="21"/>
        </w:rPr>
        <w:t>(</w:t>
      </w:r>
      <w:r w:rsidRPr="00B92969">
        <w:rPr>
          <w:szCs w:val="21"/>
        </w:rPr>
        <w:t>4):1351-1408.</w:t>
      </w:r>
    </w:p>
    <w:p w14:paraId="43F32BDD" w14:textId="2FB2262C" w:rsidR="008A45B5" w:rsidRPr="00B92969" w:rsidRDefault="008A45B5" w:rsidP="00875991">
      <w:pPr>
        <w:pStyle w:val="a9"/>
        <w:numPr>
          <w:ilvl w:val="0"/>
          <w:numId w:val="2"/>
        </w:numPr>
        <w:rPr>
          <w:szCs w:val="21"/>
        </w:rPr>
      </w:pPr>
      <w:r w:rsidRPr="00B92969">
        <w:rPr>
          <w:szCs w:val="21"/>
        </w:rPr>
        <w:t>Bodnaruk A, Östberg P. The shareholder base and payout policy</w:t>
      </w:r>
      <w:r w:rsidR="006B2F45" w:rsidRPr="00B92969">
        <w:rPr>
          <w:szCs w:val="21"/>
        </w:rPr>
        <w:t>[J</w:t>
      </w:r>
      <w:r w:rsidRPr="00B92969">
        <w:rPr>
          <w:szCs w:val="21"/>
        </w:rPr>
        <w:t>]. Journal of Financial and Quantitative Analysis, 2013, 48</w:t>
      </w:r>
      <w:r w:rsidR="00365EC7" w:rsidRPr="00B92969">
        <w:rPr>
          <w:szCs w:val="21"/>
        </w:rPr>
        <w:t>(</w:t>
      </w:r>
      <w:r w:rsidRPr="00B92969">
        <w:rPr>
          <w:szCs w:val="21"/>
        </w:rPr>
        <w:t>3):729-760.</w:t>
      </w:r>
    </w:p>
    <w:p w14:paraId="62E689A3" w14:textId="0809C22F" w:rsidR="008A45B5" w:rsidRPr="00B92969" w:rsidRDefault="008A45B5" w:rsidP="00875991">
      <w:pPr>
        <w:pStyle w:val="a9"/>
        <w:numPr>
          <w:ilvl w:val="0"/>
          <w:numId w:val="2"/>
        </w:numPr>
        <w:rPr>
          <w:szCs w:val="21"/>
        </w:rPr>
      </w:pPr>
      <w:r w:rsidRPr="00B92969">
        <w:rPr>
          <w:szCs w:val="21"/>
        </w:rPr>
        <w:t xml:space="preserve">Boubaker S, Hasan M </w:t>
      </w:r>
      <w:proofErr w:type="spellStart"/>
      <w:r w:rsidRPr="00B92969">
        <w:rPr>
          <w:szCs w:val="21"/>
        </w:rPr>
        <w:t>M</w:t>
      </w:r>
      <w:proofErr w:type="spellEnd"/>
      <w:r w:rsidRPr="00B92969">
        <w:rPr>
          <w:szCs w:val="21"/>
        </w:rPr>
        <w:t>, Habib A. Organization capital, tournament incentives and firm performance</w:t>
      </w:r>
      <w:r w:rsidR="006B2F45" w:rsidRPr="00B92969">
        <w:rPr>
          <w:szCs w:val="21"/>
        </w:rPr>
        <w:t>[J</w:t>
      </w:r>
      <w:r w:rsidRPr="00B92969">
        <w:rPr>
          <w:szCs w:val="21"/>
        </w:rPr>
        <w:t>]. Finance Research Letters, 2022, 46:102468.</w:t>
      </w:r>
    </w:p>
    <w:p w14:paraId="413B0F93" w14:textId="213F0822" w:rsidR="008A45B5" w:rsidRPr="00B92969" w:rsidRDefault="008A45B5" w:rsidP="00875991">
      <w:pPr>
        <w:pStyle w:val="a9"/>
        <w:numPr>
          <w:ilvl w:val="0"/>
          <w:numId w:val="2"/>
        </w:numPr>
        <w:rPr>
          <w:szCs w:val="21"/>
        </w:rPr>
      </w:pPr>
      <w:r w:rsidRPr="00B92969">
        <w:rPr>
          <w:szCs w:val="21"/>
        </w:rPr>
        <w:t xml:space="preserve">Boyer M </w:t>
      </w:r>
      <w:proofErr w:type="spellStart"/>
      <w:r w:rsidRPr="00B92969">
        <w:rPr>
          <w:szCs w:val="21"/>
        </w:rPr>
        <w:t>M</w:t>
      </w:r>
      <w:proofErr w:type="spellEnd"/>
      <w:r w:rsidRPr="00B92969">
        <w:rPr>
          <w:szCs w:val="21"/>
        </w:rPr>
        <w:t xml:space="preserve">, Tennyson S. Directors' and Officers' Liability Insurance, Corporate Risk and Risk </w:t>
      </w:r>
      <w:r w:rsidRPr="00B92969">
        <w:rPr>
          <w:szCs w:val="21"/>
        </w:rPr>
        <w:lastRenderedPageBreak/>
        <w:t>Taking:</w:t>
      </w:r>
      <w:r w:rsidR="00365EC7" w:rsidRPr="00B92969">
        <w:rPr>
          <w:rFonts w:hint="eastAsia"/>
          <w:szCs w:val="21"/>
        </w:rPr>
        <w:t xml:space="preserve"> </w:t>
      </w:r>
      <w:r w:rsidRPr="00B92969">
        <w:rPr>
          <w:szCs w:val="21"/>
        </w:rPr>
        <w:t>New Panel Data Evidence on The Role of Directors' and Officers' Liability Insurance</w:t>
      </w:r>
      <w:r w:rsidR="006B2F45" w:rsidRPr="00B92969">
        <w:rPr>
          <w:szCs w:val="21"/>
        </w:rPr>
        <w:t>[J</w:t>
      </w:r>
      <w:r w:rsidRPr="00B92969">
        <w:rPr>
          <w:szCs w:val="21"/>
        </w:rPr>
        <w:t>]. Journal of Risk &amp; Insurance, 2015, 82</w:t>
      </w:r>
      <w:r w:rsidR="00365EC7" w:rsidRPr="00B92969">
        <w:rPr>
          <w:szCs w:val="21"/>
        </w:rPr>
        <w:t>(</w:t>
      </w:r>
      <w:r w:rsidRPr="00B92969">
        <w:rPr>
          <w:szCs w:val="21"/>
        </w:rPr>
        <w:t>4):753-791.</w:t>
      </w:r>
    </w:p>
    <w:p w14:paraId="354FC998" w14:textId="3CB07A57" w:rsidR="0010312E" w:rsidRPr="00B92969" w:rsidRDefault="0010312E" w:rsidP="00875991">
      <w:pPr>
        <w:pStyle w:val="a9"/>
        <w:numPr>
          <w:ilvl w:val="0"/>
          <w:numId w:val="2"/>
        </w:numPr>
        <w:rPr>
          <w:szCs w:val="21"/>
        </w:rPr>
      </w:pPr>
      <w:r w:rsidRPr="00B92969">
        <w:rPr>
          <w:szCs w:val="21"/>
        </w:rPr>
        <w:t xml:space="preserve">Bresnahan T F, Brynjolfsson E, Hitt L M. Information technology, workplace organization, and the demand for skilled labor: Firm-level evidence[J]. </w:t>
      </w:r>
      <w:r w:rsidR="00C75E41" w:rsidRPr="00B92969">
        <w:rPr>
          <w:szCs w:val="21"/>
        </w:rPr>
        <w:t xml:space="preserve">The </w:t>
      </w:r>
      <w:r w:rsidR="00C75E41" w:rsidRPr="00B92969">
        <w:rPr>
          <w:rFonts w:hint="eastAsia"/>
          <w:szCs w:val="21"/>
        </w:rPr>
        <w:t>Q</w:t>
      </w:r>
      <w:r w:rsidR="00C75E41" w:rsidRPr="00B92969">
        <w:rPr>
          <w:szCs w:val="21"/>
        </w:rPr>
        <w:t xml:space="preserve">uarterly </w:t>
      </w:r>
      <w:r w:rsidR="00C75E41" w:rsidRPr="00B92969">
        <w:rPr>
          <w:rFonts w:hint="eastAsia"/>
          <w:szCs w:val="21"/>
        </w:rPr>
        <w:t>J</w:t>
      </w:r>
      <w:r w:rsidR="00C75E41" w:rsidRPr="00B92969">
        <w:rPr>
          <w:szCs w:val="21"/>
        </w:rPr>
        <w:t>ournal of Economics</w:t>
      </w:r>
      <w:r w:rsidRPr="00B92969">
        <w:rPr>
          <w:szCs w:val="21"/>
        </w:rPr>
        <w:t>, 2002, 117(1): 339-376.</w:t>
      </w:r>
    </w:p>
    <w:p w14:paraId="434062D9" w14:textId="637B9BC7" w:rsidR="00453146" w:rsidRPr="00B92969" w:rsidRDefault="00453146" w:rsidP="00875991">
      <w:pPr>
        <w:pStyle w:val="a9"/>
        <w:numPr>
          <w:ilvl w:val="0"/>
          <w:numId w:val="2"/>
        </w:numPr>
        <w:rPr>
          <w:szCs w:val="21"/>
        </w:rPr>
      </w:pPr>
      <w:r w:rsidRPr="00B92969">
        <w:rPr>
          <w:szCs w:val="21"/>
        </w:rPr>
        <w:t>Brown</w:t>
      </w:r>
      <w:r w:rsidRPr="00B92969">
        <w:rPr>
          <w:rFonts w:hint="eastAsia"/>
          <w:szCs w:val="21"/>
        </w:rPr>
        <w:t xml:space="preserve"> </w:t>
      </w:r>
      <w:r w:rsidRPr="00B92969">
        <w:rPr>
          <w:szCs w:val="21"/>
        </w:rPr>
        <w:t>E,</w:t>
      </w:r>
      <w:r w:rsidRPr="00B92969">
        <w:rPr>
          <w:rFonts w:hint="eastAsia"/>
          <w:szCs w:val="21"/>
        </w:rPr>
        <w:t xml:space="preserve"> </w:t>
      </w:r>
      <w:r w:rsidRPr="00B92969">
        <w:rPr>
          <w:szCs w:val="21"/>
        </w:rPr>
        <w:t>Kaufold</w:t>
      </w:r>
      <w:r w:rsidRPr="00B92969">
        <w:rPr>
          <w:rFonts w:hint="eastAsia"/>
          <w:szCs w:val="21"/>
        </w:rPr>
        <w:t xml:space="preserve"> H</w:t>
      </w:r>
      <w:r w:rsidRPr="00B92969">
        <w:rPr>
          <w:szCs w:val="21"/>
        </w:rPr>
        <w:t>. Human Capital Accumulation and the Optimal Level of Unemployment</w:t>
      </w:r>
      <w:r w:rsidRPr="00B92969">
        <w:rPr>
          <w:rFonts w:hint="eastAsia"/>
          <w:szCs w:val="21"/>
        </w:rPr>
        <w:t xml:space="preserve"> </w:t>
      </w:r>
      <w:r w:rsidRPr="00B92969">
        <w:rPr>
          <w:szCs w:val="21"/>
        </w:rPr>
        <w:t>Insurance Provision</w:t>
      </w:r>
      <w:r w:rsidRPr="00B92969">
        <w:rPr>
          <w:rFonts w:hint="eastAsia"/>
          <w:szCs w:val="21"/>
        </w:rPr>
        <w:t>[J]</w:t>
      </w:r>
      <w:r w:rsidRPr="00B92969">
        <w:rPr>
          <w:szCs w:val="21"/>
        </w:rPr>
        <w:t>.</w:t>
      </w:r>
      <w:r w:rsidRPr="00B92969">
        <w:rPr>
          <w:rFonts w:hint="eastAsia"/>
          <w:szCs w:val="21"/>
        </w:rPr>
        <w:t xml:space="preserve"> </w:t>
      </w:r>
      <w:r w:rsidRPr="00B92969">
        <w:rPr>
          <w:szCs w:val="21"/>
        </w:rPr>
        <w:t xml:space="preserve">Journal of Labor Economics, </w:t>
      </w:r>
      <w:r w:rsidRPr="00B92969">
        <w:rPr>
          <w:rFonts w:hint="eastAsia"/>
          <w:szCs w:val="21"/>
        </w:rPr>
        <w:t xml:space="preserve">1988, 6(4): </w:t>
      </w:r>
      <w:r w:rsidRPr="00B92969">
        <w:rPr>
          <w:szCs w:val="21"/>
        </w:rPr>
        <w:t>493–514</w:t>
      </w:r>
      <w:r w:rsidRPr="00B92969">
        <w:rPr>
          <w:rFonts w:hint="eastAsia"/>
          <w:szCs w:val="21"/>
        </w:rPr>
        <w:t>.</w:t>
      </w:r>
    </w:p>
    <w:p w14:paraId="2876CABB" w14:textId="2A640B6C" w:rsidR="008A45B5" w:rsidRPr="00B92969" w:rsidRDefault="008A45B5" w:rsidP="00875991">
      <w:pPr>
        <w:pStyle w:val="a9"/>
        <w:numPr>
          <w:ilvl w:val="0"/>
          <w:numId w:val="2"/>
        </w:numPr>
        <w:rPr>
          <w:szCs w:val="21"/>
        </w:rPr>
      </w:pPr>
      <w:r w:rsidRPr="00B92969">
        <w:rPr>
          <w:szCs w:val="21"/>
        </w:rPr>
        <w:t>Carlin B I, Chowdhry B, Garmaise M J. Investment in organization capital</w:t>
      </w:r>
      <w:r w:rsidR="006B2F45" w:rsidRPr="00B92969">
        <w:rPr>
          <w:szCs w:val="21"/>
        </w:rPr>
        <w:t>[J</w:t>
      </w:r>
      <w:r w:rsidRPr="00B92969">
        <w:rPr>
          <w:szCs w:val="21"/>
        </w:rPr>
        <w:t>]. Journal of Financial Intermediation, 2012, 21</w:t>
      </w:r>
      <w:r w:rsidR="00365EC7" w:rsidRPr="00B92969">
        <w:rPr>
          <w:szCs w:val="21"/>
        </w:rPr>
        <w:t>(</w:t>
      </w:r>
      <w:r w:rsidRPr="00B92969">
        <w:rPr>
          <w:szCs w:val="21"/>
        </w:rPr>
        <w:t>2):268-286.</w:t>
      </w:r>
    </w:p>
    <w:p w14:paraId="704C2167" w14:textId="1D4196B7" w:rsidR="008A45B5" w:rsidRPr="00B92969" w:rsidRDefault="008A45B5" w:rsidP="00875991">
      <w:pPr>
        <w:pStyle w:val="a9"/>
        <w:numPr>
          <w:ilvl w:val="0"/>
          <w:numId w:val="2"/>
        </w:numPr>
        <w:rPr>
          <w:szCs w:val="21"/>
        </w:rPr>
      </w:pPr>
      <w:r w:rsidRPr="00B92969">
        <w:rPr>
          <w:szCs w:val="21"/>
        </w:rPr>
        <w:t>Caroli E, Van R J. Skill-biased organizational change? Evidence from a panel of British and French establishments</w:t>
      </w:r>
      <w:r w:rsidR="006B2F45" w:rsidRPr="00B92969">
        <w:rPr>
          <w:szCs w:val="21"/>
        </w:rPr>
        <w:t>[J</w:t>
      </w:r>
      <w:r w:rsidRPr="00B92969">
        <w:rPr>
          <w:szCs w:val="21"/>
        </w:rPr>
        <w:t>]. The Quarterly Journal of Economics, 2001, 116</w:t>
      </w:r>
      <w:r w:rsidR="00365EC7" w:rsidRPr="00B92969">
        <w:rPr>
          <w:szCs w:val="21"/>
        </w:rPr>
        <w:t>(</w:t>
      </w:r>
      <w:r w:rsidRPr="00B92969">
        <w:rPr>
          <w:szCs w:val="21"/>
        </w:rPr>
        <w:t>4):1449-1492.</w:t>
      </w:r>
    </w:p>
    <w:p w14:paraId="33AA5279" w14:textId="31F3DC78" w:rsidR="008A45B5" w:rsidRPr="00B92969" w:rsidRDefault="008A45B5" w:rsidP="00875991">
      <w:pPr>
        <w:pStyle w:val="a9"/>
        <w:numPr>
          <w:ilvl w:val="0"/>
          <w:numId w:val="2"/>
        </w:numPr>
        <w:rPr>
          <w:szCs w:val="21"/>
        </w:rPr>
      </w:pPr>
      <w:r w:rsidRPr="00B92969">
        <w:rPr>
          <w:szCs w:val="21"/>
        </w:rPr>
        <w:t>Cao J X, Cumming D, Qian M, et al. Cross-border LBOs</w:t>
      </w:r>
      <w:r w:rsidR="006B2F45" w:rsidRPr="00B92969">
        <w:rPr>
          <w:szCs w:val="21"/>
        </w:rPr>
        <w:t>[J</w:t>
      </w:r>
      <w:r w:rsidRPr="00B92969">
        <w:rPr>
          <w:szCs w:val="21"/>
        </w:rPr>
        <w:t>]. Journal of Banking &amp; Finance, 2015, 50:69-80.</w:t>
      </w:r>
    </w:p>
    <w:p w14:paraId="282AAEB8" w14:textId="3E0E357C" w:rsidR="008A45B5" w:rsidRPr="00B92969" w:rsidRDefault="008A45B5" w:rsidP="00875991">
      <w:pPr>
        <w:pStyle w:val="a9"/>
        <w:numPr>
          <w:ilvl w:val="0"/>
          <w:numId w:val="2"/>
        </w:numPr>
        <w:rPr>
          <w:szCs w:val="21"/>
        </w:rPr>
      </w:pPr>
      <w:r w:rsidRPr="00B92969">
        <w:rPr>
          <w:szCs w:val="21"/>
        </w:rPr>
        <w:t>Chalmers J M R, Dann L Y, Harford J. Managerial opportunism? Evidence from directors' and officers' insurance purchases</w:t>
      </w:r>
      <w:r w:rsidR="006B2F45" w:rsidRPr="00B92969">
        <w:rPr>
          <w:szCs w:val="21"/>
        </w:rPr>
        <w:t>[J</w:t>
      </w:r>
      <w:r w:rsidRPr="00B92969">
        <w:rPr>
          <w:szCs w:val="21"/>
        </w:rPr>
        <w:t>]. The Journal of Finance, 2002, 57</w:t>
      </w:r>
      <w:r w:rsidR="00365EC7" w:rsidRPr="00B92969">
        <w:rPr>
          <w:szCs w:val="21"/>
        </w:rPr>
        <w:t>(</w:t>
      </w:r>
      <w:r w:rsidRPr="00B92969">
        <w:rPr>
          <w:szCs w:val="21"/>
        </w:rPr>
        <w:t>2):609-636.</w:t>
      </w:r>
    </w:p>
    <w:p w14:paraId="087D9C9E" w14:textId="5EBE0596" w:rsidR="008A45B5" w:rsidRPr="00B92969" w:rsidRDefault="008A45B5" w:rsidP="00875991">
      <w:pPr>
        <w:pStyle w:val="a9"/>
        <w:numPr>
          <w:ilvl w:val="0"/>
          <w:numId w:val="2"/>
        </w:numPr>
        <w:rPr>
          <w:szCs w:val="21"/>
        </w:rPr>
      </w:pPr>
      <w:r w:rsidRPr="00B92969">
        <w:rPr>
          <w:szCs w:val="21"/>
        </w:rPr>
        <w:t>Cheng M, Ji L, Xu Z. How does organization capital alleviate SMEs’ financial constraints? Evidence from China</w:t>
      </w:r>
      <w:r w:rsidR="006B2F45" w:rsidRPr="00B92969">
        <w:rPr>
          <w:szCs w:val="21"/>
        </w:rPr>
        <w:t>[J</w:t>
      </w:r>
      <w:r w:rsidRPr="00B92969">
        <w:rPr>
          <w:szCs w:val="21"/>
        </w:rPr>
        <w:t>]. Emerging Markets Finance and Trade, 2022, 58</w:t>
      </w:r>
      <w:r w:rsidR="00365EC7" w:rsidRPr="00B92969">
        <w:rPr>
          <w:szCs w:val="21"/>
        </w:rPr>
        <w:t>(</w:t>
      </w:r>
      <w:r w:rsidRPr="00B92969">
        <w:rPr>
          <w:szCs w:val="21"/>
        </w:rPr>
        <w:t>12):3541-3553.</w:t>
      </w:r>
    </w:p>
    <w:p w14:paraId="55EE0FB8" w14:textId="72353F03" w:rsidR="008A45B5" w:rsidRPr="00B92969" w:rsidRDefault="008A45B5" w:rsidP="00875991">
      <w:pPr>
        <w:pStyle w:val="a9"/>
        <w:numPr>
          <w:ilvl w:val="0"/>
          <w:numId w:val="2"/>
        </w:numPr>
        <w:rPr>
          <w:szCs w:val="21"/>
        </w:rPr>
      </w:pPr>
      <w:r w:rsidRPr="00B92969">
        <w:rPr>
          <w:szCs w:val="21"/>
        </w:rPr>
        <w:t>Core J. On the corporate demand of directors' insurance</w:t>
      </w:r>
      <w:r w:rsidR="006B2F45" w:rsidRPr="00B92969">
        <w:rPr>
          <w:szCs w:val="21"/>
        </w:rPr>
        <w:t>[J</w:t>
      </w:r>
      <w:r w:rsidRPr="00B92969">
        <w:rPr>
          <w:szCs w:val="21"/>
        </w:rPr>
        <w:t>]. Journal of Risk and Insurance, 1997, 64:63-87.</w:t>
      </w:r>
    </w:p>
    <w:p w14:paraId="28DDFA22" w14:textId="20DC166D" w:rsidR="008A45B5" w:rsidRPr="00B92969" w:rsidRDefault="008A45B5" w:rsidP="00875991">
      <w:pPr>
        <w:pStyle w:val="a9"/>
        <w:numPr>
          <w:ilvl w:val="0"/>
          <w:numId w:val="2"/>
        </w:numPr>
        <w:rPr>
          <w:szCs w:val="21"/>
        </w:rPr>
      </w:pPr>
      <w:r w:rsidRPr="00B92969">
        <w:rPr>
          <w:szCs w:val="21"/>
        </w:rPr>
        <w:t>Crouzet N, Eberly J. Rents and Intangible Capital: A Q+ Framework</w:t>
      </w:r>
      <w:r w:rsidR="006B2F45" w:rsidRPr="00B92969">
        <w:rPr>
          <w:szCs w:val="21"/>
        </w:rPr>
        <w:t>[J</w:t>
      </w:r>
      <w:r w:rsidRPr="00B92969">
        <w:rPr>
          <w:szCs w:val="21"/>
        </w:rPr>
        <w:t>]. The Journal of Finance, 2023, 78</w:t>
      </w:r>
      <w:r w:rsidR="00365EC7" w:rsidRPr="00B92969">
        <w:rPr>
          <w:szCs w:val="21"/>
        </w:rPr>
        <w:t>(</w:t>
      </w:r>
      <w:r w:rsidRPr="00B92969">
        <w:rPr>
          <w:szCs w:val="21"/>
        </w:rPr>
        <w:t>4):1873-1916.</w:t>
      </w:r>
    </w:p>
    <w:p w14:paraId="66D1C098" w14:textId="7BBFFEBD" w:rsidR="008A45B5" w:rsidRPr="00B92969" w:rsidRDefault="008A45B5" w:rsidP="00875991">
      <w:pPr>
        <w:pStyle w:val="a9"/>
        <w:numPr>
          <w:ilvl w:val="0"/>
          <w:numId w:val="2"/>
        </w:numPr>
        <w:rPr>
          <w:szCs w:val="21"/>
        </w:rPr>
      </w:pPr>
      <w:r w:rsidRPr="00B92969">
        <w:rPr>
          <w:szCs w:val="21"/>
        </w:rPr>
        <w:t xml:space="preserve">Cremers K J M, Grinstein Y. Does the market for CEO talent explain controversial CEO pay </w:t>
      </w:r>
      <w:proofErr w:type="gramStart"/>
      <w:r w:rsidRPr="00B92969">
        <w:rPr>
          <w:szCs w:val="21"/>
        </w:rPr>
        <w:t>practices?[</w:t>
      </w:r>
      <w:proofErr w:type="gramEnd"/>
      <w:r w:rsidRPr="00B92969">
        <w:rPr>
          <w:szCs w:val="21"/>
        </w:rPr>
        <w:t>J]. Review of Finance, 2014, 18</w:t>
      </w:r>
      <w:r w:rsidR="00365EC7" w:rsidRPr="00B92969">
        <w:rPr>
          <w:szCs w:val="21"/>
        </w:rPr>
        <w:t>(</w:t>
      </w:r>
      <w:r w:rsidRPr="00B92969">
        <w:rPr>
          <w:szCs w:val="21"/>
        </w:rPr>
        <w:t>3):921-960.</w:t>
      </w:r>
    </w:p>
    <w:p w14:paraId="17D663AF" w14:textId="458FD64B" w:rsidR="008A45B5" w:rsidRPr="00B92969" w:rsidRDefault="008A45B5" w:rsidP="00875991">
      <w:pPr>
        <w:pStyle w:val="a9"/>
        <w:numPr>
          <w:ilvl w:val="0"/>
          <w:numId w:val="2"/>
        </w:numPr>
        <w:rPr>
          <w:szCs w:val="21"/>
        </w:rPr>
      </w:pPr>
      <w:r w:rsidRPr="00B92969">
        <w:rPr>
          <w:szCs w:val="21"/>
        </w:rPr>
        <w:t>Cui H, Dai L, Zhang Y. Organization capital and corporate innovation: Evidence from China</w:t>
      </w:r>
      <w:r w:rsidR="006B2F45" w:rsidRPr="00B92969">
        <w:rPr>
          <w:szCs w:val="21"/>
        </w:rPr>
        <w:t>[J</w:t>
      </w:r>
      <w:r w:rsidRPr="00B92969">
        <w:rPr>
          <w:szCs w:val="21"/>
        </w:rPr>
        <w:t>]. Finance Research Letters, 2021, 43:101956.</w:t>
      </w:r>
    </w:p>
    <w:p w14:paraId="16BAE999" w14:textId="026B0D06" w:rsidR="008A45B5" w:rsidRPr="00B92969" w:rsidRDefault="008A45B5" w:rsidP="00875991">
      <w:pPr>
        <w:pStyle w:val="a9"/>
        <w:numPr>
          <w:ilvl w:val="0"/>
          <w:numId w:val="2"/>
        </w:numPr>
        <w:rPr>
          <w:szCs w:val="21"/>
        </w:rPr>
      </w:pPr>
      <w:proofErr w:type="spellStart"/>
      <w:r w:rsidRPr="00B92969">
        <w:rPr>
          <w:szCs w:val="21"/>
        </w:rPr>
        <w:t>Deshui</w:t>
      </w:r>
      <w:proofErr w:type="spellEnd"/>
      <w:r w:rsidRPr="00B92969">
        <w:rPr>
          <w:szCs w:val="21"/>
        </w:rPr>
        <w:t xml:space="preserve"> M, Guohua W, Akbar A, Usman M. Balancing act: D&amp;O liability insurance and ESG disclosure in the Chinese corporate landscape</w:t>
      </w:r>
      <w:r w:rsidR="006B2F45" w:rsidRPr="00B92969">
        <w:rPr>
          <w:szCs w:val="21"/>
        </w:rPr>
        <w:t>[J</w:t>
      </w:r>
      <w:r w:rsidRPr="00B92969">
        <w:rPr>
          <w:szCs w:val="21"/>
        </w:rPr>
        <w:t>]. Applied Economics, 2024</w:t>
      </w:r>
      <w:r w:rsidR="00365EC7" w:rsidRPr="00B92969">
        <w:rPr>
          <w:szCs w:val="21"/>
        </w:rPr>
        <w:t>(</w:t>
      </w:r>
      <w:r w:rsidRPr="00B92969">
        <w:rPr>
          <w:szCs w:val="21"/>
        </w:rPr>
        <w:t>11):1-16.</w:t>
      </w:r>
    </w:p>
    <w:p w14:paraId="1BA04ED4" w14:textId="14D4AFD2" w:rsidR="008A45B5" w:rsidRPr="00B92969" w:rsidRDefault="008A45B5" w:rsidP="00875991">
      <w:pPr>
        <w:pStyle w:val="a9"/>
        <w:numPr>
          <w:ilvl w:val="0"/>
          <w:numId w:val="2"/>
        </w:numPr>
        <w:rPr>
          <w:szCs w:val="21"/>
        </w:rPr>
      </w:pPr>
      <w:r w:rsidRPr="00B92969">
        <w:rPr>
          <w:szCs w:val="21"/>
        </w:rPr>
        <w:t>Eisfeldt A L, Papanikolaou D. Organization Capital and the Cross-Section of Expected Returns</w:t>
      </w:r>
      <w:r w:rsidR="006B2F45" w:rsidRPr="00B92969">
        <w:rPr>
          <w:szCs w:val="21"/>
        </w:rPr>
        <w:t>[J</w:t>
      </w:r>
      <w:r w:rsidRPr="00B92969">
        <w:rPr>
          <w:szCs w:val="21"/>
        </w:rPr>
        <w:t xml:space="preserve">]. </w:t>
      </w:r>
      <w:r w:rsidR="004D3DF3" w:rsidRPr="00B92969">
        <w:rPr>
          <w:rFonts w:hint="eastAsia"/>
          <w:szCs w:val="21"/>
        </w:rPr>
        <w:t xml:space="preserve">The </w:t>
      </w:r>
      <w:r w:rsidRPr="00B92969">
        <w:rPr>
          <w:szCs w:val="21"/>
        </w:rPr>
        <w:t>Journal of Finance, 2013, 68</w:t>
      </w:r>
      <w:r w:rsidR="00365EC7" w:rsidRPr="00B92969">
        <w:rPr>
          <w:szCs w:val="21"/>
        </w:rPr>
        <w:t>(</w:t>
      </w:r>
      <w:r w:rsidRPr="00B92969">
        <w:rPr>
          <w:szCs w:val="21"/>
        </w:rPr>
        <w:t>4):1365-1406.</w:t>
      </w:r>
    </w:p>
    <w:p w14:paraId="6FFCCFFD" w14:textId="7CA25606" w:rsidR="008A45B5" w:rsidRPr="00B92969" w:rsidRDefault="008A45B5" w:rsidP="00875991">
      <w:pPr>
        <w:pStyle w:val="a9"/>
        <w:numPr>
          <w:ilvl w:val="0"/>
          <w:numId w:val="2"/>
        </w:numPr>
        <w:rPr>
          <w:szCs w:val="21"/>
        </w:rPr>
      </w:pPr>
      <w:r w:rsidRPr="00B92969">
        <w:rPr>
          <w:szCs w:val="21"/>
        </w:rPr>
        <w:t>Ewens M, Peters R H, Wang S. Measuring intangible capital with market prices</w:t>
      </w:r>
      <w:r w:rsidR="006B2F45" w:rsidRPr="00B92969">
        <w:rPr>
          <w:szCs w:val="21"/>
        </w:rPr>
        <w:t>[J</w:t>
      </w:r>
      <w:r w:rsidRPr="00B92969">
        <w:rPr>
          <w:szCs w:val="21"/>
        </w:rPr>
        <w:t>]. Management Science, 2025, 71</w:t>
      </w:r>
      <w:r w:rsidR="00365EC7" w:rsidRPr="00B92969">
        <w:rPr>
          <w:szCs w:val="21"/>
        </w:rPr>
        <w:t>(</w:t>
      </w:r>
      <w:r w:rsidRPr="00B92969">
        <w:rPr>
          <w:szCs w:val="21"/>
        </w:rPr>
        <w:t>1):407-427.</w:t>
      </w:r>
    </w:p>
    <w:p w14:paraId="50C406DC" w14:textId="2D13885A" w:rsidR="008A45B5" w:rsidRPr="00B92969" w:rsidRDefault="008A45B5" w:rsidP="00875991">
      <w:pPr>
        <w:pStyle w:val="a9"/>
        <w:numPr>
          <w:ilvl w:val="0"/>
          <w:numId w:val="2"/>
        </w:numPr>
        <w:rPr>
          <w:szCs w:val="21"/>
        </w:rPr>
      </w:pPr>
      <w:r w:rsidRPr="00B92969">
        <w:rPr>
          <w:szCs w:val="21"/>
        </w:rPr>
        <w:t>Francis B, Mani S B, Sharma Z, et al. The impact of organization capital on firm innovation</w:t>
      </w:r>
      <w:r w:rsidR="006B2F45" w:rsidRPr="00B92969">
        <w:rPr>
          <w:szCs w:val="21"/>
        </w:rPr>
        <w:t>[J</w:t>
      </w:r>
      <w:r w:rsidRPr="00B92969">
        <w:rPr>
          <w:szCs w:val="21"/>
        </w:rPr>
        <w:t>]. Journal of Financial Stability, 2021, 53:100829.</w:t>
      </w:r>
    </w:p>
    <w:p w14:paraId="0B47F9C5" w14:textId="5C8AA901" w:rsidR="008A45B5" w:rsidRPr="00B92969" w:rsidRDefault="008A45B5" w:rsidP="00875991">
      <w:pPr>
        <w:pStyle w:val="a9"/>
        <w:numPr>
          <w:ilvl w:val="0"/>
          <w:numId w:val="2"/>
        </w:numPr>
        <w:rPr>
          <w:szCs w:val="21"/>
        </w:rPr>
      </w:pPr>
      <w:r w:rsidRPr="00B92969">
        <w:rPr>
          <w:szCs w:val="21"/>
        </w:rPr>
        <w:t>Francis B, Hasan I, Wu Q. Professors in the boardroom and their impact on corporate governance and firm performance</w:t>
      </w:r>
      <w:r w:rsidR="006B2F45" w:rsidRPr="00B92969">
        <w:rPr>
          <w:szCs w:val="21"/>
        </w:rPr>
        <w:t>[J</w:t>
      </w:r>
      <w:r w:rsidRPr="00B92969">
        <w:rPr>
          <w:szCs w:val="21"/>
        </w:rPr>
        <w:t>]. Financial management, 2015, 44</w:t>
      </w:r>
      <w:r w:rsidR="00365EC7" w:rsidRPr="00B92969">
        <w:rPr>
          <w:szCs w:val="21"/>
        </w:rPr>
        <w:t>(</w:t>
      </w:r>
      <w:r w:rsidRPr="00B92969">
        <w:rPr>
          <w:szCs w:val="21"/>
        </w:rPr>
        <w:t>3):547-581.</w:t>
      </w:r>
    </w:p>
    <w:p w14:paraId="6345B7DB" w14:textId="6BED2056" w:rsidR="008A45B5" w:rsidRPr="00B92969" w:rsidRDefault="008A45B5" w:rsidP="00875991">
      <w:pPr>
        <w:pStyle w:val="a9"/>
        <w:numPr>
          <w:ilvl w:val="0"/>
          <w:numId w:val="2"/>
        </w:numPr>
        <w:rPr>
          <w:szCs w:val="21"/>
        </w:rPr>
      </w:pPr>
      <w:r w:rsidRPr="00B92969">
        <w:rPr>
          <w:szCs w:val="21"/>
        </w:rPr>
        <w:t xml:space="preserve">Giroud X, Mueller H M. Does corporate governance matter in competitive </w:t>
      </w:r>
      <w:proofErr w:type="gramStart"/>
      <w:r w:rsidRPr="00B92969">
        <w:rPr>
          <w:szCs w:val="21"/>
        </w:rPr>
        <w:t>industries?[</w:t>
      </w:r>
      <w:proofErr w:type="gramEnd"/>
      <w:r w:rsidRPr="00B92969">
        <w:rPr>
          <w:szCs w:val="21"/>
        </w:rPr>
        <w:t xml:space="preserve">J]. Journal of </w:t>
      </w:r>
      <w:r w:rsidR="00C75E41" w:rsidRPr="00B92969">
        <w:rPr>
          <w:rFonts w:hint="eastAsia"/>
          <w:szCs w:val="21"/>
        </w:rPr>
        <w:t>F</w:t>
      </w:r>
      <w:r w:rsidRPr="00B92969">
        <w:rPr>
          <w:szCs w:val="21"/>
        </w:rPr>
        <w:t xml:space="preserve">inancial </w:t>
      </w:r>
      <w:r w:rsidR="00C75E41" w:rsidRPr="00B92969">
        <w:rPr>
          <w:rFonts w:hint="eastAsia"/>
          <w:szCs w:val="21"/>
        </w:rPr>
        <w:t>E</w:t>
      </w:r>
      <w:r w:rsidRPr="00B92969">
        <w:rPr>
          <w:szCs w:val="21"/>
        </w:rPr>
        <w:t>conomics, 2010, 95</w:t>
      </w:r>
      <w:r w:rsidR="00365EC7" w:rsidRPr="00B92969">
        <w:rPr>
          <w:szCs w:val="21"/>
        </w:rPr>
        <w:t>(</w:t>
      </w:r>
      <w:r w:rsidRPr="00B92969">
        <w:rPr>
          <w:szCs w:val="21"/>
        </w:rPr>
        <w:t>3):312-331.</w:t>
      </w:r>
    </w:p>
    <w:p w14:paraId="04AB3CBB" w14:textId="58DD4B6B" w:rsidR="008A45B5" w:rsidRPr="00B92969" w:rsidRDefault="008A45B5" w:rsidP="00875991">
      <w:pPr>
        <w:pStyle w:val="a9"/>
        <w:numPr>
          <w:ilvl w:val="0"/>
          <w:numId w:val="2"/>
        </w:numPr>
        <w:rPr>
          <w:szCs w:val="21"/>
        </w:rPr>
      </w:pPr>
      <w:r w:rsidRPr="00B92969">
        <w:rPr>
          <w:szCs w:val="21"/>
        </w:rPr>
        <w:t xml:space="preserve">Hasan M </w:t>
      </w:r>
      <w:proofErr w:type="spellStart"/>
      <w:r w:rsidRPr="00B92969">
        <w:rPr>
          <w:szCs w:val="21"/>
        </w:rPr>
        <w:t>M</w:t>
      </w:r>
      <w:proofErr w:type="spellEnd"/>
      <w:r w:rsidRPr="00B92969">
        <w:rPr>
          <w:szCs w:val="21"/>
        </w:rPr>
        <w:t>. Organization capital and firm life cycle</w:t>
      </w:r>
      <w:r w:rsidR="006B2F45" w:rsidRPr="00B92969">
        <w:rPr>
          <w:szCs w:val="21"/>
        </w:rPr>
        <w:t>[J</w:t>
      </w:r>
      <w:r w:rsidRPr="00B92969">
        <w:rPr>
          <w:szCs w:val="21"/>
        </w:rPr>
        <w:t xml:space="preserve">]. Journal of </w:t>
      </w:r>
      <w:r w:rsidR="00C75E41" w:rsidRPr="00B92969">
        <w:rPr>
          <w:rFonts w:hint="eastAsia"/>
          <w:szCs w:val="21"/>
        </w:rPr>
        <w:t>C</w:t>
      </w:r>
      <w:r w:rsidRPr="00B92969">
        <w:rPr>
          <w:szCs w:val="21"/>
        </w:rPr>
        <w:t xml:space="preserve">orporate </w:t>
      </w:r>
      <w:r w:rsidR="00C75E41" w:rsidRPr="00B92969">
        <w:rPr>
          <w:rFonts w:hint="eastAsia"/>
          <w:szCs w:val="21"/>
        </w:rPr>
        <w:t>F</w:t>
      </w:r>
      <w:r w:rsidRPr="00B92969">
        <w:rPr>
          <w:szCs w:val="21"/>
        </w:rPr>
        <w:t>inance, 2018, 48:556-578.</w:t>
      </w:r>
    </w:p>
    <w:p w14:paraId="38458230" w14:textId="4A091CBA" w:rsidR="008A45B5" w:rsidRPr="00B92969" w:rsidRDefault="008A45B5" w:rsidP="00875991">
      <w:pPr>
        <w:pStyle w:val="a9"/>
        <w:numPr>
          <w:ilvl w:val="0"/>
          <w:numId w:val="2"/>
        </w:numPr>
        <w:rPr>
          <w:szCs w:val="21"/>
        </w:rPr>
      </w:pPr>
      <w:r w:rsidRPr="00B92969">
        <w:rPr>
          <w:szCs w:val="21"/>
        </w:rPr>
        <w:t xml:space="preserve">Hasan M </w:t>
      </w:r>
      <w:proofErr w:type="spellStart"/>
      <w:r w:rsidRPr="00B92969">
        <w:rPr>
          <w:szCs w:val="21"/>
        </w:rPr>
        <w:t>M</w:t>
      </w:r>
      <w:proofErr w:type="spellEnd"/>
      <w:r w:rsidRPr="00B92969">
        <w:rPr>
          <w:szCs w:val="21"/>
        </w:rPr>
        <w:t>, Lobo G J, Qiu B. Organizational capital, corporate tax avoidance, and firm value</w:t>
      </w:r>
      <w:r w:rsidR="006B2F45" w:rsidRPr="00B92969">
        <w:rPr>
          <w:szCs w:val="21"/>
        </w:rPr>
        <w:t>[J</w:t>
      </w:r>
      <w:r w:rsidRPr="00B92969">
        <w:rPr>
          <w:szCs w:val="21"/>
        </w:rPr>
        <w:t>]. Journal of Corporate Finance, 2021, 70:102050.</w:t>
      </w:r>
    </w:p>
    <w:p w14:paraId="5DA04460" w14:textId="458983CA" w:rsidR="008A45B5" w:rsidRPr="00B92969" w:rsidRDefault="008A45B5" w:rsidP="00875991">
      <w:pPr>
        <w:pStyle w:val="a9"/>
        <w:numPr>
          <w:ilvl w:val="0"/>
          <w:numId w:val="2"/>
        </w:numPr>
        <w:rPr>
          <w:szCs w:val="21"/>
        </w:rPr>
      </w:pPr>
      <w:r w:rsidRPr="00B92969">
        <w:rPr>
          <w:szCs w:val="21"/>
        </w:rPr>
        <w:t xml:space="preserve">Hasan M </w:t>
      </w:r>
      <w:proofErr w:type="spellStart"/>
      <w:r w:rsidRPr="00B92969">
        <w:rPr>
          <w:szCs w:val="21"/>
        </w:rPr>
        <w:t>M</w:t>
      </w:r>
      <w:proofErr w:type="spellEnd"/>
      <w:r w:rsidRPr="00B92969">
        <w:rPr>
          <w:szCs w:val="21"/>
        </w:rPr>
        <w:t>, Uddin M R. Do intangibles matter for corporate policies? Evidence from organization capital and corporate payout choices</w:t>
      </w:r>
      <w:r w:rsidR="006B2F45" w:rsidRPr="00B92969">
        <w:rPr>
          <w:szCs w:val="21"/>
        </w:rPr>
        <w:t>[J</w:t>
      </w:r>
      <w:r w:rsidRPr="00B92969">
        <w:rPr>
          <w:szCs w:val="21"/>
        </w:rPr>
        <w:t>]. Journal of Banking &amp; Finance, 2022, 135.</w:t>
      </w:r>
    </w:p>
    <w:p w14:paraId="686C0804" w14:textId="63F60999" w:rsidR="008A45B5" w:rsidRPr="00B92969" w:rsidRDefault="008A45B5" w:rsidP="00875991">
      <w:pPr>
        <w:pStyle w:val="a9"/>
        <w:numPr>
          <w:ilvl w:val="0"/>
          <w:numId w:val="2"/>
        </w:numPr>
        <w:rPr>
          <w:szCs w:val="21"/>
        </w:rPr>
      </w:pPr>
      <w:r w:rsidRPr="00B92969">
        <w:rPr>
          <w:szCs w:val="21"/>
        </w:rPr>
        <w:t>Hu Y, Fang J. Peer effects in directors’ and officers’ liability insurance: Evidence from China</w:t>
      </w:r>
      <w:r w:rsidR="006B2F45" w:rsidRPr="00B92969">
        <w:rPr>
          <w:szCs w:val="21"/>
        </w:rPr>
        <w:t>[J</w:t>
      </w:r>
      <w:r w:rsidRPr="00B92969">
        <w:rPr>
          <w:szCs w:val="21"/>
        </w:rPr>
        <w:t xml:space="preserve">]. </w:t>
      </w:r>
      <w:r w:rsidRPr="00B92969">
        <w:rPr>
          <w:szCs w:val="21"/>
        </w:rPr>
        <w:lastRenderedPageBreak/>
        <w:t>Finance Research Letters, 2022</w:t>
      </w:r>
      <w:r w:rsidR="00365EC7" w:rsidRPr="00B92969">
        <w:rPr>
          <w:szCs w:val="21"/>
        </w:rPr>
        <w:t>(</w:t>
      </w:r>
      <w:r w:rsidRPr="00B92969">
        <w:rPr>
          <w:szCs w:val="21"/>
        </w:rPr>
        <w:t>47):102731.</w:t>
      </w:r>
    </w:p>
    <w:p w14:paraId="137C65EF" w14:textId="390090C1" w:rsidR="008A45B5" w:rsidRPr="00B92969" w:rsidRDefault="008A45B5" w:rsidP="00875991">
      <w:pPr>
        <w:pStyle w:val="a9"/>
        <w:numPr>
          <w:ilvl w:val="0"/>
          <w:numId w:val="2"/>
        </w:numPr>
        <w:rPr>
          <w:szCs w:val="21"/>
        </w:rPr>
      </w:pPr>
      <w:r w:rsidRPr="00B92969">
        <w:rPr>
          <w:szCs w:val="21"/>
        </w:rPr>
        <w:t>Jensen M C. Agency costs of free cash flow, corporate finance, and takeovers</w:t>
      </w:r>
      <w:r w:rsidR="006B2F45" w:rsidRPr="00B92969">
        <w:rPr>
          <w:szCs w:val="21"/>
        </w:rPr>
        <w:t>[J</w:t>
      </w:r>
      <w:r w:rsidRPr="00B92969">
        <w:rPr>
          <w:szCs w:val="21"/>
        </w:rPr>
        <w:t xml:space="preserve">]. The American </w:t>
      </w:r>
      <w:r w:rsidR="00C75E41" w:rsidRPr="00B92969">
        <w:rPr>
          <w:rFonts w:hint="eastAsia"/>
          <w:szCs w:val="21"/>
        </w:rPr>
        <w:t>E</w:t>
      </w:r>
      <w:r w:rsidRPr="00B92969">
        <w:rPr>
          <w:szCs w:val="21"/>
        </w:rPr>
        <w:t xml:space="preserve">conomic </w:t>
      </w:r>
      <w:r w:rsidR="00C75E41" w:rsidRPr="00B92969">
        <w:rPr>
          <w:rFonts w:hint="eastAsia"/>
          <w:szCs w:val="21"/>
        </w:rPr>
        <w:t>R</w:t>
      </w:r>
      <w:r w:rsidRPr="00B92969">
        <w:rPr>
          <w:szCs w:val="21"/>
        </w:rPr>
        <w:t>eview, 1986, 76</w:t>
      </w:r>
      <w:r w:rsidR="00365EC7" w:rsidRPr="00B92969">
        <w:rPr>
          <w:szCs w:val="21"/>
        </w:rPr>
        <w:t>(</w:t>
      </w:r>
      <w:r w:rsidRPr="00B92969">
        <w:rPr>
          <w:szCs w:val="21"/>
        </w:rPr>
        <w:t>2):323-329.</w:t>
      </w:r>
    </w:p>
    <w:p w14:paraId="3AD11826" w14:textId="254133A0" w:rsidR="00551A94" w:rsidRPr="00B92969" w:rsidRDefault="00551A94" w:rsidP="00875991">
      <w:pPr>
        <w:pStyle w:val="a9"/>
        <w:numPr>
          <w:ilvl w:val="0"/>
          <w:numId w:val="2"/>
        </w:numPr>
        <w:rPr>
          <w:szCs w:val="21"/>
        </w:rPr>
      </w:pPr>
      <w:r w:rsidRPr="00B92969">
        <w:rPr>
          <w:szCs w:val="21"/>
        </w:rPr>
        <w:t>Jensen M C, Meckling W H. Theory of the firm: Managerial behavior, agency costs and ownership structure[M]</w:t>
      </w:r>
      <w:r w:rsidRPr="00B92969">
        <w:rPr>
          <w:rFonts w:hint="eastAsia"/>
          <w:szCs w:val="21"/>
        </w:rPr>
        <w:t xml:space="preserve">. </w:t>
      </w:r>
      <w:r w:rsidRPr="00B92969">
        <w:rPr>
          <w:szCs w:val="21"/>
        </w:rPr>
        <w:t>Corporate governance. Gower, 1976, 3(4): 305-360.</w:t>
      </w:r>
    </w:p>
    <w:p w14:paraId="30E2563C" w14:textId="0C2E2A3B" w:rsidR="008A45B5" w:rsidRPr="00B92969" w:rsidRDefault="008A45B5" w:rsidP="00875991">
      <w:pPr>
        <w:pStyle w:val="a9"/>
        <w:numPr>
          <w:ilvl w:val="0"/>
          <w:numId w:val="2"/>
        </w:numPr>
        <w:rPr>
          <w:szCs w:val="21"/>
        </w:rPr>
      </w:pPr>
      <w:r w:rsidRPr="00B92969">
        <w:rPr>
          <w:szCs w:val="21"/>
        </w:rPr>
        <w:t>Jia N, Tang X. Directors’ and officers’ liability insurance, independent director behavior, and governance effect</w:t>
      </w:r>
      <w:r w:rsidR="006B2F45" w:rsidRPr="00B92969">
        <w:rPr>
          <w:szCs w:val="21"/>
        </w:rPr>
        <w:t>[J</w:t>
      </w:r>
      <w:r w:rsidRPr="00B92969">
        <w:rPr>
          <w:szCs w:val="21"/>
        </w:rPr>
        <w:t>]. Journal of Risk and Insurance, 2018, 85</w:t>
      </w:r>
      <w:r w:rsidR="00365EC7" w:rsidRPr="00B92969">
        <w:rPr>
          <w:szCs w:val="21"/>
        </w:rPr>
        <w:t>(</w:t>
      </w:r>
      <w:r w:rsidRPr="00B92969">
        <w:rPr>
          <w:szCs w:val="21"/>
        </w:rPr>
        <w:t>4):1013-1054.</w:t>
      </w:r>
    </w:p>
    <w:p w14:paraId="761318DB" w14:textId="701CA04E" w:rsidR="008A45B5" w:rsidRPr="00B92969" w:rsidRDefault="008A45B5" w:rsidP="00875991">
      <w:pPr>
        <w:pStyle w:val="a9"/>
        <w:numPr>
          <w:ilvl w:val="0"/>
          <w:numId w:val="2"/>
        </w:numPr>
        <w:rPr>
          <w:szCs w:val="21"/>
        </w:rPr>
      </w:pPr>
      <w:r w:rsidRPr="00B92969">
        <w:rPr>
          <w:szCs w:val="21"/>
        </w:rPr>
        <w:t>Jia N, Mao X, Yuan R. Political connections and directors' and officers' liability insurance – Evidence from China</w:t>
      </w:r>
      <w:r w:rsidR="006B2F45" w:rsidRPr="00B92969">
        <w:rPr>
          <w:szCs w:val="21"/>
        </w:rPr>
        <w:t>[J</w:t>
      </w:r>
      <w:r w:rsidRPr="00B92969">
        <w:rPr>
          <w:szCs w:val="21"/>
        </w:rPr>
        <w:t>]. Journal of Corporate Finance, 2019, 58.</w:t>
      </w:r>
    </w:p>
    <w:p w14:paraId="55AD7A53" w14:textId="3222A412" w:rsidR="008A45B5" w:rsidRPr="00B92969" w:rsidRDefault="008A45B5" w:rsidP="00875991">
      <w:pPr>
        <w:pStyle w:val="a9"/>
        <w:numPr>
          <w:ilvl w:val="0"/>
          <w:numId w:val="2"/>
        </w:numPr>
        <w:rPr>
          <w:szCs w:val="21"/>
        </w:rPr>
      </w:pPr>
      <w:r w:rsidRPr="00B92969">
        <w:rPr>
          <w:szCs w:val="21"/>
        </w:rPr>
        <w:t>Johnson S, La Porta R, Lopez-de-Silanes F, et al. Tunneling</w:t>
      </w:r>
      <w:r w:rsidR="006B2F45" w:rsidRPr="00B92969">
        <w:rPr>
          <w:szCs w:val="21"/>
        </w:rPr>
        <w:t>[J</w:t>
      </w:r>
      <w:r w:rsidRPr="00B92969">
        <w:rPr>
          <w:szCs w:val="21"/>
        </w:rPr>
        <w:t xml:space="preserve">]. </w:t>
      </w:r>
      <w:r w:rsidR="00C75E41" w:rsidRPr="00B92969">
        <w:rPr>
          <w:szCs w:val="21"/>
        </w:rPr>
        <w:t xml:space="preserve">The American </w:t>
      </w:r>
      <w:r w:rsidR="00C75E41" w:rsidRPr="00B92969">
        <w:rPr>
          <w:rFonts w:hint="eastAsia"/>
          <w:szCs w:val="21"/>
        </w:rPr>
        <w:t>E</w:t>
      </w:r>
      <w:r w:rsidR="00C75E41" w:rsidRPr="00B92969">
        <w:rPr>
          <w:szCs w:val="21"/>
        </w:rPr>
        <w:t xml:space="preserve">conomic </w:t>
      </w:r>
      <w:r w:rsidR="00C75E41" w:rsidRPr="00B92969">
        <w:rPr>
          <w:rFonts w:hint="eastAsia"/>
          <w:szCs w:val="21"/>
        </w:rPr>
        <w:t>R</w:t>
      </w:r>
      <w:r w:rsidR="00C75E41" w:rsidRPr="00B92969">
        <w:rPr>
          <w:szCs w:val="21"/>
        </w:rPr>
        <w:t>eview</w:t>
      </w:r>
      <w:r w:rsidRPr="00B92969">
        <w:rPr>
          <w:szCs w:val="21"/>
        </w:rPr>
        <w:t>, 2000, 90</w:t>
      </w:r>
      <w:r w:rsidR="00365EC7" w:rsidRPr="00B92969">
        <w:rPr>
          <w:szCs w:val="21"/>
        </w:rPr>
        <w:t>(</w:t>
      </w:r>
      <w:r w:rsidRPr="00B92969">
        <w:rPr>
          <w:szCs w:val="21"/>
        </w:rPr>
        <w:t>2):22-27.</w:t>
      </w:r>
    </w:p>
    <w:p w14:paraId="7B3AAA39" w14:textId="33FF89CB" w:rsidR="008A45B5" w:rsidRPr="00B92969" w:rsidRDefault="008A45B5" w:rsidP="00875991">
      <w:pPr>
        <w:pStyle w:val="a9"/>
        <w:numPr>
          <w:ilvl w:val="0"/>
          <w:numId w:val="2"/>
        </w:numPr>
        <w:rPr>
          <w:szCs w:val="21"/>
        </w:rPr>
      </w:pPr>
      <w:r w:rsidRPr="00B92969">
        <w:rPr>
          <w:szCs w:val="21"/>
        </w:rPr>
        <w:t>Kim J B, Zhang L. Financial reporting opacity and expected crash risk: Evidence from implied volatility smirks</w:t>
      </w:r>
      <w:r w:rsidR="006B2F45" w:rsidRPr="00B92969">
        <w:rPr>
          <w:szCs w:val="21"/>
        </w:rPr>
        <w:t>[J</w:t>
      </w:r>
      <w:r w:rsidRPr="00B92969">
        <w:rPr>
          <w:szCs w:val="21"/>
        </w:rPr>
        <w:t>]. Contemporary Accounting Research, 2014, 31</w:t>
      </w:r>
      <w:r w:rsidR="00365EC7" w:rsidRPr="00B92969">
        <w:rPr>
          <w:szCs w:val="21"/>
        </w:rPr>
        <w:t>(</w:t>
      </w:r>
      <w:r w:rsidRPr="00B92969">
        <w:rPr>
          <w:szCs w:val="21"/>
        </w:rPr>
        <w:t>3):851-875.</w:t>
      </w:r>
    </w:p>
    <w:p w14:paraId="2E55186F" w14:textId="2CE42DD5" w:rsidR="00C756F7" w:rsidRPr="00B92969" w:rsidRDefault="00C756F7" w:rsidP="00875991">
      <w:pPr>
        <w:pStyle w:val="a9"/>
        <w:numPr>
          <w:ilvl w:val="0"/>
          <w:numId w:val="2"/>
        </w:numPr>
        <w:rPr>
          <w:szCs w:val="21"/>
        </w:rPr>
      </w:pPr>
      <w:r w:rsidRPr="00B92969">
        <w:rPr>
          <w:szCs w:val="21"/>
        </w:rPr>
        <w:t>Kim H D, Park K, Song K R. Organization capital and analysts’ forecasts[J]. International Review of Economics &amp; Finance, 2021, 71: 762-778.</w:t>
      </w:r>
    </w:p>
    <w:p w14:paraId="19600E27" w14:textId="14E31AE9" w:rsidR="002701FA" w:rsidRPr="00B92969" w:rsidRDefault="002701FA" w:rsidP="00875991">
      <w:pPr>
        <w:pStyle w:val="a9"/>
        <w:numPr>
          <w:ilvl w:val="0"/>
          <w:numId w:val="2"/>
        </w:numPr>
        <w:rPr>
          <w:szCs w:val="21"/>
        </w:rPr>
      </w:pPr>
      <w:r w:rsidRPr="00B92969">
        <w:rPr>
          <w:szCs w:val="21"/>
        </w:rPr>
        <w:t>Kong</w:t>
      </w:r>
      <w:r w:rsidRPr="00B92969">
        <w:rPr>
          <w:rFonts w:hint="eastAsia"/>
          <w:szCs w:val="21"/>
        </w:rPr>
        <w:t xml:space="preserve"> </w:t>
      </w:r>
      <w:r w:rsidRPr="00B92969">
        <w:rPr>
          <w:szCs w:val="21"/>
        </w:rPr>
        <w:t>X, Xu</w:t>
      </w:r>
      <w:r w:rsidRPr="00B92969">
        <w:rPr>
          <w:rFonts w:hint="eastAsia"/>
          <w:szCs w:val="21"/>
        </w:rPr>
        <w:t xml:space="preserve"> </w:t>
      </w:r>
      <w:r w:rsidRPr="00B92969">
        <w:rPr>
          <w:szCs w:val="21"/>
        </w:rPr>
        <w:t>S, Liu</w:t>
      </w:r>
      <w:r w:rsidRPr="00B92969">
        <w:rPr>
          <w:rFonts w:hint="eastAsia"/>
          <w:szCs w:val="21"/>
        </w:rPr>
        <w:t xml:space="preserve"> </w:t>
      </w:r>
      <w:r w:rsidRPr="00B92969">
        <w:rPr>
          <w:szCs w:val="21"/>
        </w:rPr>
        <w:t>M</w:t>
      </w:r>
      <w:r w:rsidRPr="00B92969">
        <w:rPr>
          <w:rFonts w:hint="eastAsia"/>
          <w:szCs w:val="21"/>
        </w:rPr>
        <w:t xml:space="preserve"> </w:t>
      </w:r>
      <w:r w:rsidRPr="00B92969">
        <w:rPr>
          <w:szCs w:val="21"/>
        </w:rPr>
        <w:t>Y,</w:t>
      </w:r>
      <w:r w:rsidRPr="00B92969">
        <w:rPr>
          <w:rFonts w:hint="eastAsia"/>
          <w:szCs w:val="21"/>
        </w:rPr>
        <w:t xml:space="preserve"> </w:t>
      </w:r>
      <w:r w:rsidRPr="00B92969">
        <w:rPr>
          <w:szCs w:val="21"/>
        </w:rPr>
        <w:t>Ho</w:t>
      </w:r>
      <w:r w:rsidRPr="00B92969">
        <w:rPr>
          <w:rFonts w:hint="eastAsia"/>
          <w:szCs w:val="21"/>
        </w:rPr>
        <w:t xml:space="preserve"> </w:t>
      </w:r>
      <w:r w:rsidRPr="00B92969">
        <w:rPr>
          <w:szCs w:val="21"/>
        </w:rPr>
        <w:t>K</w:t>
      </w:r>
      <w:r w:rsidRPr="00B92969">
        <w:rPr>
          <w:rFonts w:hint="eastAsia"/>
          <w:szCs w:val="21"/>
        </w:rPr>
        <w:t xml:space="preserve"> </w:t>
      </w:r>
      <w:r w:rsidRPr="00B92969">
        <w:rPr>
          <w:szCs w:val="21"/>
        </w:rPr>
        <w:t>C. Confucianism and D&amp;O insurance demand of Chinese listed companies</w:t>
      </w:r>
      <w:r w:rsidR="006B2F45" w:rsidRPr="00B92969">
        <w:rPr>
          <w:rFonts w:hint="eastAsia"/>
          <w:szCs w:val="21"/>
        </w:rPr>
        <w:t>[J</w:t>
      </w:r>
      <w:r w:rsidRPr="00B92969">
        <w:rPr>
          <w:rFonts w:hint="eastAsia"/>
          <w:szCs w:val="21"/>
        </w:rPr>
        <w:t xml:space="preserve">]. </w:t>
      </w:r>
      <w:r w:rsidRPr="00B92969">
        <w:rPr>
          <w:szCs w:val="21"/>
        </w:rPr>
        <w:t>Pacific-Basin Finance Journal</w:t>
      </w:r>
      <w:r w:rsidRPr="00B92969">
        <w:rPr>
          <w:rFonts w:hint="eastAsia"/>
          <w:szCs w:val="21"/>
        </w:rPr>
        <w:t>, 2023, 79.</w:t>
      </w:r>
    </w:p>
    <w:p w14:paraId="0CC82488" w14:textId="09D0266C" w:rsidR="008A45B5" w:rsidRPr="00B92969" w:rsidRDefault="008A45B5" w:rsidP="00875991">
      <w:pPr>
        <w:pStyle w:val="a9"/>
        <w:numPr>
          <w:ilvl w:val="0"/>
          <w:numId w:val="2"/>
        </w:numPr>
        <w:rPr>
          <w:szCs w:val="21"/>
        </w:rPr>
      </w:pPr>
      <w:r w:rsidRPr="00B92969">
        <w:rPr>
          <w:rFonts w:hint="eastAsia"/>
          <w:szCs w:val="21"/>
        </w:rPr>
        <w:t>La Porta R, Lopez</w:t>
      </w:r>
      <w:r w:rsidRPr="00B92969">
        <w:rPr>
          <w:rFonts w:hint="eastAsia"/>
          <w:szCs w:val="21"/>
        </w:rPr>
        <w:t>‐</w:t>
      </w:r>
      <w:r w:rsidRPr="00B92969">
        <w:rPr>
          <w:rFonts w:hint="eastAsia"/>
          <w:szCs w:val="21"/>
        </w:rPr>
        <w:t>de</w:t>
      </w:r>
      <w:r w:rsidRPr="00B92969">
        <w:rPr>
          <w:rFonts w:hint="eastAsia"/>
          <w:szCs w:val="21"/>
        </w:rPr>
        <w:t>‐</w:t>
      </w:r>
      <w:r w:rsidRPr="00B92969">
        <w:rPr>
          <w:rFonts w:hint="eastAsia"/>
          <w:szCs w:val="21"/>
        </w:rPr>
        <w:t>Silanes F, Shleifer A. Corporate ownership around the world</w:t>
      </w:r>
      <w:r w:rsidR="006B2F45" w:rsidRPr="00B92969">
        <w:rPr>
          <w:rFonts w:hint="eastAsia"/>
          <w:szCs w:val="21"/>
        </w:rPr>
        <w:t>[J</w:t>
      </w:r>
      <w:r w:rsidRPr="00B92969">
        <w:rPr>
          <w:rFonts w:hint="eastAsia"/>
          <w:szCs w:val="21"/>
        </w:rPr>
        <w:t xml:space="preserve">]. The </w:t>
      </w:r>
      <w:r w:rsidR="004D3DF3" w:rsidRPr="00B92969">
        <w:rPr>
          <w:rFonts w:hint="eastAsia"/>
          <w:szCs w:val="21"/>
        </w:rPr>
        <w:t>J</w:t>
      </w:r>
      <w:r w:rsidRPr="00B92969">
        <w:rPr>
          <w:rFonts w:hint="eastAsia"/>
          <w:szCs w:val="21"/>
        </w:rPr>
        <w:t xml:space="preserve">ournal of </w:t>
      </w:r>
      <w:r w:rsidR="00C75E41" w:rsidRPr="00B92969">
        <w:rPr>
          <w:rFonts w:hint="eastAsia"/>
          <w:szCs w:val="21"/>
        </w:rPr>
        <w:t>F</w:t>
      </w:r>
      <w:r w:rsidRPr="00B92969">
        <w:rPr>
          <w:rFonts w:hint="eastAsia"/>
          <w:szCs w:val="21"/>
        </w:rPr>
        <w:t>inance, 1999, 54</w:t>
      </w:r>
      <w:r w:rsidR="00365EC7" w:rsidRPr="00B92969">
        <w:rPr>
          <w:rFonts w:hint="eastAsia"/>
          <w:szCs w:val="21"/>
        </w:rPr>
        <w:t>(</w:t>
      </w:r>
      <w:r w:rsidRPr="00B92969">
        <w:rPr>
          <w:rFonts w:hint="eastAsia"/>
          <w:szCs w:val="21"/>
        </w:rPr>
        <w:t>2):471-517.</w:t>
      </w:r>
    </w:p>
    <w:p w14:paraId="752E3E15" w14:textId="16951385" w:rsidR="008A45B5" w:rsidRPr="00B92969" w:rsidRDefault="008A45B5" w:rsidP="00875991">
      <w:pPr>
        <w:pStyle w:val="a9"/>
        <w:numPr>
          <w:ilvl w:val="0"/>
          <w:numId w:val="2"/>
        </w:numPr>
        <w:rPr>
          <w:szCs w:val="21"/>
        </w:rPr>
      </w:pPr>
      <w:r w:rsidRPr="00B92969">
        <w:rPr>
          <w:szCs w:val="21"/>
        </w:rPr>
        <w:t>Leung W S, Mazouz K, O'Sullivan J, et al. Organization capital, labor market flexibility, and stock returns around the world</w:t>
      </w:r>
      <w:r w:rsidR="006B2F45" w:rsidRPr="00B92969">
        <w:rPr>
          <w:szCs w:val="21"/>
        </w:rPr>
        <w:t>[J</w:t>
      </w:r>
      <w:r w:rsidRPr="00B92969">
        <w:rPr>
          <w:szCs w:val="21"/>
        </w:rPr>
        <w:t>]. Journal of Banking &amp; Finance, 2018, 89</w:t>
      </w:r>
      <w:r w:rsidR="00365EC7" w:rsidRPr="00B92969">
        <w:rPr>
          <w:szCs w:val="21"/>
        </w:rPr>
        <w:t>(</w:t>
      </w:r>
      <w:r w:rsidRPr="00B92969">
        <w:rPr>
          <w:szCs w:val="21"/>
        </w:rPr>
        <w:t>APR.):150-168.</w:t>
      </w:r>
    </w:p>
    <w:p w14:paraId="0A10B32E" w14:textId="3349B9BC" w:rsidR="008A45B5" w:rsidRPr="00B92969" w:rsidRDefault="008A45B5" w:rsidP="00875991">
      <w:pPr>
        <w:pStyle w:val="a9"/>
        <w:numPr>
          <w:ilvl w:val="0"/>
          <w:numId w:val="2"/>
        </w:numPr>
        <w:rPr>
          <w:szCs w:val="21"/>
        </w:rPr>
      </w:pPr>
      <w:r w:rsidRPr="00B92969">
        <w:rPr>
          <w:szCs w:val="21"/>
        </w:rPr>
        <w:t>Lev B, Radhakrishnan S. The Valuation of Organization Capital[M]. In Measuring Capital in the New Economy, University of Chicago Press, Chicago, 2005.</w:t>
      </w:r>
    </w:p>
    <w:p w14:paraId="473A94BD" w14:textId="3311CB32" w:rsidR="00026DC9" w:rsidRPr="00B92969" w:rsidRDefault="00026DC9" w:rsidP="00875991">
      <w:pPr>
        <w:pStyle w:val="a9"/>
        <w:numPr>
          <w:ilvl w:val="0"/>
          <w:numId w:val="2"/>
        </w:numPr>
        <w:rPr>
          <w:szCs w:val="21"/>
        </w:rPr>
      </w:pPr>
      <w:r w:rsidRPr="00B92969">
        <w:rPr>
          <w:szCs w:val="21"/>
        </w:rPr>
        <w:t>Li</w:t>
      </w:r>
      <w:r w:rsidRPr="00B92969">
        <w:rPr>
          <w:rFonts w:hint="eastAsia"/>
          <w:szCs w:val="21"/>
        </w:rPr>
        <w:t xml:space="preserve"> </w:t>
      </w:r>
      <w:r w:rsidRPr="00B92969">
        <w:rPr>
          <w:szCs w:val="21"/>
        </w:rPr>
        <w:t>T</w:t>
      </w:r>
      <w:r w:rsidRPr="00B92969">
        <w:rPr>
          <w:rFonts w:hint="eastAsia"/>
          <w:szCs w:val="21"/>
        </w:rPr>
        <w:t xml:space="preserve"> S</w:t>
      </w:r>
      <w:r w:rsidRPr="00B92969">
        <w:rPr>
          <w:szCs w:val="21"/>
        </w:rPr>
        <w:t>, Yang</w:t>
      </w:r>
      <w:r w:rsidRPr="00B92969">
        <w:rPr>
          <w:rFonts w:hint="eastAsia"/>
          <w:szCs w:val="21"/>
        </w:rPr>
        <w:t xml:space="preserve"> </w:t>
      </w:r>
      <w:r w:rsidRPr="00B92969">
        <w:rPr>
          <w:szCs w:val="21"/>
        </w:rPr>
        <w:t>T,</w:t>
      </w:r>
      <w:r w:rsidRPr="00B92969">
        <w:rPr>
          <w:rFonts w:hint="eastAsia"/>
          <w:szCs w:val="21"/>
        </w:rPr>
        <w:t xml:space="preserve"> </w:t>
      </w:r>
      <w:r w:rsidRPr="00B92969">
        <w:rPr>
          <w:szCs w:val="21"/>
        </w:rPr>
        <w:t>Zhu</w:t>
      </w:r>
      <w:r w:rsidRPr="00B92969">
        <w:rPr>
          <w:rFonts w:hint="eastAsia"/>
          <w:szCs w:val="21"/>
        </w:rPr>
        <w:t xml:space="preserve"> </w:t>
      </w:r>
      <w:r w:rsidRPr="00B92969">
        <w:rPr>
          <w:szCs w:val="21"/>
        </w:rPr>
        <w:t>J</w:t>
      </w:r>
      <w:r w:rsidRPr="00B92969">
        <w:rPr>
          <w:rFonts w:hint="eastAsia"/>
          <w:szCs w:val="21"/>
        </w:rPr>
        <w:t xml:space="preserve"> G</w:t>
      </w:r>
      <w:r w:rsidRPr="00B92969">
        <w:rPr>
          <w:szCs w:val="21"/>
        </w:rPr>
        <w:t>. Directors’ and officers’ liability insurance: Evidence from independent directors’ voting</w:t>
      </w:r>
      <w:r w:rsidR="006B2F45" w:rsidRPr="00B92969">
        <w:rPr>
          <w:szCs w:val="21"/>
        </w:rPr>
        <w:t>[J</w:t>
      </w:r>
      <w:r w:rsidRPr="00B92969">
        <w:rPr>
          <w:szCs w:val="21"/>
        </w:rPr>
        <w:t>]. Journal of Banking &amp; Finance, 2022, 138: 106425.</w:t>
      </w:r>
    </w:p>
    <w:p w14:paraId="2E17E7AE" w14:textId="77777777" w:rsidR="00BE3715" w:rsidRPr="00B92969" w:rsidRDefault="00BE3715" w:rsidP="00875991">
      <w:pPr>
        <w:pStyle w:val="a9"/>
        <w:numPr>
          <w:ilvl w:val="0"/>
          <w:numId w:val="2"/>
        </w:numPr>
        <w:rPr>
          <w:szCs w:val="21"/>
        </w:rPr>
      </w:pPr>
      <w:r w:rsidRPr="00B92969">
        <w:rPr>
          <w:szCs w:val="21"/>
        </w:rPr>
        <w:t>Li K, Qiu B, Shen R. Organization capital and mergers and acquisitions[J]. Journal of Financial and Quantitative Analysis, 2018, 53(4): 1871-1909.</w:t>
      </w:r>
    </w:p>
    <w:p w14:paraId="3DB68F74" w14:textId="450FE4A4" w:rsidR="008A45B5" w:rsidRPr="00B92969" w:rsidRDefault="008A45B5" w:rsidP="00875991">
      <w:pPr>
        <w:pStyle w:val="a9"/>
        <w:numPr>
          <w:ilvl w:val="0"/>
          <w:numId w:val="2"/>
        </w:numPr>
        <w:rPr>
          <w:szCs w:val="21"/>
        </w:rPr>
      </w:pPr>
      <w:r w:rsidRPr="00B92969">
        <w:rPr>
          <w:szCs w:val="21"/>
        </w:rPr>
        <w:t>Lin C, Officer M S, Zou H. Directors' and officers' liability insurance and acquisition outcomes</w:t>
      </w:r>
      <w:r w:rsidR="006B2F45" w:rsidRPr="00B92969">
        <w:rPr>
          <w:szCs w:val="21"/>
        </w:rPr>
        <w:t>[J</w:t>
      </w:r>
      <w:r w:rsidRPr="00B92969">
        <w:rPr>
          <w:szCs w:val="21"/>
        </w:rPr>
        <w:t>]. Journal of Financial Economics, 2011, 102</w:t>
      </w:r>
      <w:r w:rsidR="00365EC7" w:rsidRPr="00B92969">
        <w:rPr>
          <w:szCs w:val="21"/>
        </w:rPr>
        <w:t>(</w:t>
      </w:r>
      <w:r w:rsidRPr="00B92969">
        <w:rPr>
          <w:szCs w:val="21"/>
        </w:rPr>
        <w:t>3):507-525.</w:t>
      </w:r>
    </w:p>
    <w:p w14:paraId="74F9D088" w14:textId="3CEFC969" w:rsidR="007B3315" w:rsidRPr="00B92969" w:rsidRDefault="007B3315" w:rsidP="00875991">
      <w:pPr>
        <w:pStyle w:val="a9"/>
        <w:numPr>
          <w:ilvl w:val="0"/>
          <w:numId w:val="2"/>
        </w:numPr>
        <w:rPr>
          <w:szCs w:val="21"/>
        </w:rPr>
      </w:pPr>
      <w:r w:rsidRPr="00B92969">
        <w:rPr>
          <w:szCs w:val="21"/>
        </w:rPr>
        <w:t>Light</w:t>
      </w:r>
      <w:r w:rsidRPr="00B92969">
        <w:rPr>
          <w:rFonts w:hint="eastAsia"/>
          <w:szCs w:val="21"/>
        </w:rPr>
        <w:t xml:space="preserve"> A</w:t>
      </w:r>
      <w:r w:rsidRPr="00B92969">
        <w:rPr>
          <w:szCs w:val="21"/>
        </w:rPr>
        <w:t>,</w:t>
      </w:r>
      <w:r w:rsidRPr="00B92969">
        <w:rPr>
          <w:rFonts w:hint="eastAsia"/>
          <w:szCs w:val="21"/>
        </w:rPr>
        <w:t xml:space="preserve"> </w:t>
      </w:r>
      <w:r w:rsidRPr="00B92969">
        <w:rPr>
          <w:szCs w:val="21"/>
        </w:rPr>
        <w:t>Omori</w:t>
      </w:r>
      <w:r w:rsidRPr="00B92969">
        <w:rPr>
          <w:rFonts w:hint="eastAsia"/>
          <w:szCs w:val="21"/>
        </w:rPr>
        <w:t xml:space="preserve"> </w:t>
      </w:r>
      <w:r w:rsidRPr="00B92969">
        <w:rPr>
          <w:szCs w:val="21"/>
        </w:rPr>
        <w:t>Y. Unemployment insurance and job quits</w:t>
      </w:r>
      <w:r w:rsidRPr="00B92969">
        <w:rPr>
          <w:rFonts w:hint="eastAsia"/>
          <w:szCs w:val="21"/>
        </w:rPr>
        <w:t>[J].</w:t>
      </w:r>
      <w:r w:rsidRPr="00B92969">
        <w:rPr>
          <w:szCs w:val="21"/>
        </w:rPr>
        <w:t xml:space="preserve"> Journal of Labor Economics</w:t>
      </w:r>
      <w:r w:rsidRPr="00B92969">
        <w:rPr>
          <w:rFonts w:hint="eastAsia"/>
          <w:szCs w:val="21"/>
        </w:rPr>
        <w:t>, 2004, 22(1):159-188.</w:t>
      </w:r>
    </w:p>
    <w:p w14:paraId="1FAA2145" w14:textId="43B092E0" w:rsidR="008A45B5" w:rsidRPr="00B92969" w:rsidRDefault="008A45B5" w:rsidP="00875991">
      <w:pPr>
        <w:pStyle w:val="a9"/>
        <w:numPr>
          <w:ilvl w:val="0"/>
          <w:numId w:val="2"/>
        </w:numPr>
        <w:rPr>
          <w:szCs w:val="21"/>
        </w:rPr>
      </w:pPr>
      <w:r w:rsidRPr="00B92969">
        <w:rPr>
          <w:szCs w:val="21"/>
        </w:rPr>
        <w:t>Mankiw N G, Romer D, Weil D N. A contribution to the empirics of economic growth</w:t>
      </w:r>
      <w:r w:rsidR="006B2F45" w:rsidRPr="00B92969">
        <w:rPr>
          <w:szCs w:val="21"/>
        </w:rPr>
        <w:t>[J</w:t>
      </w:r>
      <w:r w:rsidRPr="00B92969">
        <w:rPr>
          <w:szCs w:val="21"/>
        </w:rPr>
        <w:t xml:space="preserve">]. </w:t>
      </w:r>
      <w:r w:rsidR="00C75E41" w:rsidRPr="00B92969">
        <w:rPr>
          <w:szCs w:val="21"/>
        </w:rPr>
        <w:t xml:space="preserve">The </w:t>
      </w:r>
      <w:r w:rsidR="00C75E41" w:rsidRPr="00B92969">
        <w:rPr>
          <w:rFonts w:hint="eastAsia"/>
          <w:szCs w:val="21"/>
        </w:rPr>
        <w:t>Q</w:t>
      </w:r>
      <w:r w:rsidR="00C75E41" w:rsidRPr="00B92969">
        <w:rPr>
          <w:szCs w:val="21"/>
        </w:rPr>
        <w:t xml:space="preserve">uarterly </w:t>
      </w:r>
      <w:r w:rsidR="00C75E41" w:rsidRPr="00B92969">
        <w:rPr>
          <w:rFonts w:hint="eastAsia"/>
          <w:szCs w:val="21"/>
        </w:rPr>
        <w:t>J</w:t>
      </w:r>
      <w:r w:rsidR="00C75E41" w:rsidRPr="00B92969">
        <w:rPr>
          <w:szCs w:val="21"/>
        </w:rPr>
        <w:t>ournal of Economics</w:t>
      </w:r>
      <w:r w:rsidRPr="00B92969">
        <w:rPr>
          <w:szCs w:val="21"/>
        </w:rPr>
        <w:t>, 1992, 107</w:t>
      </w:r>
      <w:r w:rsidR="00365EC7" w:rsidRPr="00B92969">
        <w:rPr>
          <w:szCs w:val="21"/>
        </w:rPr>
        <w:t>(</w:t>
      </w:r>
      <w:r w:rsidRPr="00B92969">
        <w:rPr>
          <w:szCs w:val="21"/>
        </w:rPr>
        <w:t>2):407-437.</w:t>
      </w:r>
    </w:p>
    <w:p w14:paraId="5CCB1C85" w14:textId="59C13E60" w:rsidR="008A45B5" w:rsidRPr="00B92969" w:rsidRDefault="008A45B5" w:rsidP="00875991">
      <w:pPr>
        <w:pStyle w:val="a9"/>
        <w:numPr>
          <w:ilvl w:val="0"/>
          <w:numId w:val="2"/>
        </w:numPr>
        <w:rPr>
          <w:szCs w:val="21"/>
        </w:rPr>
      </w:pPr>
      <w:r w:rsidRPr="00B92969">
        <w:rPr>
          <w:szCs w:val="21"/>
        </w:rPr>
        <w:t>Nguyen T B N, Lin L F, Chin L C, Hsieh M D. Directors and officers liability insurance and the wealth effect of M&amp;A announcements</w:t>
      </w:r>
      <w:r w:rsidR="006B2F45" w:rsidRPr="00B92969">
        <w:rPr>
          <w:szCs w:val="21"/>
        </w:rPr>
        <w:t>[J</w:t>
      </w:r>
      <w:r w:rsidRPr="00B92969">
        <w:rPr>
          <w:szCs w:val="21"/>
        </w:rPr>
        <w:t>]. Applied Economics, 2024</w:t>
      </w:r>
      <w:r w:rsidR="00365EC7" w:rsidRPr="00B92969">
        <w:rPr>
          <w:szCs w:val="21"/>
        </w:rPr>
        <w:t>(</w:t>
      </w:r>
      <w:r w:rsidRPr="00B92969">
        <w:rPr>
          <w:szCs w:val="21"/>
        </w:rPr>
        <w:t>2):1-17.</w:t>
      </w:r>
    </w:p>
    <w:p w14:paraId="77120CF4" w14:textId="28ACE508" w:rsidR="008A45B5" w:rsidRPr="00B92969" w:rsidRDefault="008A45B5" w:rsidP="00875991">
      <w:pPr>
        <w:pStyle w:val="a9"/>
        <w:numPr>
          <w:ilvl w:val="0"/>
          <w:numId w:val="2"/>
        </w:numPr>
        <w:rPr>
          <w:szCs w:val="21"/>
        </w:rPr>
      </w:pPr>
      <w:r w:rsidRPr="00B92969">
        <w:rPr>
          <w:szCs w:val="21"/>
        </w:rPr>
        <w:t>O'Sullivan N. Insuring the agents: The role of directors' and officers' insurance in corporate governance</w:t>
      </w:r>
      <w:r w:rsidR="006B2F45" w:rsidRPr="00B92969">
        <w:rPr>
          <w:szCs w:val="21"/>
        </w:rPr>
        <w:t>[J</w:t>
      </w:r>
      <w:r w:rsidRPr="00B92969">
        <w:rPr>
          <w:szCs w:val="21"/>
        </w:rPr>
        <w:t>]. Journal of Risk and Insurance, 1997:545-556.</w:t>
      </w:r>
    </w:p>
    <w:p w14:paraId="1B11B22B" w14:textId="67322F99" w:rsidR="008A45B5" w:rsidRPr="00B92969" w:rsidRDefault="008A45B5" w:rsidP="00875991">
      <w:pPr>
        <w:pStyle w:val="a9"/>
        <w:numPr>
          <w:ilvl w:val="0"/>
          <w:numId w:val="2"/>
        </w:numPr>
        <w:rPr>
          <w:szCs w:val="21"/>
        </w:rPr>
      </w:pPr>
      <w:r w:rsidRPr="00B92969">
        <w:rPr>
          <w:szCs w:val="21"/>
        </w:rPr>
        <w:t>Peters R H, Taylor L A. Intangible Capital and the Investment-q Relation</w:t>
      </w:r>
      <w:r w:rsidR="006B2F45" w:rsidRPr="00B92969">
        <w:rPr>
          <w:szCs w:val="21"/>
        </w:rPr>
        <w:t>[J</w:t>
      </w:r>
      <w:r w:rsidRPr="00B92969">
        <w:rPr>
          <w:szCs w:val="21"/>
        </w:rPr>
        <w:t>]. Journal of Financial Economics, 2017, 123</w:t>
      </w:r>
      <w:r w:rsidR="00365EC7" w:rsidRPr="00B92969">
        <w:rPr>
          <w:szCs w:val="21"/>
        </w:rPr>
        <w:t>(</w:t>
      </w:r>
      <w:r w:rsidRPr="00B92969">
        <w:rPr>
          <w:szCs w:val="21"/>
        </w:rPr>
        <w:t>2):251-272.</w:t>
      </w:r>
    </w:p>
    <w:p w14:paraId="108EDCBD" w14:textId="12AEFDF4" w:rsidR="006B5FD6" w:rsidRPr="00B92969" w:rsidRDefault="006B5FD6" w:rsidP="00875991">
      <w:pPr>
        <w:pStyle w:val="a9"/>
        <w:numPr>
          <w:ilvl w:val="0"/>
          <w:numId w:val="2"/>
        </w:numPr>
        <w:rPr>
          <w:szCs w:val="21"/>
        </w:rPr>
      </w:pPr>
      <w:r w:rsidRPr="00B92969">
        <w:rPr>
          <w:szCs w:val="21"/>
        </w:rPr>
        <w:t xml:space="preserve">Peng M W, Zhang S, Li X. CEO duality and firm performance during China's institutional transitions[J]. Management and </w:t>
      </w:r>
      <w:r w:rsidR="00C75E41" w:rsidRPr="00B92969">
        <w:rPr>
          <w:rFonts w:hint="eastAsia"/>
          <w:szCs w:val="21"/>
        </w:rPr>
        <w:t>O</w:t>
      </w:r>
      <w:r w:rsidRPr="00B92969">
        <w:rPr>
          <w:szCs w:val="21"/>
        </w:rPr>
        <w:t xml:space="preserve">rganization </w:t>
      </w:r>
      <w:r w:rsidR="00C75E41" w:rsidRPr="00B92969">
        <w:rPr>
          <w:rFonts w:hint="eastAsia"/>
          <w:szCs w:val="21"/>
        </w:rPr>
        <w:t>R</w:t>
      </w:r>
      <w:r w:rsidRPr="00B92969">
        <w:rPr>
          <w:szCs w:val="21"/>
        </w:rPr>
        <w:t>eview, 2007, 3(2): 205-225.</w:t>
      </w:r>
    </w:p>
    <w:p w14:paraId="10ECD35F" w14:textId="6DDC6F15" w:rsidR="008A45B5" w:rsidRPr="00B92969" w:rsidRDefault="008A45B5" w:rsidP="00875991">
      <w:pPr>
        <w:pStyle w:val="a9"/>
        <w:numPr>
          <w:ilvl w:val="0"/>
          <w:numId w:val="2"/>
        </w:numPr>
        <w:rPr>
          <w:szCs w:val="21"/>
        </w:rPr>
      </w:pPr>
      <w:r w:rsidRPr="00B92969">
        <w:rPr>
          <w:szCs w:val="21"/>
        </w:rPr>
        <w:t>Prescott E C, Visscher M. Organization capital</w:t>
      </w:r>
      <w:r w:rsidR="006B2F45" w:rsidRPr="00B92969">
        <w:rPr>
          <w:szCs w:val="21"/>
        </w:rPr>
        <w:t>[J</w:t>
      </w:r>
      <w:r w:rsidRPr="00B92969">
        <w:rPr>
          <w:szCs w:val="21"/>
        </w:rPr>
        <w:t>]. Journal of Political Economy, 1980, 88</w:t>
      </w:r>
      <w:r w:rsidR="00365EC7" w:rsidRPr="00B92969">
        <w:rPr>
          <w:szCs w:val="21"/>
        </w:rPr>
        <w:t>(</w:t>
      </w:r>
      <w:r w:rsidRPr="00B92969">
        <w:rPr>
          <w:szCs w:val="21"/>
        </w:rPr>
        <w:t>3):446-461.</w:t>
      </w:r>
    </w:p>
    <w:p w14:paraId="02FD3046" w14:textId="6D9B2E48" w:rsidR="008A45B5" w:rsidRPr="00B92969" w:rsidRDefault="008A45B5" w:rsidP="00875991">
      <w:pPr>
        <w:pStyle w:val="a9"/>
        <w:numPr>
          <w:ilvl w:val="0"/>
          <w:numId w:val="2"/>
        </w:numPr>
        <w:rPr>
          <w:szCs w:val="21"/>
        </w:rPr>
      </w:pPr>
      <w:r w:rsidRPr="00B92969">
        <w:rPr>
          <w:szCs w:val="21"/>
        </w:rPr>
        <w:t>Rozeff M S. Growth, beta and agency costs as determinants of dividend payout ratios</w:t>
      </w:r>
      <w:r w:rsidR="006B2F45" w:rsidRPr="00B92969">
        <w:rPr>
          <w:szCs w:val="21"/>
        </w:rPr>
        <w:t>[J</w:t>
      </w:r>
      <w:r w:rsidRPr="00B92969">
        <w:rPr>
          <w:szCs w:val="21"/>
        </w:rPr>
        <w:t xml:space="preserve">]. </w:t>
      </w:r>
      <w:r w:rsidRPr="00B92969">
        <w:rPr>
          <w:szCs w:val="21"/>
        </w:rPr>
        <w:lastRenderedPageBreak/>
        <w:t xml:space="preserve">Journal of </w:t>
      </w:r>
      <w:r w:rsidR="00C75E41" w:rsidRPr="00B92969">
        <w:rPr>
          <w:rFonts w:hint="eastAsia"/>
          <w:szCs w:val="21"/>
        </w:rPr>
        <w:t>F</w:t>
      </w:r>
      <w:r w:rsidRPr="00B92969">
        <w:rPr>
          <w:szCs w:val="21"/>
        </w:rPr>
        <w:t>inancial Research, 1982, 5</w:t>
      </w:r>
      <w:r w:rsidR="00365EC7" w:rsidRPr="00B92969">
        <w:rPr>
          <w:szCs w:val="21"/>
        </w:rPr>
        <w:t>(</w:t>
      </w:r>
      <w:r w:rsidRPr="00B92969">
        <w:rPr>
          <w:szCs w:val="21"/>
        </w:rPr>
        <w:t>3):249-259.</w:t>
      </w:r>
    </w:p>
    <w:p w14:paraId="4631AAA5" w14:textId="33A0B3DB" w:rsidR="008A45B5" w:rsidRPr="00B92969" w:rsidRDefault="008A45B5" w:rsidP="00875991">
      <w:pPr>
        <w:pStyle w:val="a9"/>
        <w:numPr>
          <w:ilvl w:val="0"/>
          <w:numId w:val="2"/>
        </w:numPr>
        <w:rPr>
          <w:szCs w:val="21"/>
        </w:rPr>
      </w:pPr>
      <w:r w:rsidRPr="00B92969">
        <w:rPr>
          <w:szCs w:val="21"/>
        </w:rPr>
        <w:t>Sun Q, Mindy Z. Financing Intangible Capital</w:t>
      </w:r>
      <w:r w:rsidR="006B2F45" w:rsidRPr="00B92969">
        <w:rPr>
          <w:szCs w:val="21"/>
        </w:rPr>
        <w:t>[J</w:t>
      </w:r>
      <w:r w:rsidRPr="00B92969">
        <w:rPr>
          <w:szCs w:val="21"/>
        </w:rPr>
        <w:t>]. Journal of Financial Economics, 2019, 133</w:t>
      </w:r>
      <w:r w:rsidR="00365EC7" w:rsidRPr="00B92969">
        <w:rPr>
          <w:szCs w:val="21"/>
        </w:rPr>
        <w:t>(</w:t>
      </w:r>
      <w:r w:rsidRPr="00B92969">
        <w:rPr>
          <w:szCs w:val="21"/>
        </w:rPr>
        <w:t>3):564-588.</w:t>
      </w:r>
    </w:p>
    <w:p w14:paraId="7A6C6524" w14:textId="61BCF9D8" w:rsidR="008A45B5" w:rsidRPr="00B92969" w:rsidRDefault="008A45B5" w:rsidP="00875991">
      <w:pPr>
        <w:pStyle w:val="a9"/>
        <w:numPr>
          <w:ilvl w:val="0"/>
          <w:numId w:val="2"/>
        </w:numPr>
        <w:rPr>
          <w:szCs w:val="21"/>
        </w:rPr>
      </w:pPr>
      <w:r w:rsidRPr="00B92969">
        <w:rPr>
          <w:szCs w:val="21"/>
        </w:rPr>
        <w:t xml:space="preserve">Teece D J, Pisano G, </w:t>
      </w:r>
      <w:proofErr w:type="spellStart"/>
      <w:r w:rsidRPr="00B92969">
        <w:rPr>
          <w:szCs w:val="21"/>
        </w:rPr>
        <w:t>Shuen</w:t>
      </w:r>
      <w:proofErr w:type="spellEnd"/>
      <w:r w:rsidRPr="00B92969">
        <w:rPr>
          <w:szCs w:val="21"/>
        </w:rPr>
        <w:t xml:space="preserve"> A. Dynamic capabilities and strategic management</w:t>
      </w:r>
      <w:r w:rsidR="006B2F45" w:rsidRPr="00B92969">
        <w:rPr>
          <w:szCs w:val="21"/>
        </w:rPr>
        <w:t>[J</w:t>
      </w:r>
      <w:r w:rsidRPr="00B92969">
        <w:rPr>
          <w:szCs w:val="21"/>
        </w:rPr>
        <w:t xml:space="preserve">]. Strategic </w:t>
      </w:r>
      <w:r w:rsidR="00C75E41" w:rsidRPr="00B92969">
        <w:rPr>
          <w:rFonts w:hint="eastAsia"/>
          <w:szCs w:val="21"/>
        </w:rPr>
        <w:t>M</w:t>
      </w:r>
      <w:r w:rsidRPr="00B92969">
        <w:rPr>
          <w:szCs w:val="21"/>
        </w:rPr>
        <w:t xml:space="preserve">anagement </w:t>
      </w:r>
      <w:r w:rsidR="00C75E41" w:rsidRPr="00B92969">
        <w:rPr>
          <w:rFonts w:hint="eastAsia"/>
          <w:szCs w:val="21"/>
        </w:rPr>
        <w:t>J</w:t>
      </w:r>
      <w:r w:rsidRPr="00B92969">
        <w:rPr>
          <w:szCs w:val="21"/>
        </w:rPr>
        <w:t>ournal, 1997, 18</w:t>
      </w:r>
      <w:r w:rsidR="00365EC7" w:rsidRPr="00B92969">
        <w:rPr>
          <w:szCs w:val="21"/>
        </w:rPr>
        <w:t>(</w:t>
      </w:r>
      <w:r w:rsidRPr="00B92969">
        <w:rPr>
          <w:szCs w:val="21"/>
        </w:rPr>
        <w:t>7):509-533.</w:t>
      </w:r>
    </w:p>
    <w:p w14:paraId="2B7107D2" w14:textId="001F2BB1" w:rsidR="008A45B5" w:rsidRPr="00B92969" w:rsidRDefault="008A45B5" w:rsidP="00875991">
      <w:pPr>
        <w:pStyle w:val="a9"/>
        <w:numPr>
          <w:ilvl w:val="0"/>
          <w:numId w:val="2"/>
        </w:numPr>
        <w:rPr>
          <w:szCs w:val="21"/>
        </w:rPr>
      </w:pPr>
      <w:r w:rsidRPr="00B92969">
        <w:rPr>
          <w:szCs w:val="21"/>
        </w:rPr>
        <w:t>Tomer J F. Organizational capital and joining-up: Linking the individual to the organization and to society</w:t>
      </w:r>
      <w:r w:rsidR="006B2F45" w:rsidRPr="00B92969">
        <w:rPr>
          <w:szCs w:val="21"/>
        </w:rPr>
        <w:t>[J</w:t>
      </w:r>
      <w:r w:rsidRPr="00B92969">
        <w:rPr>
          <w:szCs w:val="21"/>
        </w:rPr>
        <w:t>]. Human Relations, 1998, 51</w:t>
      </w:r>
      <w:r w:rsidR="00365EC7" w:rsidRPr="00B92969">
        <w:rPr>
          <w:szCs w:val="21"/>
        </w:rPr>
        <w:t>(</w:t>
      </w:r>
      <w:r w:rsidRPr="00B92969">
        <w:rPr>
          <w:szCs w:val="21"/>
        </w:rPr>
        <w:t>6):825-846.</w:t>
      </w:r>
    </w:p>
    <w:p w14:paraId="2A45D2F1" w14:textId="456EFE2E" w:rsidR="008A45B5" w:rsidRPr="00B92969" w:rsidRDefault="008A45B5" w:rsidP="00875991">
      <w:pPr>
        <w:pStyle w:val="a9"/>
        <w:numPr>
          <w:ilvl w:val="0"/>
          <w:numId w:val="2"/>
        </w:numPr>
        <w:rPr>
          <w:szCs w:val="21"/>
        </w:rPr>
      </w:pPr>
      <w:r w:rsidRPr="00B92969">
        <w:rPr>
          <w:szCs w:val="21"/>
        </w:rPr>
        <w:t>Wang M, Sun L. Does Directors' and Officers' Liability Insurance improve corporate governance of Chinese listed firms? The moderating role of insider ownership</w:t>
      </w:r>
      <w:r w:rsidR="006B2F45" w:rsidRPr="00B92969">
        <w:rPr>
          <w:szCs w:val="21"/>
        </w:rPr>
        <w:t>[J</w:t>
      </w:r>
      <w:r w:rsidRPr="00B92969">
        <w:rPr>
          <w:szCs w:val="21"/>
        </w:rPr>
        <w:t>]. Finance Research Letters, 2022.</w:t>
      </w:r>
    </w:p>
    <w:p w14:paraId="53BA1E3F" w14:textId="586C788A" w:rsidR="008A45B5" w:rsidRPr="00B92969" w:rsidRDefault="008A45B5" w:rsidP="00875991">
      <w:pPr>
        <w:pStyle w:val="a9"/>
        <w:numPr>
          <w:ilvl w:val="0"/>
          <w:numId w:val="2"/>
        </w:numPr>
        <w:rPr>
          <w:szCs w:val="21"/>
        </w:rPr>
      </w:pPr>
      <w:r w:rsidRPr="00B92969">
        <w:rPr>
          <w:szCs w:val="21"/>
        </w:rPr>
        <w:t>Zhang L, Guo Y, Sun G. How patent signals affect venture capital: The evidence of bio-pharmaceutical start-ups in China</w:t>
      </w:r>
      <w:r w:rsidR="006B2F45" w:rsidRPr="00B92969">
        <w:rPr>
          <w:szCs w:val="21"/>
        </w:rPr>
        <w:t>[J</w:t>
      </w:r>
      <w:r w:rsidRPr="00B92969">
        <w:rPr>
          <w:szCs w:val="21"/>
        </w:rPr>
        <w:t>]. Technological Forecasting and Social Change, 2019, 145:93-104.</w:t>
      </w:r>
    </w:p>
    <w:p w14:paraId="533AFA94" w14:textId="27B7EBD4" w:rsidR="004E62E5" w:rsidRDefault="008A45B5" w:rsidP="003D2D9B">
      <w:pPr>
        <w:pStyle w:val="a9"/>
        <w:numPr>
          <w:ilvl w:val="0"/>
          <w:numId w:val="2"/>
        </w:numPr>
        <w:rPr>
          <w:sz w:val="24"/>
        </w:rPr>
      </w:pPr>
      <w:r w:rsidRPr="00B92969">
        <w:rPr>
          <w:szCs w:val="21"/>
        </w:rPr>
        <w:t xml:space="preserve">Zou H, Wong S, Shum C, et al. Controlling-Minority Shareholder Incentive Conflicts and Directors' and Officers' Liability Insurance: Evidence </w:t>
      </w:r>
      <w:proofErr w:type="gramStart"/>
      <w:r w:rsidRPr="00B92969">
        <w:rPr>
          <w:szCs w:val="21"/>
        </w:rPr>
        <w:t>From</w:t>
      </w:r>
      <w:proofErr w:type="gramEnd"/>
      <w:r w:rsidRPr="00B92969">
        <w:rPr>
          <w:szCs w:val="21"/>
        </w:rPr>
        <w:t xml:space="preserve"> China</w:t>
      </w:r>
      <w:r w:rsidR="006B2F45" w:rsidRPr="00B92969">
        <w:rPr>
          <w:szCs w:val="21"/>
        </w:rPr>
        <w:t>[J</w:t>
      </w:r>
      <w:r w:rsidRPr="00B92969">
        <w:rPr>
          <w:szCs w:val="21"/>
        </w:rPr>
        <w:t>]. Journal of Banking &amp; Finance, 2008, 32</w:t>
      </w:r>
      <w:r w:rsidR="00365EC7" w:rsidRPr="00B92969">
        <w:rPr>
          <w:szCs w:val="21"/>
        </w:rPr>
        <w:t>(</w:t>
      </w:r>
      <w:r w:rsidRPr="00B92969">
        <w:rPr>
          <w:szCs w:val="21"/>
        </w:rPr>
        <w:t>12):2636-2645.</w:t>
      </w:r>
      <w:r w:rsidR="003D2D9B" w:rsidRPr="004E62E5">
        <w:rPr>
          <w:rFonts w:hint="eastAsia"/>
          <w:sz w:val="24"/>
        </w:rPr>
        <w:t xml:space="preserve"> </w:t>
      </w:r>
    </w:p>
    <w:p w14:paraId="1A4BCDD1" w14:textId="77777777" w:rsidR="00725801" w:rsidRDefault="00725801" w:rsidP="00725801">
      <w:pPr>
        <w:rPr>
          <w:sz w:val="24"/>
        </w:rPr>
      </w:pPr>
    </w:p>
    <w:p w14:paraId="09F4982F" w14:textId="77777777" w:rsidR="00725801" w:rsidRDefault="00725801" w:rsidP="00725801">
      <w:pPr>
        <w:rPr>
          <w:sz w:val="24"/>
        </w:rPr>
      </w:pPr>
    </w:p>
    <w:p w14:paraId="2FA52FCA" w14:textId="77777777" w:rsidR="00725801" w:rsidRDefault="00725801" w:rsidP="00725801">
      <w:pPr>
        <w:rPr>
          <w:sz w:val="24"/>
        </w:rPr>
      </w:pPr>
    </w:p>
    <w:p w14:paraId="4ACD6843" w14:textId="77777777" w:rsidR="00725801" w:rsidRDefault="00725801" w:rsidP="00725801">
      <w:pPr>
        <w:rPr>
          <w:sz w:val="24"/>
        </w:rPr>
      </w:pPr>
    </w:p>
    <w:p w14:paraId="520EA996" w14:textId="77777777" w:rsidR="00725801" w:rsidRDefault="00725801" w:rsidP="00725801">
      <w:pPr>
        <w:rPr>
          <w:sz w:val="24"/>
        </w:rPr>
      </w:pPr>
    </w:p>
    <w:p w14:paraId="109CD64A" w14:textId="77777777" w:rsidR="00725801" w:rsidRDefault="00725801" w:rsidP="00725801">
      <w:pPr>
        <w:rPr>
          <w:sz w:val="24"/>
        </w:rPr>
      </w:pPr>
    </w:p>
    <w:p w14:paraId="7C1BE93A" w14:textId="77777777" w:rsidR="00725801" w:rsidRDefault="00725801" w:rsidP="00725801">
      <w:pPr>
        <w:rPr>
          <w:sz w:val="24"/>
        </w:rPr>
      </w:pPr>
    </w:p>
    <w:p w14:paraId="0B592DC5" w14:textId="77777777" w:rsidR="00725801" w:rsidRDefault="00725801" w:rsidP="00725801">
      <w:pPr>
        <w:rPr>
          <w:sz w:val="24"/>
        </w:rPr>
      </w:pPr>
    </w:p>
    <w:p w14:paraId="117A11C4" w14:textId="77777777" w:rsidR="00725801" w:rsidRDefault="00725801" w:rsidP="00725801">
      <w:pPr>
        <w:rPr>
          <w:sz w:val="24"/>
        </w:rPr>
      </w:pPr>
    </w:p>
    <w:p w14:paraId="3D3816A0" w14:textId="77777777" w:rsidR="00725801" w:rsidRPr="006E4EEF" w:rsidRDefault="00725801" w:rsidP="006E4EEF">
      <w:pPr>
        <w:spacing w:line="360" w:lineRule="auto"/>
        <w:rPr>
          <w:rFonts w:eastAsia="楷体_GB2312"/>
          <w:sz w:val="24"/>
        </w:rPr>
      </w:pPr>
    </w:p>
    <w:p w14:paraId="0609BABF" w14:textId="77777777" w:rsidR="00BC1BDC" w:rsidRDefault="00BC1BDC" w:rsidP="006E4EEF">
      <w:pPr>
        <w:spacing w:line="360" w:lineRule="auto"/>
        <w:rPr>
          <w:rFonts w:eastAsia="楷体_GB2312"/>
          <w:sz w:val="24"/>
        </w:rPr>
        <w:sectPr w:rsidR="00BC1BDC" w:rsidSect="004C36D5">
          <w:headerReference w:type="even" r:id="rId33"/>
          <w:headerReference w:type="default" r:id="rId34"/>
          <w:headerReference w:type="first" r:id="rId35"/>
          <w:pgSz w:w="11906" w:h="16838"/>
          <w:pgMar w:top="1440" w:right="1800" w:bottom="1440" w:left="1800" w:header="851" w:footer="992" w:gutter="0"/>
          <w:cols w:space="425"/>
          <w:docGrid w:type="lines" w:linePitch="312"/>
        </w:sectPr>
      </w:pPr>
    </w:p>
    <w:p w14:paraId="456CB3E1" w14:textId="0CB9C696" w:rsidR="00BC1BDC" w:rsidRPr="00BC1BDC" w:rsidRDefault="00BC1BDC" w:rsidP="00BC1BDC">
      <w:pPr>
        <w:pStyle w:val="1"/>
        <w:numPr>
          <w:ilvl w:val="0"/>
          <w:numId w:val="0"/>
        </w:numPr>
        <w:rPr>
          <w:rFonts w:hint="eastAsia"/>
        </w:rPr>
      </w:pPr>
      <w:bookmarkStart w:id="168" w:name="_Toc198287010"/>
      <w:r>
        <w:rPr>
          <w:rFonts w:hint="eastAsia"/>
        </w:rPr>
        <w:lastRenderedPageBreak/>
        <w:t>致谢</w:t>
      </w:r>
      <w:bookmarkEnd w:id="168"/>
    </w:p>
    <w:p w14:paraId="2610142F" w14:textId="77D25762" w:rsidR="00BC1BDC" w:rsidRDefault="00BC1BDC" w:rsidP="00653C89">
      <w:pPr>
        <w:spacing w:line="360" w:lineRule="auto"/>
        <w:ind w:firstLineChars="200" w:firstLine="480"/>
        <w:rPr>
          <w:rFonts w:eastAsia="楷体_GB2312"/>
          <w:sz w:val="24"/>
        </w:rPr>
      </w:pPr>
      <w:r>
        <w:rPr>
          <w:rFonts w:eastAsia="楷体_GB2312" w:hint="eastAsia"/>
          <w:sz w:val="24"/>
        </w:rPr>
        <w:t>感谢我亲爱的导师，顾明副教授，</w:t>
      </w:r>
      <w:r w:rsidR="004163B5">
        <w:rPr>
          <w:rFonts w:eastAsia="楷体_GB2312" w:hint="eastAsia"/>
          <w:sz w:val="24"/>
        </w:rPr>
        <w:t>他</w:t>
      </w:r>
      <w:r>
        <w:rPr>
          <w:rFonts w:eastAsia="楷体_GB2312" w:hint="eastAsia"/>
          <w:sz w:val="24"/>
        </w:rPr>
        <w:t>在论文写作、实证分析、</w:t>
      </w:r>
      <w:proofErr w:type="gramStart"/>
      <w:r>
        <w:rPr>
          <w:rFonts w:eastAsia="楷体_GB2312" w:hint="eastAsia"/>
          <w:sz w:val="24"/>
        </w:rPr>
        <w:t>表达汇报</w:t>
      </w:r>
      <w:proofErr w:type="gramEnd"/>
      <w:r>
        <w:rPr>
          <w:rFonts w:eastAsia="楷体_GB2312" w:hint="eastAsia"/>
          <w:sz w:val="24"/>
        </w:rPr>
        <w:t>上均给予了我和我的同门非常多的指导和帮助，且一直积极鼓励我们、相信我们。有这样好的导师，我感觉到非常</w:t>
      </w:r>
      <w:r w:rsidR="004163B5">
        <w:rPr>
          <w:rFonts w:eastAsia="楷体_GB2312" w:hint="eastAsia"/>
          <w:sz w:val="24"/>
        </w:rPr>
        <w:t>地</w:t>
      </w:r>
      <w:r>
        <w:rPr>
          <w:rFonts w:eastAsia="楷体_GB2312" w:hint="eastAsia"/>
          <w:sz w:val="24"/>
        </w:rPr>
        <w:t>荣幸且感激！</w:t>
      </w:r>
    </w:p>
    <w:p w14:paraId="78664326" w14:textId="60496358" w:rsidR="00BC1BDC" w:rsidRPr="00BC1BDC" w:rsidRDefault="00BC1BDC" w:rsidP="00653C89">
      <w:pPr>
        <w:spacing w:line="360" w:lineRule="auto"/>
        <w:ind w:firstLineChars="200" w:firstLine="480"/>
        <w:rPr>
          <w:rFonts w:eastAsia="楷体_GB2312"/>
          <w:sz w:val="24"/>
        </w:rPr>
      </w:pPr>
      <w:r>
        <w:rPr>
          <w:rFonts w:eastAsia="楷体_GB2312" w:hint="eastAsia"/>
          <w:sz w:val="24"/>
        </w:rPr>
        <w:t>感谢我的父母，在研究生三年，给予我很多物质支持和精神陪伴，能帮助我不断探索新的职业路径，并鼓励我勇敢做自己，积极去挑战。</w:t>
      </w:r>
    </w:p>
    <w:p w14:paraId="7D1F118D" w14:textId="7A750C7E" w:rsidR="00BC1BDC" w:rsidRPr="00BC1BDC" w:rsidRDefault="00BC1BDC" w:rsidP="00653C89">
      <w:pPr>
        <w:spacing w:line="360" w:lineRule="auto"/>
        <w:ind w:firstLineChars="200" w:firstLine="480"/>
        <w:rPr>
          <w:rFonts w:eastAsia="楷体_GB2312"/>
          <w:sz w:val="24"/>
        </w:rPr>
      </w:pPr>
      <w:r>
        <w:rPr>
          <w:rFonts w:eastAsia="楷体_GB2312" w:hint="eastAsia"/>
          <w:sz w:val="24"/>
        </w:rPr>
        <w:t>感谢我的好同学和好朋友，在</w:t>
      </w:r>
      <w:proofErr w:type="gramStart"/>
      <w:r>
        <w:rPr>
          <w:rFonts w:eastAsia="楷体_GB2312" w:hint="eastAsia"/>
          <w:sz w:val="24"/>
        </w:rPr>
        <w:t>研一</w:t>
      </w:r>
      <w:proofErr w:type="gramEnd"/>
      <w:r>
        <w:rPr>
          <w:rFonts w:eastAsia="楷体_GB2312" w:hint="eastAsia"/>
          <w:sz w:val="24"/>
        </w:rPr>
        <w:t>艰难</w:t>
      </w:r>
      <w:proofErr w:type="gramStart"/>
      <w:r>
        <w:rPr>
          <w:rFonts w:eastAsia="楷体_GB2312" w:hint="eastAsia"/>
          <w:sz w:val="24"/>
        </w:rPr>
        <w:t>的八高旅程</w:t>
      </w:r>
      <w:proofErr w:type="gramEnd"/>
      <w:r>
        <w:rPr>
          <w:rFonts w:eastAsia="楷体_GB2312" w:hint="eastAsia"/>
          <w:sz w:val="24"/>
        </w:rPr>
        <w:t>中、</w:t>
      </w:r>
      <w:proofErr w:type="gramStart"/>
      <w:r>
        <w:rPr>
          <w:rFonts w:eastAsia="楷体_GB2312" w:hint="eastAsia"/>
          <w:sz w:val="24"/>
        </w:rPr>
        <w:t>研</w:t>
      </w:r>
      <w:proofErr w:type="gramEnd"/>
      <w:r>
        <w:rPr>
          <w:rFonts w:eastAsia="楷体_GB2312" w:hint="eastAsia"/>
          <w:sz w:val="24"/>
        </w:rPr>
        <w:t>二迷茫的实习阶段、</w:t>
      </w:r>
      <w:proofErr w:type="gramStart"/>
      <w:r>
        <w:rPr>
          <w:rFonts w:eastAsia="楷体_GB2312" w:hint="eastAsia"/>
          <w:sz w:val="24"/>
        </w:rPr>
        <w:t>研</w:t>
      </w:r>
      <w:proofErr w:type="gramEnd"/>
      <w:r>
        <w:rPr>
          <w:rFonts w:eastAsia="楷体_GB2312" w:hint="eastAsia"/>
          <w:sz w:val="24"/>
        </w:rPr>
        <w:t>三五味杂陈</w:t>
      </w:r>
      <w:proofErr w:type="gramStart"/>
      <w:r>
        <w:rPr>
          <w:rFonts w:eastAsia="楷体_GB2312" w:hint="eastAsia"/>
          <w:sz w:val="24"/>
        </w:rPr>
        <w:t>的校招阶段</w:t>
      </w:r>
      <w:proofErr w:type="gramEnd"/>
      <w:r>
        <w:rPr>
          <w:rFonts w:eastAsia="楷体_GB2312" w:hint="eastAsia"/>
          <w:sz w:val="24"/>
        </w:rPr>
        <w:t>，能够携手并进、互相支持与陪伴。</w:t>
      </w:r>
    </w:p>
    <w:p w14:paraId="79596A06" w14:textId="776D42B1" w:rsidR="00BC1BDC" w:rsidRDefault="00725801" w:rsidP="00653C89">
      <w:pPr>
        <w:spacing w:line="360" w:lineRule="auto"/>
        <w:ind w:firstLineChars="200" w:firstLine="480"/>
        <w:rPr>
          <w:rFonts w:eastAsia="楷体_GB2312"/>
          <w:sz w:val="24"/>
        </w:rPr>
      </w:pPr>
      <w:r w:rsidRPr="006E4EEF">
        <w:rPr>
          <w:rFonts w:eastAsia="楷体_GB2312" w:hint="eastAsia"/>
          <w:sz w:val="24"/>
        </w:rPr>
        <w:t>最后，</w:t>
      </w:r>
      <w:r w:rsidR="006E4EEF">
        <w:rPr>
          <w:rFonts w:eastAsia="楷体_GB2312" w:hint="eastAsia"/>
          <w:sz w:val="24"/>
        </w:rPr>
        <w:t>最要</w:t>
      </w:r>
      <w:r w:rsidRPr="006E4EEF">
        <w:rPr>
          <w:rFonts w:eastAsia="楷体_GB2312" w:hint="eastAsia"/>
          <w:sz w:val="24"/>
        </w:rPr>
        <w:t>感谢</w:t>
      </w:r>
      <w:r w:rsidR="006E4EEF">
        <w:rPr>
          <w:rFonts w:eastAsia="楷体_GB2312" w:hint="eastAsia"/>
          <w:sz w:val="24"/>
        </w:rPr>
        <w:t>的人是</w:t>
      </w:r>
      <w:r w:rsidRPr="006E4EEF">
        <w:rPr>
          <w:rFonts w:eastAsia="楷体_GB2312" w:hint="eastAsia"/>
          <w:sz w:val="24"/>
        </w:rPr>
        <w:t>自己。感谢自己一直抱有好奇心，努力探索新世界；感谢自己积极乐观，面对不确定的事情，仍能坚定信念，勇往直前，做自己想做的事情。三年前来到这里读书是从未想过的决定，三年后也因为工作来到了从未想过的城市。</w:t>
      </w:r>
      <w:r w:rsidR="006E4EEF">
        <w:rPr>
          <w:rFonts w:eastAsia="楷体_GB2312" w:hint="eastAsia"/>
          <w:sz w:val="24"/>
        </w:rPr>
        <w:t>我很佩服也很欣赏自己的选择和勇气。</w:t>
      </w:r>
      <w:r w:rsidRPr="006E4EEF">
        <w:rPr>
          <w:rFonts w:eastAsia="楷体_GB2312" w:hint="eastAsia"/>
          <w:sz w:val="24"/>
        </w:rPr>
        <w:t>神明把我指引到了我该去的地方，我在不同的地方、不同的人生阶段生长，让自己更完整</w:t>
      </w:r>
      <w:r w:rsidR="006E4EEF">
        <w:rPr>
          <w:rFonts w:eastAsia="楷体_GB2312" w:hint="eastAsia"/>
          <w:sz w:val="24"/>
        </w:rPr>
        <w:t>、更多元</w:t>
      </w:r>
      <w:r w:rsidR="006E4EEF" w:rsidRPr="006E4EEF">
        <w:rPr>
          <w:rFonts w:eastAsia="楷体_GB2312" w:hint="eastAsia"/>
          <w:sz w:val="24"/>
        </w:rPr>
        <w:t>，让自己更加</w:t>
      </w:r>
      <w:r w:rsidR="006E4EEF">
        <w:rPr>
          <w:rFonts w:eastAsia="楷体_GB2312" w:hint="eastAsia"/>
          <w:sz w:val="24"/>
        </w:rPr>
        <w:t>感受到</w:t>
      </w:r>
      <w:r w:rsidR="006E4EEF" w:rsidRPr="006E4EEF">
        <w:rPr>
          <w:rFonts w:eastAsia="楷体_GB2312" w:hint="eastAsia"/>
          <w:sz w:val="24"/>
        </w:rPr>
        <w:t>自己的存在和能量。</w:t>
      </w:r>
      <w:r w:rsidRPr="006E4EEF">
        <w:rPr>
          <w:rFonts w:eastAsia="楷体_GB2312" w:hint="eastAsia"/>
          <w:sz w:val="24"/>
        </w:rPr>
        <w:t>我相信，新的选择</w:t>
      </w:r>
      <w:r w:rsidR="006E4EEF">
        <w:rPr>
          <w:rFonts w:eastAsia="楷体_GB2312" w:hint="eastAsia"/>
          <w:sz w:val="24"/>
        </w:rPr>
        <w:t>一定</w:t>
      </w:r>
      <w:r w:rsidRPr="006E4EEF">
        <w:rPr>
          <w:rFonts w:eastAsia="楷体_GB2312" w:hint="eastAsia"/>
          <w:sz w:val="24"/>
        </w:rPr>
        <w:t>会带来更多的机遇</w:t>
      </w:r>
      <w:r w:rsidR="006E4EEF" w:rsidRPr="006E4EEF">
        <w:rPr>
          <w:rFonts w:eastAsia="楷体_GB2312" w:hint="eastAsia"/>
          <w:sz w:val="24"/>
        </w:rPr>
        <w:t>，</w:t>
      </w:r>
      <w:proofErr w:type="gramStart"/>
      <w:r w:rsidR="006E4EEF" w:rsidRPr="006E4EEF">
        <w:rPr>
          <w:rFonts w:eastAsia="楷体_GB2312" w:hint="eastAsia"/>
          <w:sz w:val="24"/>
        </w:rPr>
        <w:t>离想成为</w:t>
      </w:r>
      <w:proofErr w:type="gramEnd"/>
      <w:r w:rsidR="006E4EEF" w:rsidRPr="006E4EEF">
        <w:rPr>
          <w:rFonts w:eastAsia="楷体_GB2312" w:hint="eastAsia"/>
          <w:sz w:val="24"/>
        </w:rPr>
        <w:t>的自己更进一步</w:t>
      </w:r>
      <w:r w:rsidRPr="006E4EEF">
        <w:rPr>
          <w:rFonts w:eastAsia="楷体_GB2312" w:hint="eastAsia"/>
          <w:sz w:val="24"/>
        </w:rPr>
        <w:t>。</w:t>
      </w:r>
      <w:r w:rsidR="006E4EEF" w:rsidRPr="006E4EEF">
        <w:rPr>
          <w:rFonts w:eastAsia="楷体_GB2312" w:hint="eastAsia"/>
          <w:sz w:val="24"/>
        </w:rPr>
        <w:t>坚信</w:t>
      </w:r>
      <w:r w:rsidRPr="006E4EEF">
        <w:rPr>
          <w:rFonts w:eastAsia="楷体_GB2312" w:hint="eastAsia"/>
          <w:sz w:val="24"/>
        </w:rPr>
        <w:t>自己</w:t>
      </w:r>
      <w:r w:rsidR="006E4EEF" w:rsidRPr="006E4EEF">
        <w:rPr>
          <w:rFonts w:eastAsia="楷体_GB2312" w:hint="eastAsia"/>
          <w:sz w:val="24"/>
        </w:rPr>
        <w:t>会</w:t>
      </w:r>
      <w:r w:rsidRPr="006E4EEF">
        <w:rPr>
          <w:rFonts w:eastAsia="楷体_GB2312" w:hint="eastAsia"/>
          <w:sz w:val="24"/>
        </w:rPr>
        <w:t>一直</w:t>
      </w:r>
      <w:proofErr w:type="gramStart"/>
      <w:r w:rsidRPr="006E4EEF">
        <w:rPr>
          <w:rFonts w:eastAsia="楷体_GB2312" w:hint="eastAsia"/>
          <w:sz w:val="24"/>
        </w:rPr>
        <w:t>做难</w:t>
      </w:r>
      <w:proofErr w:type="gramEnd"/>
      <w:r w:rsidRPr="006E4EEF">
        <w:rPr>
          <w:rFonts w:eastAsia="楷体_GB2312" w:hint="eastAsia"/>
          <w:sz w:val="24"/>
        </w:rPr>
        <w:t>而有价值的事情，</w:t>
      </w:r>
      <w:r w:rsidR="006E4EEF">
        <w:rPr>
          <w:rFonts w:eastAsia="楷体_GB2312" w:hint="eastAsia"/>
          <w:sz w:val="24"/>
        </w:rPr>
        <w:t>成为时间的朋友，当一名</w:t>
      </w:r>
      <w:r w:rsidRPr="006E4EEF">
        <w:rPr>
          <w:rFonts w:eastAsia="楷体_GB2312" w:hint="eastAsia"/>
          <w:sz w:val="24"/>
        </w:rPr>
        <w:t>世界的观察者、思考者</w:t>
      </w:r>
      <w:r w:rsidR="006E4EEF">
        <w:rPr>
          <w:rFonts w:eastAsia="楷体_GB2312" w:hint="eastAsia"/>
          <w:sz w:val="24"/>
        </w:rPr>
        <w:t>、实践者</w:t>
      </w:r>
      <w:r w:rsidRPr="006E4EEF">
        <w:rPr>
          <w:rFonts w:eastAsia="楷体_GB2312" w:hint="eastAsia"/>
          <w:sz w:val="24"/>
        </w:rPr>
        <w:t>。</w:t>
      </w:r>
    </w:p>
    <w:p w14:paraId="1189FD02" w14:textId="77777777" w:rsidR="00AD5588" w:rsidRDefault="006E4EEF" w:rsidP="00AD5588">
      <w:pPr>
        <w:spacing w:line="360" w:lineRule="auto"/>
        <w:ind w:firstLineChars="200" w:firstLine="480"/>
        <w:rPr>
          <w:rFonts w:eastAsia="楷体_GB2312"/>
          <w:sz w:val="24"/>
        </w:rPr>
        <w:sectPr w:rsidR="00AD5588" w:rsidSect="004C36D5">
          <w:headerReference w:type="default" r:id="rId36"/>
          <w:pgSz w:w="11906" w:h="16838"/>
          <w:pgMar w:top="1440" w:right="1800" w:bottom="1440" w:left="1800" w:header="851" w:footer="992" w:gutter="0"/>
          <w:cols w:space="425"/>
          <w:docGrid w:type="lines" w:linePitch="312"/>
        </w:sectPr>
      </w:pPr>
      <w:r>
        <w:rPr>
          <w:rFonts w:eastAsia="楷体_GB2312" w:hint="eastAsia"/>
          <w:sz w:val="24"/>
        </w:rPr>
        <w:t>投资这条路绝不是通往成功的坦途，但一定会让我在坚韧生长过程中，看到属于我的精彩人生！</w:t>
      </w:r>
    </w:p>
    <w:p w14:paraId="5A4AE292" w14:textId="77777777" w:rsidR="00AD5588" w:rsidRPr="00AD5588" w:rsidRDefault="00AD5588" w:rsidP="00AD5588">
      <w:pPr>
        <w:jc w:val="center"/>
        <w:rPr>
          <w:rFonts w:eastAsia="黑体"/>
          <w:sz w:val="32"/>
          <w:szCs w:val="22"/>
        </w:rPr>
      </w:pPr>
      <w:r w:rsidRPr="00AD5588">
        <w:rPr>
          <w:rFonts w:eastAsia="黑体"/>
          <w:sz w:val="32"/>
          <w:szCs w:val="22"/>
        </w:rPr>
        <w:lastRenderedPageBreak/>
        <w:t>学位论文答辩委员会名单</w:t>
      </w:r>
    </w:p>
    <w:p w14:paraId="05E2DAE0" w14:textId="77777777" w:rsidR="00AD5588" w:rsidRPr="00AD5588" w:rsidRDefault="00AD5588" w:rsidP="00AD5588">
      <w:pPr>
        <w:spacing w:beforeLines="50" w:before="156"/>
        <w:ind w:firstLineChars="15" w:firstLine="42"/>
        <w:jc w:val="left"/>
        <w:rPr>
          <w:rFonts w:eastAsia="仿宋_GB2312"/>
          <w:sz w:val="28"/>
          <w:szCs w:val="22"/>
        </w:rPr>
      </w:pPr>
    </w:p>
    <w:tbl>
      <w:tblPr>
        <w:tblStyle w:val="11"/>
        <w:tblW w:w="83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843"/>
        <w:gridCol w:w="1417"/>
        <w:gridCol w:w="3686"/>
      </w:tblGrid>
      <w:tr w:rsidR="00AD5588" w:rsidRPr="00AD5588" w14:paraId="44D997B6" w14:textId="77777777" w:rsidTr="003837D5">
        <w:trPr>
          <w:jc w:val="center"/>
        </w:trPr>
        <w:tc>
          <w:tcPr>
            <w:tcW w:w="1418" w:type="dxa"/>
          </w:tcPr>
          <w:p w14:paraId="6AF38310" w14:textId="77777777" w:rsidR="00AD5588" w:rsidRPr="00AD5588" w:rsidRDefault="00AD5588" w:rsidP="00AD5588">
            <w:pPr>
              <w:jc w:val="center"/>
              <w:rPr>
                <w:rFonts w:eastAsia="仿宋_GB2312"/>
                <w:sz w:val="28"/>
              </w:rPr>
            </w:pPr>
            <w:r w:rsidRPr="00AD5588">
              <w:rPr>
                <w:rFonts w:eastAsia="仿宋_GB2312"/>
                <w:sz w:val="28"/>
              </w:rPr>
              <w:t>主</w:t>
            </w:r>
            <w:r w:rsidRPr="00AD5588">
              <w:rPr>
                <w:rFonts w:eastAsia="仿宋_GB2312"/>
                <w:sz w:val="28"/>
              </w:rPr>
              <w:t xml:space="preserve">  </w:t>
            </w:r>
            <w:r w:rsidRPr="00AD5588">
              <w:rPr>
                <w:rFonts w:eastAsia="仿宋_GB2312"/>
                <w:sz w:val="28"/>
              </w:rPr>
              <w:t>席</w:t>
            </w:r>
            <w:r w:rsidRPr="00AD5588">
              <w:rPr>
                <w:rFonts w:eastAsia="仿宋_GB2312" w:hint="eastAsia"/>
                <w:sz w:val="28"/>
              </w:rPr>
              <w:t>：</w:t>
            </w:r>
          </w:p>
        </w:tc>
        <w:tc>
          <w:tcPr>
            <w:tcW w:w="1843" w:type="dxa"/>
          </w:tcPr>
          <w:p w14:paraId="1AF7E5CA" w14:textId="0B5C88FB" w:rsidR="00AD5588" w:rsidRPr="00AD5588" w:rsidRDefault="00AD5588" w:rsidP="00AD5588">
            <w:pPr>
              <w:jc w:val="left"/>
              <w:rPr>
                <w:rFonts w:eastAsia="仿宋_GB2312"/>
                <w:sz w:val="28"/>
              </w:rPr>
            </w:pPr>
            <w:r>
              <w:rPr>
                <w:rFonts w:eastAsia="仿宋_GB2312" w:hint="eastAsia"/>
                <w:sz w:val="28"/>
              </w:rPr>
              <w:t>叶艳苹</w:t>
            </w:r>
          </w:p>
        </w:tc>
        <w:tc>
          <w:tcPr>
            <w:tcW w:w="1417" w:type="dxa"/>
          </w:tcPr>
          <w:p w14:paraId="33373C4B" w14:textId="60D8DF27" w:rsidR="00AD5588" w:rsidRPr="00AD5588" w:rsidRDefault="00AD5588" w:rsidP="00AD5588">
            <w:pPr>
              <w:jc w:val="left"/>
              <w:rPr>
                <w:rFonts w:eastAsia="仿宋_GB2312"/>
                <w:sz w:val="28"/>
              </w:rPr>
            </w:pPr>
            <w:r>
              <w:rPr>
                <w:rFonts w:eastAsia="仿宋_GB2312" w:hint="eastAsia"/>
                <w:sz w:val="28"/>
              </w:rPr>
              <w:t>副研究员</w:t>
            </w:r>
          </w:p>
        </w:tc>
        <w:tc>
          <w:tcPr>
            <w:tcW w:w="3686" w:type="dxa"/>
          </w:tcPr>
          <w:p w14:paraId="6910CEC7" w14:textId="69BFDF57" w:rsidR="00AD5588" w:rsidRPr="00AD5588" w:rsidRDefault="00AD5588" w:rsidP="00AD5588">
            <w:pPr>
              <w:jc w:val="left"/>
              <w:rPr>
                <w:rFonts w:eastAsia="仿宋_GB2312"/>
                <w:sz w:val="28"/>
              </w:rPr>
            </w:pPr>
            <w:r>
              <w:rPr>
                <w:rFonts w:eastAsia="仿宋_GB2312" w:hint="eastAsia"/>
                <w:sz w:val="28"/>
              </w:rPr>
              <w:t>中国银行厦门分行</w:t>
            </w:r>
          </w:p>
        </w:tc>
      </w:tr>
      <w:tr w:rsidR="00AD5588" w:rsidRPr="00AD5588" w14:paraId="5E71AB89" w14:textId="77777777" w:rsidTr="003837D5">
        <w:trPr>
          <w:jc w:val="center"/>
        </w:trPr>
        <w:tc>
          <w:tcPr>
            <w:tcW w:w="1418" w:type="dxa"/>
          </w:tcPr>
          <w:p w14:paraId="6A9DFEC6" w14:textId="77777777" w:rsidR="00AD5588" w:rsidRPr="00AD5588" w:rsidRDefault="00AD5588" w:rsidP="00AD5588">
            <w:pPr>
              <w:jc w:val="center"/>
              <w:rPr>
                <w:rFonts w:eastAsia="仿宋_GB2312"/>
                <w:sz w:val="28"/>
              </w:rPr>
            </w:pPr>
            <w:r w:rsidRPr="00AD5588">
              <w:rPr>
                <w:rFonts w:eastAsia="仿宋_GB2312"/>
                <w:sz w:val="28"/>
              </w:rPr>
              <w:t>委</w:t>
            </w:r>
            <w:r w:rsidRPr="00AD5588">
              <w:rPr>
                <w:rFonts w:eastAsia="仿宋_GB2312" w:hint="eastAsia"/>
                <w:sz w:val="28"/>
              </w:rPr>
              <w:t xml:space="preserve"> </w:t>
            </w:r>
            <w:r w:rsidRPr="00AD5588">
              <w:rPr>
                <w:rFonts w:eastAsia="仿宋_GB2312"/>
                <w:sz w:val="28"/>
              </w:rPr>
              <w:t xml:space="preserve"> </w:t>
            </w:r>
            <w:r w:rsidRPr="00AD5588">
              <w:rPr>
                <w:rFonts w:eastAsia="仿宋_GB2312"/>
                <w:sz w:val="28"/>
              </w:rPr>
              <w:t>员</w:t>
            </w:r>
            <w:r w:rsidRPr="00AD5588">
              <w:rPr>
                <w:rFonts w:eastAsia="仿宋_GB2312" w:hint="eastAsia"/>
                <w:sz w:val="28"/>
              </w:rPr>
              <w:t>：</w:t>
            </w:r>
          </w:p>
        </w:tc>
        <w:tc>
          <w:tcPr>
            <w:tcW w:w="1843" w:type="dxa"/>
          </w:tcPr>
          <w:p w14:paraId="4A43F414" w14:textId="234ED3DD" w:rsidR="00AD5588" w:rsidRPr="00AD5588" w:rsidRDefault="00AD5588" w:rsidP="00AD5588">
            <w:pPr>
              <w:jc w:val="left"/>
              <w:rPr>
                <w:rFonts w:eastAsia="仿宋_GB2312"/>
                <w:sz w:val="28"/>
              </w:rPr>
            </w:pPr>
            <w:r>
              <w:rPr>
                <w:rFonts w:eastAsia="仿宋_GB2312" w:hint="eastAsia"/>
                <w:sz w:val="28"/>
              </w:rPr>
              <w:t>刘可清</w:t>
            </w:r>
          </w:p>
        </w:tc>
        <w:tc>
          <w:tcPr>
            <w:tcW w:w="1417" w:type="dxa"/>
          </w:tcPr>
          <w:p w14:paraId="2BF790AA" w14:textId="13F66385" w:rsidR="00AD5588" w:rsidRPr="00AD5588" w:rsidRDefault="00AD5588" w:rsidP="00AD5588">
            <w:pPr>
              <w:jc w:val="left"/>
              <w:rPr>
                <w:rFonts w:eastAsia="仿宋_GB2312"/>
                <w:sz w:val="28"/>
              </w:rPr>
            </w:pPr>
            <w:r>
              <w:rPr>
                <w:rFonts w:eastAsia="仿宋_GB2312" w:hint="eastAsia"/>
                <w:sz w:val="28"/>
              </w:rPr>
              <w:t>助理教授</w:t>
            </w:r>
          </w:p>
        </w:tc>
        <w:tc>
          <w:tcPr>
            <w:tcW w:w="3686" w:type="dxa"/>
          </w:tcPr>
          <w:p w14:paraId="537584BA" w14:textId="3B06E7B8" w:rsidR="00AD5588" w:rsidRPr="00AD5588" w:rsidRDefault="00AD5588" w:rsidP="00AD5588">
            <w:pPr>
              <w:jc w:val="left"/>
              <w:rPr>
                <w:rFonts w:eastAsia="仿宋_GB2312"/>
                <w:sz w:val="28"/>
              </w:rPr>
            </w:pPr>
            <w:r>
              <w:rPr>
                <w:rFonts w:eastAsia="仿宋_GB2312" w:hint="eastAsia"/>
                <w:sz w:val="28"/>
              </w:rPr>
              <w:t>厦门大学经济学院金融系</w:t>
            </w:r>
            <w:r>
              <w:rPr>
                <w:rFonts w:eastAsia="仿宋_GB2312" w:hint="eastAsia"/>
                <w:sz w:val="28"/>
              </w:rPr>
              <w:t>/</w:t>
            </w:r>
            <w:r>
              <w:rPr>
                <w:rFonts w:eastAsia="仿宋_GB2312" w:hint="eastAsia"/>
                <w:sz w:val="28"/>
              </w:rPr>
              <w:t>王亚南经济研究院</w:t>
            </w:r>
          </w:p>
        </w:tc>
      </w:tr>
      <w:tr w:rsidR="00AD5588" w:rsidRPr="00AD5588" w14:paraId="3C54128D" w14:textId="77777777" w:rsidTr="003837D5">
        <w:trPr>
          <w:jc w:val="center"/>
        </w:trPr>
        <w:tc>
          <w:tcPr>
            <w:tcW w:w="1418" w:type="dxa"/>
          </w:tcPr>
          <w:p w14:paraId="49CE8A0D" w14:textId="77777777" w:rsidR="00AD5588" w:rsidRPr="00AD5588" w:rsidRDefault="00AD5588" w:rsidP="00AD5588">
            <w:pPr>
              <w:jc w:val="center"/>
              <w:rPr>
                <w:rFonts w:eastAsia="仿宋_GB2312"/>
                <w:sz w:val="28"/>
              </w:rPr>
            </w:pPr>
          </w:p>
        </w:tc>
        <w:tc>
          <w:tcPr>
            <w:tcW w:w="1843" w:type="dxa"/>
          </w:tcPr>
          <w:p w14:paraId="1392E20D" w14:textId="74D0541B" w:rsidR="00AD5588" w:rsidRPr="00AD5588" w:rsidRDefault="00AD5588" w:rsidP="00AD5588">
            <w:pPr>
              <w:jc w:val="left"/>
              <w:rPr>
                <w:rFonts w:eastAsia="仿宋_GB2312"/>
                <w:sz w:val="28"/>
              </w:rPr>
            </w:pPr>
            <w:r>
              <w:rPr>
                <w:rFonts w:eastAsia="仿宋_GB2312" w:hint="eastAsia"/>
                <w:sz w:val="28"/>
              </w:rPr>
              <w:t>徐宝林</w:t>
            </w:r>
          </w:p>
        </w:tc>
        <w:tc>
          <w:tcPr>
            <w:tcW w:w="1417" w:type="dxa"/>
          </w:tcPr>
          <w:p w14:paraId="04F6D196" w14:textId="0CFEF617" w:rsidR="00AD5588" w:rsidRPr="00AD5588" w:rsidRDefault="00AD5588" w:rsidP="00AD5588">
            <w:pPr>
              <w:jc w:val="left"/>
              <w:rPr>
                <w:rFonts w:eastAsia="仿宋_GB2312"/>
                <w:sz w:val="28"/>
              </w:rPr>
            </w:pPr>
            <w:r>
              <w:rPr>
                <w:rFonts w:eastAsia="仿宋_GB2312" w:hint="eastAsia"/>
                <w:sz w:val="28"/>
              </w:rPr>
              <w:t>助理教授</w:t>
            </w:r>
          </w:p>
        </w:tc>
        <w:tc>
          <w:tcPr>
            <w:tcW w:w="3686" w:type="dxa"/>
          </w:tcPr>
          <w:p w14:paraId="0BD31833" w14:textId="48EAB74C" w:rsidR="00AD5588" w:rsidRPr="00AD5588" w:rsidRDefault="00AD5588" w:rsidP="00AD5588">
            <w:pPr>
              <w:jc w:val="left"/>
              <w:rPr>
                <w:rFonts w:eastAsia="仿宋_GB2312"/>
                <w:sz w:val="28"/>
              </w:rPr>
            </w:pPr>
            <w:r>
              <w:rPr>
                <w:rFonts w:eastAsia="仿宋_GB2312" w:hint="eastAsia"/>
                <w:sz w:val="28"/>
              </w:rPr>
              <w:t>厦门大学经济学院金融系</w:t>
            </w:r>
          </w:p>
        </w:tc>
      </w:tr>
    </w:tbl>
    <w:p w14:paraId="70214157" w14:textId="4D109DFE" w:rsidR="00725801" w:rsidRPr="00AD5588" w:rsidRDefault="00725801" w:rsidP="00AD5588">
      <w:pPr>
        <w:jc w:val="center"/>
        <w:rPr>
          <w:rFonts w:eastAsia="楷体_GB2312"/>
          <w:sz w:val="24"/>
        </w:rPr>
      </w:pPr>
    </w:p>
    <w:sectPr w:rsidR="00725801" w:rsidRPr="00AD5588" w:rsidSect="004C3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31FA5" w14:textId="77777777" w:rsidR="002A4246" w:rsidRDefault="002A4246" w:rsidP="00170DA4">
      <w:pPr>
        <w:ind w:firstLine="480"/>
      </w:pPr>
      <w:r>
        <w:separator/>
      </w:r>
    </w:p>
  </w:endnote>
  <w:endnote w:type="continuationSeparator" w:id="0">
    <w:p w14:paraId="53CC6E59" w14:textId="77777777" w:rsidR="002A4246" w:rsidRDefault="002A4246" w:rsidP="00170D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CF7B" w14:textId="4FC0B806" w:rsidR="00861CD3" w:rsidRDefault="00861CD3">
    <w:pPr>
      <w:pStyle w:val="af0"/>
      <w:jc w:val="center"/>
    </w:pPr>
  </w:p>
  <w:p w14:paraId="339AF9BF" w14:textId="77777777" w:rsidR="003D2D9B" w:rsidRDefault="003D2D9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6CD3C" w14:textId="20CC94C0" w:rsidR="00275548" w:rsidRDefault="00275548">
    <w:pPr>
      <w:pStyle w:val="af0"/>
      <w:jc w:val="center"/>
    </w:pPr>
  </w:p>
  <w:p w14:paraId="63C810F7" w14:textId="6F19ACA3" w:rsidR="006F2C7E" w:rsidRDefault="006F2C7E" w:rsidP="00F7781D">
    <w:pPr>
      <w:pStyle w:val="af0"/>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07321" w14:textId="1E938889" w:rsidR="003D2D9B" w:rsidRDefault="003D2D9B">
    <w:pPr>
      <w:pStyle w:val="af0"/>
      <w:jc w:val="center"/>
    </w:pPr>
  </w:p>
  <w:p w14:paraId="776D02E5" w14:textId="6A89A24F" w:rsidR="006F2C7E" w:rsidRDefault="006F2C7E">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766258"/>
      <w:docPartObj>
        <w:docPartGallery w:val="Page Numbers (Bottom of Page)"/>
        <w:docPartUnique/>
      </w:docPartObj>
    </w:sdtPr>
    <w:sdtContent>
      <w:p w14:paraId="4EECBA5C" w14:textId="77777777" w:rsidR="00861CD3" w:rsidRDefault="00861CD3">
        <w:pPr>
          <w:pStyle w:val="af0"/>
          <w:jc w:val="center"/>
        </w:pPr>
        <w:r>
          <w:fldChar w:fldCharType="begin"/>
        </w:r>
        <w:r>
          <w:instrText>PAGE   \* MERGEFORMAT</w:instrText>
        </w:r>
        <w:r>
          <w:fldChar w:fldCharType="separate"/>
        </w:r>
        <w:r>
          <w:rPr>
            <w:lang w:val="zh-CN"/>
          </w:rPr>
          <w:t>2</w:t>
        </w:r>
        <w:r>
          <w:fldChar w:fldCharType="end"/>
        </w:r>
      </w:p>
    </w:sdtContent>
  </w:sdt>
  <w:p w14:paraId="6AB6285F" w14:textId="77777777" w:rsidR="00861CD3" w:rsidRDefault="00861CD3">
    <w:pPr>
      <w:pStyle w:val="af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1445034"/>
      <w:docPartObj>
        <w:docPartGallery w:val="Page Numbers (Bottom of Page)"/>
        <w:docPartUnique/>
      </w:docPartObj>
    </w:sdtPr>
    <w:sdtContent>
      <w:p w14:paraId="482F2DCE" w14:textId="4C3C8F41" w:rsidR="00F772E3" w:rsidRDefault="00F772E3">
        <w:pPr>
          <w:pStyle w:val="af0"/>
          <w:jc w:val="center"/>
        </w:pPr>
        <w:r>
          <w:fldChar w:fldCharType="begin"/>
        </w:r>
        <w:r>
          <w:instrText>PAGE   \* MERGEFORMAT</w:instrText>
        </w:r>
        <w:r>
          <w:fldChar w:fldCharType="separate"/>
        </w:r>
        <w:r>
          <w:rPr>
            <w:lang w:val="zh-CN"/>
          </w:rPr>
          <w:t>2</w:t>
        </w:r>
        <w:r>
          <w:fldChar w:fldCharType="end"/>
        </w:r>
      </w:p>
    </w:sdtContent>
  </w:sdt>
  <w:p w14:paraId="0F5EF023" w14:textId="77777777" w:rsidR="00F772E3" w:rsidRDefault="00F772E3" w:rsidP="00F7781D">
    <w:pPr>
      <w:pStyle w:val="af0"/>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459276"/>
      <w:docPartObj>
        <w:docPartGallery w:val="Page Numbers (Bottom of Page)"/>
        <w:docPartUnique/>
      </w:docPartObj>
    </w:sdtPr>
    <w:sdtContent>
      <w:p w14:paraId="2100A5A6" w14:textId="20DD295D" w:rsidR="00275548" w:rsidRDefault="00275548">
        <w:pPr>
          <w:pStyle w:val="af0"/>
          <w:jc w:val="center"/>
        </w:pPr>
        <w:r>
          <w:fldChar w:fldCharType="begin"/>
        </w:r>
        <w:r>
          <w:instrText>PAGE   \* MERGEFORMAT</w:instrText>
        </w:r>
        <w:r>
          <w:fldChar w:fldCharType="separate"/>
        </w:r>
        <w:r>
          <w:rPr>
            <w:lang w:val="zh-CN"/>
          </w:rPr>
          <w:t>2</w:t>
        </w:r>
        <w:r>
          <w:fldChar w:fldCharType="end"/>
        </w:r>
      </w:p>
    </w:sdtContent>
  </w:sdt>
  <w:p w14:paraId="6E1A873C" w14:textId="77777777" w:rsidR="005927CD" w:rsidRDefault="005927CD">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DCE13" w14:textId="77777777" w:rsidR="002A4246" w:rsidRDefault="002A4246" w:rsidP="00170DA4">
      <w:pPr>
        <w:ind w:firstLine="480"/>
      </w:pPr>
      <w:r>
        <w:separator/>
      </w:r>
    </w:p>
  </w:footnote>
  <w:footnote w:type="continuationSeparator" w:id="0">
    <w:p w14:paraId="0C652BEB" w14:textId="77777777" w:rsidR="002A4246" w:rsidRDefault="002A4246" w:rsidP="00170D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36817" w14:textId="677A295B" w:rsidR="003D2D9B" w:rsidRDefault="004E1F2D" w:rsidP="003D2D9B">
    <w:pPr>
      <w:pStyle w:val="ae"/>
      <w:pBdr>
        <w:bottom w:val="single" w:sz="4" w:space="1" w:color="auto"/>
      </w:pBdr>
    </w:pPr>
    <w:r>
      <w:rPr>
        <w:rFonts w:hint="eastAsia"/>
      </w:rPr>
      <w:t>组织资本与董</w:t>
    </w:r>
    <w:proofErr w:type="gramStart"/>
    <w:r>
      <w:rPr>
        <w:rFonts w:hint="eastAsia"/>
      </w:rPr>
      <w:t>监高责任</w:t>
    </w:r>
    <w:proofErr w:type="gramEnd"/>
    <w:r>
      <w:rPr>
        <w:rFonts w:hint="eastAsia"/>
      </w:rPr>
      <w:t>险</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73F0D" w14:textId="77777777" w:rsidR="004E1F2D" w:rsidRPr="003D2D9B" w:rsidRDefault="004E1F2D" w:rsidP="004E1F2D">
    <w:pPr>
      <w:pStyle w:val="ae"/>
      <w:pBdr>
        <w:bottom w:val="single" w:sz="4" w:space="1" w:color="auto"/>
      </w:pBdr>
    </w:pPr>
    <w:r>
      <w:rPr>
        <w:rFonts w:hint="eastAsia"/>
      </w:rPr>
      <w:t>组织资本与董</w:t>
    </w:r>
    <w:proofErr w:type="gramStart"/>
    <w:r>
      <w:rPr>
        <w:rFonts w:hint="eastAsia"/>
      </w:rPr>
      <w:t>监高责任</w:t>
    </w:r>
    <w:proofErr w:type="gramEnd"/>
    <w:r>
      <w:rPr>
        <w:rFonts w:hint="eastAsia"/>
      </w:rPr>
      <w:t>险</w:t>
    </w:r>
  </w:p>
  <w:p w14:paraId="33BFC217" w14:textId="1E4305EE" w:rsidR="001C1E93" w:rsidRPr="004E1F2D" w:rsidRDefault="001C1E93" w:rsidP="004E1F2D">
    <w:pPr>
      <w:pStyle w:val="a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FC6F4" w14:textId="15014A74" w:rsidR="004E1F2D" w:rsidRPr="003D2D9B" w:rsidRDefault="00F772E3" w:rsidP="004E1F2D">
    <w:pPr>
      <w:pStyle w:val="ae"/>
      <w:pBdr>
        <w:bottom w:val="single" w:sz="4" w:space="1" w:color="auto"/>
      </w:pBdr>
    </w:pPr>
    <w:r>
      <w:rPr>
        <w:rFonts w:hint="eastAsia"/>
      </w:rPr>
      <w:t>第四章</w:t>
    </w:r>
    <w:r>
      <w:rPr>
        <w:rFonts w:hint="eastAsia"/>
      </w:rPr>
      <w:t xml:space="preserve">  </w:t>
    </w:r>
    <w:r w:rsidR="004E1F2D">
      <w:rPr>
        <w:rFonts w:hint="eastAsia"/>
      </w:rPr>
      <w:t>实证分析</w:t>
    </w:r>
  </w:p>
  <w:p w14:paraId="3F206E0F" w14:textId="77777777" w:rsidR="004E1F2D" w:rsidRPr="004E1F2D" w:rsidRDefault="004E1F2D" w:rsidP="004E1F2D">
    <w:pPr>
      <w:pStyle w:val="a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FE46A" w14:textId="5C6D6690" w:rsidR="00447D8F" w:rsidRDefault="00447D8F">
    <w:pPr>
      <w:pStyle w:val="ae"/>
      <w:ind w:firstLine="360"/>
    </w:pPr>
    <w:r>
      <w:rPr>
        <w:rFonts w:hint="eastAsia"/>
      </w:rPr>
      <w:t>实证分析</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64C3D" w14:textId="77777777" w:rsidR="004E1F2D" w:rsidRPr="003D2D9B" w:rsidRDefault="004E1F2D" w:rsidP="004E1F2D">
    <w:pPr>
      <w:pStyle w:val="ae"/>
      <w:pBdr>
        <w:bottom w:val="single" w:sz="4" w:space="1" w:color="auto"/>
      </w:pBdr>
    </w:pPr>
    <w:r>
      <w:rPr>
        <w:rFonts w:hint="eastAsia"/>
      </w:rPr>
      <w:t>组织资本与董</w:t>
    </w:r>
    <w:proofErr w:type="gramStart"/>
    <w:r>
      <w:rPr>
        <w:rFonts w:hint="eastAsia"/>
      </w:rPr>
      <w:t>监高责任</w:t>
    </w:r>
    <w:proofErr w:type="gramEnd"/>
    <w:r>
      <w:rPr>
        <w:rFonts w:hint="eastAsia"/>
      </w:rPr>
      <w:t>险</w:t>
    </w:r>
  </w:p>
  <w:p w14:paraId="01745152" w14:textId="4D4DC689" w:rsidR="001C1E93" w:rsidRPr="004E1F2D" w:rsidRDefault="001C1E93" w:rsidP="004E1F2D">
    <w:pPr>
      <w:pStyle w:val="a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06E63" w14:textId="5209F3E3" w:rsidR="004E1F2D" w:rsidRPr="003D2D9B" w:rsidRDefault="00F772E3" w:rsidP="004E1F2D">
    <w:pPr>
      <w:pStyle w:val="ae"/>
      <w:pBdr>
        <w:bottom w:val="single" w:sz="4" w:space="1" w:color="auto"/>
      </w:pBdr>
    </w:pPr>
    <w:r>
      <w:rPr>
        <w:rFonts w:hint="eastAsia"/>
      </w:rPr>
      <w:t>第五章</w:t>
    </w:r>
    <w:r>
      <w:rPr>
        <w:rFonts w:hint="eastAsia"/>
      </w:rPr>
      <w:t xml:space="preserve">  </w:t>
    </w:r>
    <w:r w:rsidR="004E1F2D">
      <w:rPr>
        <w:rFonts w:hint="eastAsia"/>
      </w:rPr>
      <w:t>进一步分析</w:t>
    </w:r>
  </w:p>
  <w:p w14:paraId="6247ACFF" w14:textId="77777777" w:rsidR="004E1F2D" w:rsidRPr="004E1F2D" w:rsidRDefault="004E1F2D" w:rsidP="004E1F2D">
    <w:pPr>
      <w:pStyle w:val="a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A11CD" w14:textId="112B26A6" w:rsidR="00447D8F" w:rsidRDefault="00447D8F">
    <w:pPr>
      <w:pStyle w:val="ae"/>
      <w:ind w:firstLine="360"/>
    </w:pPr>
    <w:r>
      <w:rPr>
        <w:rFonts w:hint="eastAsia"/>
      </w:rPr>
      <w:t>进一步分析</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425D2" w14:textId="77777777" w:rsidR="004E1F2D" w:rsidRPr="003D2D9B" w:rsidRDefault="004E1F2D" w:rsidP="004E1F2D">
    <w:pPr>
      <w:pStyle w:val="ae"/>
      <w:pBdr>
        <w:bottom w:val="single" w:sz="4" w:space="1" w:color="auto"/>
      </w:pBdr>
    </w:pPr>
    <w:r>
      <w:rPr>
        <w:rFonts w:hint="eastAsia"/>
      </w:rPr>
      <w:t>组织资本与董</w:t>
    </w:r>
    <w:proofErr w:type="gramStart"/>
    <w:r>
      <w:rPr>
        <w:rFonts w:hint="eastAsia"/>
      </w:rPr>
      <w:t>监高责任</w:t>
    </w:r>
    <w:proofErr w:type="gramEnd"/>
    <w:r>
      <w:rPr>
        <w:rFonts w:hint="eastAsia"/>
      </w:rPr>
      <w:t>险</w:t>
    </w:r>
  </w:p>
  <w:p w14:paraId="193DA05F" w14:textId="59041C72" w:rsidR="00861CD3" w:rsidRPr="004E1F2D" w:rsidRDefault="00861CD3" w:rsidP="004E1F2D">
    <w:pPr>
      <w:pStyle w:val="a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C0E8" w14:textId="070701FE" w:rsidR="004E1F2D" w:rsidRPr="003D2D9B" w:rsidRDefault="00F772E3" w:rsidP="004E1F2D">
    <w:pPr>
      <w:pStyle w:val="ae"/>
      <w:pBdr>
        <w:bottom w:val="single" w:sz="4" w:space="1" w:color="auto"/>
      </w:pBdr>
    </w:pPr>
    <w:r>
      <w:rPr>
        <w:rFonts w:hint="eastAsia"/>
      </w:rPr>
      <w:t>第六章</w:t>
    </w:r>
    <w:r w:rsidR="004E1F2D">
      <w:rPr>
        <w:rFonts w:hint="eastAsia"/>
      </w:rPr>
      <w:t>结论与展望</w:t>
    </w:r>
  </w:p>
  <w:p w14:paraId="456D6B88" w14:textId="77777777" w:rsidR="004E1F2D" w:rsidRPr="004E1F2D" w:rsidRDefault="004E1F2D" w:rsidP="004E1F2D">
    <w:pPr>
      <w:pStyle w:val="ae"/>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495A5" w14:textId="5893E1FE" w:rsidR="00447D8F" w:rsidRDefault="00447D8F">
    <w:pPr>
      <w:pStyle w:val="ae"/>
      <w:ind w:firstLine="360"/>
    </w:pPr>
    <w:r>
      <w:rPr>
        <w:rFonts w:hint="eastAsia"/>
      </w:rPr>
      <w:t>结论与展望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60602" w14:textId="4270AAEA" w:rsidR="00861CD3" w:rsidRPr="003D2D9B" w:rsidRDefault="004E1F2D" w:rsidP="00861CD3">
    <w:pPr>
      <w:pStyle w:val="ae"/>
      <w:pBdr>
        <w:bottom w:val="single" w:sz="4" w:space="1" w:color="auto"/>
      </w:pBdr>
    </w:pPr>
    <w:r>
      <w:rPr>
        <w:rFonts w:hint="eastAsia"/>
      </w:rPr>
      <w:t>组织资本与董</w:t>
    </w:r>
    <w:proofErr w:type="gramStart"/>
    <w:r>
      <w:rPr>
        <w:rFonts w:hint="eastAsia"/>
      </w:rPr>
      <w:t>监高责任</w:t>
    </w:r>
    <w:proofErr w:type="gramEnd"/>
    <w:r>
      <w:rPr>
        <w:rFonts w:hint="eastAsia"/>
      </w:rPr>
      <w:t>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6A1AC" w14:textId="5CB14E2B" w:rsidR="004E1F2D" w:rsidRPr="003D2D9B" w:rsidRDefault="00F772E3" w:rsidP="004E1F2D">
    <w:pPr>
      <w:pStyle w:val="ae"/>
      <w:pBdr>
        <w:bottom w:val="single" w:sz="4" w:space="1" w:color="auto"/>
      </w:pBdr>
    </w:pPr>
    <w:r>
      <w:rPr>
        <w:rFonts w:hint="eastAsia"/>
      </w:rPr>
      <w:t>第一章</w:t>
    </w:r>
    <w:r>
      <w:rPr>
        <w:rFonts w:hint="eastAsia"/>
      </w:rPr>
      <w:t xml:space="preserve">  </w:t>
    </w:r>
    <w:r w:rsidR="004E1F2D">
      <w:rPr>
        <w:rFonts w:hint="eastAsia"/>
      </w:rPr>
      <w:t>引言</w:t>
    </w:r>
  </w:p>
  <w:p w14:paraId="4244C7ED" w14:textId="75D3A750" w:rsidR="00D41641" w:rsidRPr="004E1F2D" w:rsidRDefault="00D41641" w:rsidP="004E1F2D">
    <w:pPr>
      <w:pStyle w:val="a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EE28B" w14:textId="2D2E4D59" w:rsidR="004E1F2D" w:rsidRPr="003D2D9B" w:rsidRDefault="004E1F2D" w:rsidP="004E1F2D">
    <w:pPr>
      <w:pStyle w:val="ae"/>
      <w:pBdr>
        <w:bottom w:val="single" w:sz="4" w:space="1" w:color="auto"/>
      </w:pBdr>
    </w:pPr>
    <w:r>
      <w:rPr>
        <w:rFonts w:hint="eastAsia"/>
      </w:rPr>
      <w:t>参考文献</w:t>
    </w:r>
  </w:p>
  <w:p w14:paraId="3365C723" w14:textId="77777777" w:rsidR="004E1F2D" w:rsidRPr="004E1F2D" w:rsidRDefault="004E1F2D" w:rsidP="004E1F2D">
    <w:pPr>
      <w:pStyle w:val="ae"/>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71174" w14:textId="6FF78B4F" w:rsidR="00887AB9" w:rsidRDefault="00887AB9">
    <w:pPr>
      <w:pStyle w:val="ae"/>
      <w:ind w:firstLine="360"/>
    </w:pP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DF165" w14:textId="176A5854" w:rsidR="00BC1BDC" w:rsidRPr="003D2D9B" w:rsidRDefault="00BC1BDC" w:rsidP="004E1F2D">
    <w:pPr>
      <w:pStyle w:val="ae"/>
      <w:pBdr>
        <w:bottom w:val="single" w:sz="4" w:space="1" w:color="auto"/>
      </w:pBdr>
    </w:pPr>
    <w:r>
      <w:rPr>
        <w:rFonts w:hint="eastAsia"/>
      </w:rPr>
      <w:t>致谢</w:t>
    </w:r>
  </w:p>
  <w:p w14:paraId="75E2901F" w14:textId="77777777" w:rsidR="00BC1BDC" w:rsidRPr="004E1F2D" w:rsidRDefault="00BC1BDC" w:rsidP="004E1F2D">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9A347" w14:textId="77777777" w:rsidR="00D41641" w:rsidRDefault="00D41641">
    <w:pPr>
      <w:pStyle w:val="ae"/>
    </w:pPr>
    <w:r>
      <w:rPr>
        <w:rFonts w:hint="eastAsia"/>
      </w:rPr>
      <w:t>引言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69685" w14:textId="79708691" w:rsidR="003D2D9B" w:rsidRPr="004E1F2D" w:rsidRDefault="004E1F2D" w:rsidP="004E1F2D">
    <w:pPr>
      <w:pStyle w:val="ae"/>
      <w:pBdr>
        <w:bottom w:val="single" w:sz="4" w:space="1" w:color="auto"/>
      </w:pBdr>
    </w:pPr>
    <w:r>
      <w:rPr>
        <w:rFonts w:hint="eastAsia"/>
      </w:rPr>
      <w:t>组织资本与董</w:t>
    </w:r>
    <w:proofErr w:type="gramStart"/>
    <w:r>
      <w:rPr>
        <w:rFonts w:hint="eastAsia"/>
      </w:rPr>
      <w:t>监高责任</w:t>
    </w:r>
    <w:proofErr w:type="gramEnd"/>
    <w:r>
      <w:rPr>
        <w:rFonts w:hint="eastAsia"/>
      </w:rPr>
      <w:t>险</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80E4" w14:textId="7353CF84" w:rsidR="004E1F2D" w:rsidRPr="003D2D9B" w:rsidRDefault="00F772E3" w:rsidP="004E1F2D">
    <w:pPr>
      <w:pStyle w:val="ae"/>
      <w:pBdr>
        <w:bottom w:val="single" w:sz="4" w:space="1" w:color="auto"/>
      </w:pBdr>
    </w:pPr>
    <w:r>
      <w:rPr>
        <w:rFonts w:hint="eastAsia"/>
      </w:rPr>
      <w:t>第二章</w:t>
    </w:r>
    <w:r>
      <w:rPr>
        <w:rFonts w:hint="eastAsia"/>
      </w:rPr>
      <w:t xml:space="preserve">  </w:t>
    </w:r>
    <w:r w:rsidR="004E1F2D">
      <w:rPr>
        <w:rFonts w:hint="eastAsia"/>
      </w:rPr>
      <w:t>文献综述与研究假设</w:t>
    </w:r>
  </w:p>
  <w:p w14:paraId="5E3178D4" w14:textId="77777777" w:rsidR="004E1F2D" w:rsidRPr="004E1F2D" w:rsidRDefault="004E1F2D" w:rsidP="004E1F2D">
    <w:pPr>
      <w:pStyle w:val="a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52555" w14:textId="63C2A018" w:rsidR="00447D8F" w:rsidRDefault="00447D8F">
    <w:pPr>
      <w:pStyle w:val="ae"/>
      <w:ind w:firstLine="360"/>
    </w:pPr>
    <w:r>
      <w:rPr>
        <w:rFonts w:hint="eastAsia"/>
      </w:rPr>
      <w:t>文献综述与研究假设</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21B0F" w14:textId="73AFC62A" w:rsidR="00861CD3" w:rsidRPr="003D2D9B" w:rsidRDefault="004E1F2D" w:rsidP="00861CD3">
    <w:pPr>
      <w:pStyle w:val="ae"/>
      <w:pBdr>
        <w:bottom w:val="single" w:sz="4" w:space="1" w:color="auto"/>
      </w:pBdr>
    </w:pPr>
    <w:r>
      <w:rPr>
        <w:rFonts w:hint="eastAsia"/>
      </w:rPr>
      <w:t>组织资本与董</w:t>
    </w:r>
    <w:proofErr w:type="gramStart"/>
    <w:r>
      <w:rPr>
        <w:rFonts w:hint="eastAsia"/>
      </w:rPr>
      <w:t>监高责任</w:t>
    </w:r>
    <w:proofErr w:type="gramEnd"/>
    <w:r>
      <w:rPr>
        <w:rFonts w:hint="eastAsia"/>
      </w:rPr>
      <w:t>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06A5" w14:textId="47FD905B" w:rsidR="004E1F2D" w:rsidRPr="003D2D9B" w:rsidRDefault="00F772E3" w:rsidP="004E1F2D">
    <w:pPr>
      <w:pStyle w:val="ae"/>
      <w:pBdr>
        <w:bottom w:val="single" w:sz="4" w:space="1" w:color="auto"/>
      </w:pBdr>
    </w:pPr>
    <w:r>
      <w:rPr>
        <w:rFonts w:hint="eastAsia"/>
      </w:rPr>
      <w:t>第三章</w:t>
    </w:r>
    <w:r>
      <w:rPr>
        <w:rFonts w:hint="eastAsia"/>
      </w:rPr>
      <w:t xml:space="preserve">  </w:t>
    </w:r>
    <w:r w:rsidR="004E1F2D">
      <w:rPr>
        <w:rFonts w:hint="eastAsia"/>
      </w:rPr>
      <w:t>研究设计</w:t>
    </w:r>
  </w:p>
  <w:p w14:paraId="5B84B198" w14:textId="77777777" w:rsidR="004E1F2D" w:rsidRPr="004E1F2D" w:rsidRDefault="004E1F2D" w:rsidP="004E1F2D">
    <w:pPr>
      <w:pStyle w:val="a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64CDD" w14:textId="2160F14F" w:rsidR="00447D8F" w:rsidRDefault="00447D8F">
    <w:pPr>
      <w:pStyle w:val="ae"/>
      <w:ind w:firstLine="360"/>
    </w:pPr>
    <w:r>
      <w:rPr>
        <w:rFonts w:hint="eastAsia"/>
      </w:rPr>
      <w:t>研究设计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45889"/>
    <w:multiLevelType w:val="hybridMultilevel"/>
    <w:tmpl w:val="46406196"/>
    <w:lvl w:ilvl="0" w:tplc="5DFE4B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C97B52"/>
    <w:multiLevelType w:val="hybridMultilevel"/>
    <w:tmpl w:val="920ECAF4"/>
    <w:lvl w:ilvl="0" w:tplc="790E8BD6">
      <w:start w:val="1"/>
      <w:numFmt w:val="decimal"/>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579F411D"/>
    <w:multiLevelType w:val="hybridMultilevel"/>
    <w:tmpl w:val="08FE4250"/>
    <w:lvl w:ilvl="0" w:tplc="412805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E024070"/>
    <w:multiLevelType w:val="multilevel"/>
    <w:tmpl w:val="BADAD982"/>
    <w:lvl w:ilvl="0">
      <w:start w:val="1"/>
      <w:numFmt w:val="chineseCountingThousand"/>
      <w:pStyle w:val="1"/>
      <w:suff w:val="space"/>
      <w:lvlText w:val="第%1章"/>
      <w:lvlJc w:val="left"/>
      <w:pPr>
        <w:ind w:left="3544" w:hanging="425"/>
      </w:pPr>
    </w:lvl>
    <w:lvl w:ilvl="1">
      <w:start w:val="1"/>
      <w:numFmt w:val="decimal"/>
      <w:pStyle w:val="2"/>
      <w:isLgl/>
      <w:suff w:val="space"/>
      <w:lvlText w:val="%1.%2"/>
      <w:lvlJc w:val="left"/>
      <w:pPr>
        <w:ind w:left="0" w:firstLine="0"/>
      </w:pPr>
      <w:rPr>
        <w:rFonts w:eastAsia="黑体" w:hint="eastAsia"/>
        <w:b/>
        <w:bCs w:val="0"/>
        <w:i w:val="0"/>
        <w:sz w:val="28"/>
      </w:rPr>
    </w:lvl>
    <w:lvl w:ilvl="2">
      <w:start w:val="1"/>
      <w:numFmt w:val="decimal"/>
      <w:pStyle w:val="3"/>
      <w:isLgl/>
      <w:suff w:val="space"/>
      <w:lvlText w:val="%1.%2.%3"/>
      <w:lvlJc w:val="left"/>
      <w:pPr>
        <w:ind w:left="0" w:firstLine="0"/>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074860245">
    <w:abstractNumId w:val="3"/>
  </w:num>
  <w:num w:numId="2" w16cid:durableId="1144545914">
    <w:abstractNumId w:val="1"/>
  </w:num>
  <w:num w:numId="3" w16cid:durableId="606740762">
    <w:abstractNumId w:val="2"/>
  </w:num>
  <w:num w:numId="4" w16cid:durableId="86868523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75"/>
    <w:rsid w:val="00004932"/>
    <w:rsid w:val="000054DD"/>
    <w:rsid w:val="00007214"/>
    <w:rsid w:val="00011072"/>
    <w:rsid w:val="0001112F"/>
    <w:rsid w:val="0001186E"/>
    <w:rsid w:val="00014049"/>
    <w:rsid w:val="0001529F"/>
    <w:rsid w:val="00017530"/>
    <w:rsid w:val="00017FB5"/>
    <w:rsid w:val="00021C1E"/>
    <w:rsid w:val="00022DE8"/>
    <w:rsid w:val="00025433"/>
    <w:rsid w:val="000254E5"/>
    <w:rsid w:val="00026DC9"/>
    <w:rsid w:val="00034F74"/>
    <w:rsid w:val="0004104A"/>
    <w:rsid w:val="0004121A"/>
    <w:rsid w:val="00041BEC"/>
    <w:rsid w:val="00042A39"/>
    <w:rsid w:val="00043E96"/>
    <w:rsid w:val="00051BF1"/>
    <w:rsid w:val="00053C01"/>
    <w:rsid w:val="00054F37"/>
    <w:rsid w:val="00060154"/>
    <w:rsid w:val="00065A76"/>
    <w:rsid w:val="00066A3C"/>
    <w:rsid w:val="00066F36"/>
    <w:rsid w:val="0006721A"/>
    <w:rsid w:val="000676E8"/>
    <w:rsid w:val="000708D4"/>
    <w:rsid w:val="00071633"/>
    <w:rsid w:val="0007167F"/>
    <w:rsid w:val="0007233B"/>
    <w:rsid w:val="00076B0D"/>
    <w:rsid w:val="000804D3"/>
    <w:rsid w:val="00081446"/>
    <w:rsid w:val="00085FC7"/>
    <w:rsid w:val="00086241"/>
    <w:rsid w:val="00087669"/>
    <w:rsid w:val="0009226F"/>
    <w:rsid w:val="00093BA3"/>
    <w:rsid w:val="000A01BA"/>
    <w:rsid w:val="000A70A8"/>
    <w:rsid w:val="000A7E16"/>
    <w:rsid w:val="000B0691"/>
    <w:rsid w:val="000B0BC4"/>
    <w:rsid w:val="000B2440"/>
    <w:rsid w:val="000B278D"/>
    <w:rsid w:val="000B5369"/>
    <w:rsid w:val="000B76E7"/>
    <w:rsid w:val="000B79A2"/>
    <w:rsid w:val="000B7F84"/>
    <w:rsid w:val="000C4427"/>
    <w:rsid w:val="000C60CA"/>
    <w:rsid w:val="000C7E43"/>
    <w:rsid w:val="000D0F59"/>
    <w:rsid w:val="000D14DC"/>
    <w:rsid w:val="000D38F5"/>
    <w:rsid w:val="000D567E"/>
    <w:rsid w:val="000D785F"/>
    <w:rsid w:val="000E064E"/>
    <w:rsid w:val="000E1BCF"/>
    <w:rsid w:val="000E2414"/>
    <w:rsid w:val="000E3DC9"/>
    <w:rsid w:val="000E5383"/>
    <w:rsid w:val="000E65C1"/>
    <w:rsid w:val="000E7711"/>
    <w:rsid w:val="000F0042"/>
    <w:rsid w:val="000F0068"/>
    <w:rsid w:val="000F12FD"/>
    <w:rsid w:val="000F2C39"/>
    <w:rsid w:val="0010059E"/>
    <w:rsid w:val="001019E8"/>
    <w:rsid w:val="00101EC3"/>
    <w:rsid w:val="0010312E"/>
    <w:rsid w:val="0011040E"/>
    <w:rsid w:val="0011184E"/>
    <w:rsid w:val="00113FE0"/>
    <w:rsid w:val="0012372C"/>
    <w:rsid w:val="001240A5"/>
    <w:rsid w:val="00125280"/>
    <w:rsid w:val="00131491"/>
    <w:rsid w:val="00134B21"/>
    <w:rsid w:val="00134D67"/>
    <w:rsid w:val="00135686"/>
    <w:rsid w:val="00136CCF"/>
    <w:rsid w:val="00136FC3"/>
    <w:rsid w:val="00141F26"/>
    <w:rsid w:val="001422E1"/>
    <w:rsid w:val="00142384"/>
    <w:rsid w:val="0014300F"/>
    <w:rsid w:val="0014563A"/>
    <w:rsid w:val="00145C83"/>
    <w:rsid w:val="00146A95"/>
    <w:rsid w:val="0014798F"/>
    <w:rsid w:val="00153408"/>
    <w:rsid w:val="0015403B"/>
    <w:rsid w:val="00161271"/>
    <w:rsid w:val="00161F2A"/>
    <w:rsid w:val="001620E3"/>
    <w:rsid w:val="00170DA4"/>
    <w:rsid w:val="00170DF8"/>
    <w:rsid w:val="0017150D"/>
    <w:rsid w:val="001749BA"/>
    <w:rsid w:val="00177765"/>
    <w:rsid w:val="00183022"/>
    <w:rsid w:val="00183D0B"/>
    <w:rsid w:val="00184AB7"/>
    <w:rsid w:val="00184BB7"/>
    <w:rsid w:val="00184DA4"/>
    <w:rsid w:val="0019239C"/>
    <w:rsid w:val="00192680"/>
    <w:rsid w:val="00193D4F"/>
    <w:rsid w:val="001973B4"/>
    <w:rsid w:val="00197A9F"/>
    <w:rsid w:val="001A1BBF"/>
    <w:rsid w:val="001A4380"/>
    <w:rsid w:val="001A48C6"/>
    <w:rsid w:val="001A52A4"/>
    <w:rsid w:val="001A68CD"/>
    <w:rsid w:val="001A71C8"/>
    <w:rsid w:val="001B0B55"/>
    <w:rsid w:val="001B1605"/>
    <w:rsid w:val="001B7A41"/>
    <w:rsid w:val="001C1E93"/>
    <w:rsid w:val="001C49A4"/>
    <w:rsid w:val="001C4B66"/>
    <w:rsid w:val="001C71A3"/>
    <w:rsid w:val="001D146D"/>
    <w:rsid w:val="001D1D4A"/>
    <w:rsid w:val="001D21C2"/>
    <w:rsid w:val="001D2E88"/>
    <w:rsid w:val="001D4711"/>
    <w:rsid w:val="001D52D1"/>
    <w:rsid w:val="001D6ED7"/>
    <w:rsid w:val="001E2ED7"/>
    <w:rsid w:val="001F135B"/>
    <w:rsid w:val="001F35F2"/>
    <w:rsid w:val="001F5E7E"/>
    <w:rsid w:val="001F7D41"/>
    <w:rsid w:val="00201039"/>
    <w:rsid w:val="00202D83"/>
    <w:rsid w:val="0020314E"/>
    <w:rsid w:val="00203A8D"/>
    <w:rsid w:val="00207032"/>
    <w:rsid w:val="002103A5"/>
    <w:rsid w:val="00212B19"/>
    <w:rsid w:val="00212DE2"/>
    <w:rsid w:val="00213FE0"/>
    <w:rsid w:val="002232EB"/>
    <w:rsid w:val="00223F5F"/>
    <w:rsid w:val="00224342"/>
    <w:rsid w:val="002255B0"/>
    <w:rsid w:val="00225881"/>
    <w:rsid w:val="00226B75"/>
    <w:rsid w:val="00236A5A"/>
    <w:rsid w:val="00236CC9"/>
    <w:rsid w:val="00240364"/>
    <w:rsid w:val="00241119"/>
    <w:rsid w:val="00245A31"/>
    <w:rsid w:val="00251F0F"/>
    <w:rsid w:val="00255F30"/>
    <w:rsid w:val="00257A5B"/>
    <w:rsid w:val="00263E64"/>
    <w:rsid w:val="00264F9B"/>
    <w:rsid w:val="002701FA"/>
    <w:rsid w:val="00270FF8"/>
    <w:rsid w:val="00275548"/>
    <w:rsid w:val="0028193F"/>
    <w:rsid w:val="00283B3A"/>
    <w:rsid w:val="00283F29"/>
    <w:rsid w:val="00284A83"/>
    <w:rsid w:val="00285ECF"/>
    <w:rsid w:val="00290D75"/>
    <w:rsid w:val="0029141C"/>
    <w:rsid w:val="00291B68"/>
    <w:rsid w:val="002969F6"/>
    <w:rsid w:val="00297ADD"/>
    <w:rsid w:val="002A05A6"/>
    <w:rsid w:val="002A12E0"/>
    <w:rsid w:val="002A2737"/>
    <w:rsid w:val="002A3505"/>
    <w:rsid w:val="002A4081"/>
    <w:rsid w:val="002A4246"/>
    <w:rsid w:val="002A4BC8"/>
    <w:rsid w:val="002A6FD1"/>
    <w:rsid w:val="002B0E7A"/>
    <w:rsid w:val="002C4B6A"/>
    <w:rsid w:val="002C576B"/>
    <w:rsid w:val="002C6BD4"/>
    <w:rsid w:val="002C75D2"/>
    <w:rsid w:val="002C778C"/>
    <w:rsid w:val="002D39F1"/>
    <w:rsid w:val="002D4AEE"/>
    <w:rsid w:val="002D7694"/>
    <w:rsid w:val="002D7CF4"/>
    <w:rsid w:val="002E424A"/>
    <w:rsid w:val="002E5540"/>
    <w:rsid w:val="002E7FF9"/>
    <w:rsid w:val="002F0469"/>
    <w:rsid w:val="002F26D3"/>
    <w:rsid w:val="002F4C59"/>
    <w:rsid w:val="002F764E"/>
    <w:rsid w:val="002F77B0"/>
    <w:rsid w:val="00300AEA"/>
    <w:rsid w:val="00302E4E"/>
    <w:rsid w:val="003034FD"/>
    <w:rsid w:val="00304FFF"/>
    <w:rsid w:val="00306B98"/>
    <w:rsid w:val="00310948"/>
    <w:rsid w:val="00312323"/>
    <w:rsid w:val="00312D71"/>
    <w:rsid w:val="003206B8"/>
    <w:rsid w:val="00320F36"/>
    <w:rsid w:val="003218E0"/>
    <w:rsid w:val="003222E9"/>
    <w:rsid w:val="00323B97"/>
    <w:rsid w:val="00324A2B"/>
    <w:rsid w:val="003278C4"/>
    <w:rsid w:val="00327B33"/>
    <w:rsid w:val="003314C4"/>
    <w:rsid w:val="00332993"/>
    <w:rsid w:val="00332FED"/>
    <w:rsid w:val="00334160"/>
    <w:rsid w:val="00335602"/>
    <w:rsid w:val="00335D9A"/>
    <w:rsid w:val="00337CE2"/>
    <w:rsid w:val="00342A5A"/>
    <w:rsid w:val="00344F38"/>
    <w:rsid w:val="0035095E"/>
    <w:rsid w:val="003523D8"/>
    <w:rsid w:val="00354CA9"/>
    <w:rsid w:val="00354F77"/>
    <w:rsid w:val="0035517E"/>
    <w:rsid w:val="00356601"/>
    <w:rsid w:val="003606FE"/>
    <w:rsid w:val="00360AC5"/>
    <w:rsid w:val="00361B7D"/>
    <w:rsid w:val="00365EC7"/>
    <w:rsid w:val="00367599"/>
    <w:rsid w:val="00370909"/>
    <w:rsid w:val="00370FED"/>
    <w:rsid w:val="003713A5"/>
    <w:rsid w:val="003717E8"/>
    <w:rsid w:val="00372082"/>
    <w:rsid w:val="00374EB6"/>
    <w:rsid w:val="00380117"/>
    <w:rsid w:val="00383462"/>
    <w:rsid w:val="00384793"/>
    <w:rsid w:val="003855B1"/>
    <w:rsid w:val="00387C3A"/>
    <w:rsid w:val="00391FF8"/>
    <w:rsid w:val="00392984"/>
    <w:rsid w:val="003973D7"/>
    <w:rsid w:val="003A22A9"/>
    <w:rsid w:val="003A28C3"/>
    <w:rsid w:val="003A5F5D"/>
    <w:rsid w:val="003B0EA7"/>
    <w:rsid w:val="003B2DE5"/>
    <w:rsid w:val="003B426D"/>
    <w:rsid w:val="003B5D8C"/>
    <w:rsid w:val="003C054C"/>
    <w:rsid w:val="003C2AEE"/>
    <w:rsid w:val="003D0967"/>
    <w:rsid w:val="003D2D9B"/>
    <w:rsid w:val="003D4CAF"/>
    <w:rsid w:val="003D5A4A"/>
    <w:rsid w:val="003D5DA1"/>
    <w:rsid w:val="003D78B9"/>
    <w:rsid w:val="003E27C6"/>
    <w:rsid w:val="003E27D5"/>
    <w:rsid w:val="003E61EC"/>
    <w:rsid w:val="003E7011"/>
    <w:rsid w:val="003F0F44"/>
    <w:rsid w:val="003F2E77"/>
    <w:rsid w:val="003F5AB0"/>
    <w:rsid w:val="003F62C7"/>
    <w:rsid w:val="003F6C5C"/>
    <w:rsid w:val="003F7F8C"/>
    <w:rsid w:val="00401AF1"/>
    <w:rsid w:val="00403201"/>
    <w:rsid w:val="00404B90"/>
    <w:rsid w:val="00405988"/>
    <w:rsid w:val="00406552"/>
    <w:rsid w:val="00407063"/>
    <w:rsid w:val="00407BF6"/>
    <w:rsid w:val="0041522B"/>
    <w:rsid w:val="00415C19"/>
    <w:rsid w:val="00415D1D"/>
    <w:rsid w:val="004163B5"/>
    <w:rsid w:val="00422888"/>
    <w:rsid w:val="00425E8A"/>
    <w:rsid w:val="004264FF"/>
    <w:rsid w:val="00427373"/>
    <w:rsid w:val="004304DF"/>
    <w:rsid w:val="0043092A"/>
    <w:rsid w:val="00431177"/>
    <w:rsid w:val="0043157B"/>
    <w:rsid w:val="0043214C"/>
    <w:rsid w:val="004347C6"/>
    <w:rsid w:val="00434C1B"/>
    <w:rsid w:val="0044287B"/>
    <w:rsid w:val="00443308"/>
    <w:rsid w:val="004449F1"/>
    <w:rsid w:val="00447D8F"/>
    <w:rsid w:val="00451437"/>
    <w:rsid w:val="00452A2C"/>
    <w:rsid w:val="00453146"/>
    <w:rsid w:val="00453375"/>
    <w:rsid w:val="00455E31"/>
    <w:rsid w:val="004560D0"/>
    <w:rsid w:val="00456A37"/>
    <w:rsid w:val="0046186A"/>
    <w:rsid w:val="00462FC6"/>
    <w:rsid w:val="004642C9"/>
    <w:rsid w:val="00464F40"/>
    <w:rsid w:val="00467006"/>
    <w:rsid w:val="00471A72"/>
    <w:rsid w:val="00471BDD"/>
    <w:rsid w:val="004720BF"/>
    <w:rsid w:val="00477FFD"/>
    <w:rsid w:val="00482672"/>
    <w:rsid w:val="00483602"/>
    <w:rsid w:val="0048393B"/>
    <w:rsid w:val="00483DA7"/>
    <w:rsid w:val="004872EE"/>
    <w:rsid w:val="0048771F"/>
    <w:rsid w:val="00491833"/>
    <w:rsid w:val="00491C78"/>
    <w:rsid w:val="004921A2"/>
    <w:rsid w:val="00492406"/>
    <w:rsid w:val="00493588"/>
    <w:rsid w:val="0049385E"/>
    <w:rsid w:val="00497CA0"/>
    <w:rsid w:val="004A178F"/>
    <w:rsid w:val="004A4015"/>
    <w:rsid w:val="004A6EE9"/>
    <w:rsid w:val="004B05EB"/>
    <w:rsid w:val="004B435C"/>
    <w:rsid w:val="004B4712"/>
    <w:rsid w:val="004B6D08"/>
    <w:rsid w:val="004B772F"/>
    <w:rsid w:val="004B7DE3"/>
    <w:rsid w:val="004C36D5"/>
    <w:rsid w:val="004C5073"/>
    <w:rsid w:val="004C5119"/>
    <w:rsid w:val="004C5E60"/>
    <w:rsid w:val="004C7C3A"/>
    <w:rsid w:val="004D24AB"/>
    <w:rsid w:val="004D355A"/>
    <w:rsid w:val="004D3DF3"/>
    <w:rsid w:val="004D5C19"/>
    <w:rsid w:val="004E1F2D"/>
    <w:rsid w:val="004E29A7"/>
    <w:rsid w:val="004E2EF2"/>
    <w:rsid w:val="004E62E5"/>
    <w:rsid w:val="004F025A"/>
    <w:rsid w:val="004F15F8"/>
    <w:rsid w:val="004F391E"/>
    <w:rsid w:val="004F4591"/>
    <w:rsid w:val="004F76A8"/>
    <w:rsid w:val="00501798"/>
    <w:rsid w:val="00501AD9"/>
    <w:rsid w:val="00501B00"/>
    <w:rsid w:val="00504130"/>
    <w:rsid w:val="00504A52"/>
    <w:rsid w:val="00504DB8"/>
    <w:rsid w:val="00505F30"/>
    <w:rsid w:val="00505FD3"/>
    <w:rsid w:val="005113BB"/>
    <w:rsid w:val="0051184B"/>
    <w:rsid w:val="005139E8"/>
    <w:rsid w:val="00513DDD"/>
    <w:rsid w:val="00515B58"/>
    <w:rsid w:val="00516E61"/>
    <w:rsid w:val="00517C3F"/>
    <w:rsid w:val="00520D3C"/>
    <w:rsid w:val="00523C35"/>
    <w:rsid w:val="0052463C"/>
    <w:rsid w:val="00524E1B"/>
    <w:rsid w:val="005250EA"/>
    <w:rsid w:val="00527B66"/>
    <w:rsid w:val="00527FBE"/>
    <w:rsid w:val="00530291"/>
    <w:rsid w:val="00530B72"/>
    <w:rsid w:val="00530D34"/>
    <w:rsid w:val="0053486E"/>
    <w:rsid w:val="00535CE6"/>
    <w:rsid w:val="00535F0D"/>
    <w:rsid w:val="005374C7"/>
    <w:rsid w:val="00537E1A"/>
    <w:rsid w:val="00540031"/>
    <w:rsid w:val="005402BD"/>
    <w:rsid w:val="00540675"/>
    <w:rsid w:val="00541215"/>
    <w:rsid w:val="005416B4"/>
    <w:rsid w:val="00541A5A"/>
    <w:rsid w:val="00543446"/>
    <w:rsid w:val="005501B4"/>
    <w:rsid w:val="00551A94"/>
    <w:rsid w:val="00554A3B"/>
    <w:rsid w:val="00555B97"/>
    <w:rsid w:val="00555F0C"/>
    <w:rsid w:val="00556E76"/>
    <w:rsid w:val="00557D7D"/>
    <w:rsid w:val="00557F01"/>
    <w:rsid w:val="00564C66"/>
    <w:rsid w:val="005659D3"/>
    <w:rsid w:val="00566E24"/>
    <w:rsid w:val="005735F8"/>
    <w:rsid w:val="00573DFE"/>
    <w:rsid w:val="00575219"/>
    <w:rsid w:val="0057541C"/>
    <w:rsid w:val="0057591D"/>
    <w:rsid w:val="005767DC"/>
    <w:rsid w:val="00576B9C"/>
    <w:rsid w:val="00582D1D"/>
    <w:rsid w:val="0058474D"/>
    <w:rsid w:val="005852B8"/>
    <w:rsid w:val="00587FCE"/>
    <w:rsid w:val="00591085"/>
    <w:rsid w:val="005927CD"/>
    <w:rsid w:val="00592D8E"/>
    <w:rsid w:val="005940F7"/>
    <w:rsid w:val="00597A49"/>
    <w:rsid w:val="00597A80"/>
    <w:rsid w:val="00597A9A"/>
    <w:rsid w:val="005A258B"/>
    <w:rsid w:val="005A4FDE"/>
    <w:rsid w:val="005A5038"/>
    <w:rsid w:val="005B05BD"/>
    <w:rsid w:val="005B1D76"/>
    <w:rsid w:val="005B7F70"/>
    <w:rsid w:val="005D26BE"/>
    <w:rsid w:val="005D3973"/>
    <w:rsid w:val="005D3C3F"/>
    <w:rsid w:val="005D413C"/>
    <w:rsid w:val="005D4579"/>
    <w:rsid w:val="005D4A4B"/>
    <w:rsid w:val="005E00D9"/>
    <w:rsid w:val="005E218C"/>
    <w:rsid w:val="005E29FB"/>
    <w:rsid w:val="005E4130"/>
    <w:rsid w:val="005E5F18"/>
    <w:rsid w:val="005F05D5"/>
    <w:rsid w:val="005F2B3F"/>
    <w:rsid w:val="005F4FB8"/>
    <w:rsid w:val="005F50EC"/>
    <w:rsid w:val="005F6ABB"/>
    <w:rsid w:val="005F742B"/>
    <w:rsid w:val="00601DA8"/>
    <w:rsid w:val="00601F7D"/>
    <w:rsid w:val="00602322"/>
    <w:rsid w:val="0060306E"/>
    <w:rsid w:val="00603CF2"/>
    <w:rsid w:val="0061066B"/>
    <w:rsid w:val="00613EDF"/>
    <w:rsid w:val="00614541"/>
    <w:rsid w:val="00614CC3"/>
    <w:rsid w:val="00615102"/>
    <w:rsid w:val="00616A32"/>
    <w:rsid w:val="00622926"/>
    <w:rsid w:val="006229D4"/>
    <w:rsid w:val="0062376B"/>
    <w:rsid w:val="006259C8"/>
    <w:rsid w:val="00627855"/>
    <w:rsid w:val="00630184"/>
    <w:rsid w:val="00630D2B"/>
    <w:rsid w:val="00631824"/>
    <w:rsid w:val="006334BF"/>
    <w:rsid w:val="00636C40"/>
    <w:rsid w:val="00640E4B"/>
    <w:rsid w:val="006410E9"/>
    <w:rsid w:val="00641423"/>
    <w:rsid w:val="00643B8F"/>
    <w:rsid w:val="00643BD6"/>
    <w:rsid w:val="0064513A"/>
    <w:rsid w:val="00650C04"/>
    <w:rsid w:val="00651CE0"/>
    <w:rsid w:val="006520B5"/>
    <w:rsid w:val="00653C89"/>
    <w:rsid w:val="006563B7"/>
    <w:rsid w:val="006612F0"/>
    <w:rsid w:val="00661998"/>
    <w:rsid w:val="006619F2"/>
    <w:rsid w:val="00661B1E"/>
    <w:rsid w:val="006669E5"/>
    <w:rsid w:val="006701D8"/>
    <w:rsid w:val="006712D4"/>
    <w:rsid w:val="00676F98"/>
    <w:rsid w:val="00680182"/>
    <w:rsid w:val="0068135F"/>
    <w:rsid w:val="00687289"/>
    <w:rsid w:val="00687855"/>
    <w:rsid w:val="00687C35"/>
    <w:rsid w:val="0069021A"/>
    <w:rsid w:val="006905A4"/>
    <w:rsid w:val="00692582"/>
    <w:rsid w:val="00692FA8"/>
    <w:rsid w:val="006A2E4F"/>
    <w:rsid w:val="006A4610"/>
    <w:rsid w:val="006A55D9"/>
    <w:rsid w:val="006A692D"/>
    <w:rsid w:val="006A6B4A"/>
    <w:rsid w:val="006B18DE"/>
    <w:rsid w:val="006B1BD3"/>
    <w:rsid w:val="006B1E8F"/>
    <w:rsid w:val="006B2992"/>
    <w:rsid w:val="006B2D50"/>
    <w:rsid w:val="006B2F45"/>
    <w:rsid w:val="006B42D8"/>
    <w:rsid w:val="006B5FD6"/>
    <w:rsid w:val="006C248A"/>
    <w:rsid w:val="006C398B"/>
    <w:rsid w:val="006C4738"/>
    <w:rsid w:val="006C5618"/>
    <w:rsid w:val="006C6AB5"/>
    <w:rsid w:val="006C7CE0"/>
    <w:rsid w:val="006D20EC"/>
    <w:rsid w:val="006D425D"/>
    <w:rsid w:val="006D5215"/>
    <w:rsid w:val="006D6B47"/>
    <w:rsid w:val="006D6D51"/>
    <w:rsid w:val="006D7031"/>
    <w:rsid w:val="006E0EB3"/>
    <w:rsid w:val="006E3FC0"/>
    <w:rsid w:val="006E4EEF"/>
    <w:rsid w:val="006E6F35"/>
    <w:rsid w:val="006E7749"/>
    <w:rsid w:val="006F0E00"/>
    <w:rsid w:val="006F2C7E"/>
    <w:rsid w:val="006F605E"/>
    <w:rsid w:val="006F6505"/>
    <w:rsid w:val="006F7D01"/>
    <w:rsid w:val="007007CF"/>
    <w:rsid w:val="00700ACB"/>
    <w:rsid w:val="00702CDE"/>
    <w:rsid w:val="00704B9E"/>
    <w:rsid w:val="00705257"/>
    <w:rsid w:val="007057E5"/>
    <w:rsid w:val="007106A6"/>
    <w:rsid w:val="00713250"/>
    <w:rsid w:val="00713DAC"/>
    <w:rsid w:val="007149D9"/>
    <w:rsid w:val="00717184"/>
    <w:rsid w:val="00720125"/>
    <w:rsid w:val="00725801"/>
    <w:rsid w:val="007258A1"/>
    <w:rsid w:val="0072614F"/>
    <w:rsid w:val="00726547"/>
    <w:rsid w:val="00730846"/>
    <w:rsid w:val="00734791"/>
    <w:rsid w:val="00734874"/>
    <w:rsid w:val="007378FF"/>
    <w:rsid w:val="00742424"/>
    <w:rsid w:val="00745EC1"/>
    <w:rsid w:val="0075032B"/>
    <w:rsid w:val="00753D84"/>
    <w:rsid w:val="00753ECA"/>
    <w:rsid w:val="00756AC2"/>
    <w:rsid w:val="00757FE4"/>
    <w:rsid w:val="00760E38"/>
    <w:rsid w:val="0076144D"/>
    <w:rsid w:val="007646AA"/>
    <w:rsid w:val="0076572E"/>
    <w:rsid w:val="0076671F"/>
    <w:rsid w:val="00767C5B"/>
    <w:rsid w:val="00767CFD"/>
    <w:rsid w:val="007705FD"/>
    <w:rsid w:val="0077484B"/>
    <w:rsid w:val="0077579D"/>
    <w:rsid w:val="00777AF0"/>
    <w:rsid w:val="0078633B"/>
    <w:rsid w:val="00787045"/>
    <w:rsid w:val="00790C6E"/>
    <w:rsid w:val="00791D4A"/>
    <w:rsid w:val="00793087"/>
    <w:rsid w:val="00795307"/>
    <w:rsid w:val="00795F54"/>
    <w:rsid w:val="0079692A"/>
    <w:rsid w:val="007A0939"/>
    <w:rsid w:val="007A11DE"/>
    <w:rsid w:val="007A39F0"/>
    <w:rsid w:val="007A3A7D"/>
    <w:rsid w:val="007A4056"/>
    <w:rsid w:val="007B3315"/>
    <w:rsid w:val="007B5315"/>
    <w:rsid w:val="007B6F0F"/>
    <w:rsid w:val="007C105F"/>
    <w:rsid w:val="007C2D61"/>
    <w:rsid w:val="007C5BDA"/>
    <w:rsid w:val="007C6C11"/>
    <w:rsid w:val="007D0ACC"/>
    <w:rsid w:val="007D12A5"/>
    <w:rsid w:val="007D4E8A"/>
    <w:rsid w:val="007D5004"/>
    <w:rsid w:val="007D71AC"/>
    <w:rsid w:val="007E10FB"/>
    <w:rsid w:val="007E1465"/>
    <w:rsid w:val="007E2240"/>
    <w:rsid w:val="007E4DA7"/>
    <w:rsid w:val="007E6FB3"/>
    <w:rsid w:val="007E7988"/>
    <w:rsid w:val="007F0B5A"/>
    <w:rsid w:val="007F210E"/>
    <w:rsid w:val="007F2CFA"/>
    <w:rsid w:val="007F32D5"/>
    <w:rsid w:val="007F3F88"/>
    <w:rsid w:val="007F4518"/>
    <w:rsid w:val="007F4BE5"/>
    <w:rsid w:val="007F58C5"/>
    <w:rsid w:val="007F62F4"/>
    <w:rsid w:val="007F7EC3"/>
    <w:rsid w:val="00803573"/>
    <w:rsid w:val="0080360E"/>
    <w:rsid w:val="008075D6"/>
    <w:rsid w:val="00812326"/>
    <w:rsid w:val="00816FF6"/>
    <w:rsid w:val="00817253"/>
    <w:rsid w:val="00824AC1"/>
    <w:rsid w:val="00824D75"/>
    <w:rsid w:val="008255F4"/>
    <w:rsid w:val="0082633F"/>
    <w:rsid w:val="00830BD5"/>
    <w:rsid w:val="00830CB9"/>
    <w:rsid w:val="008313DA"/>
    <w:rsid w:val="0083186C"/>
    <w:rsid w:val="0084014A"/>
    <w:rsid w:val="00840F6D"/>
    <w:rsid w:val="00842AC0"/>
    <w:rsid w:val="008462A3"/>
    <w:rsid w:val="00846508"/>
    <w:rsid w:val="00847B84"/>
    <w:rsid w:val="00852DB7"/>
    <w:rsid w:val="00853B58"/>
    <w:rsid w:val="008564DF"/>
    <w:rsid w:val="00857542"/>
    <w:rsid w:val="0086062B"/>
    <w:rsid w:val="00861B2D"/>
    <w:rsid w:val="00861CD3"/>
    <w:rsid w:val="00866B71"/>
    <w:rsid w:val="00866EE3"/>
    <w:rsid w:val="00870977"/>
    <w:rsid w:val="00870BE7"/>
    <w:rsid w:val="00871FA6"/>
    <w:rsid w:val="00872FEE"/>
    <w:rsid w:val="00875991"/>
    <w:rsid w:val="008760B1"/>
    <w:rsid w:val="0088211F"/>
    <w:rsid w:val="0088221B"/>
    <w:rsid w:val="0088235F"/>
    <w:rsid w:val="0088438A"/>
    <w:rsid w:val="008844AB"/>
    <w:rsid w:val="008872EB"/>
    <w:rsid w:val="00887AB9"/>
    <w:rsid w:val="00890060"/>
    <w:rsid w:val="00891829"/>
    <w:rsid w:val="00894934"/>
    <w:rsid w:val="00896E6E"/>
    <w:rsid w:val="008A45B5"/>
    <w:rsid w:val="008A4629"/>
    <w:rsid w:val="008A5729"/>
    <w:rsid w:val="008A669E"/>
    <w:rsid w:val="008B02D9"/>
    <w:rsid w:val="008B22D5"/>
    <w:rsid w:val="008B68D0"/>
    <w:rsid w:val="008B7626"/>
    <w:rsid w:val="008C1471"/>
    <w:rsid w:val="008C3744"/>
    <w:rsid w:val="008C3E44"/>
    <w:rsid w:val="008C447C"/>
    <w:rsid w:val="008C6B81"/>
    <w:rsid w:val="008D00D7"/>
    <w:rsid w:val="008D43EB"/>
    <w:rsid w:val="008D794F"/>
    <w:rsid w:val="008D7D89"/>
    <w:rsid w:val="008E0CC4"/>
    <w:rsid w:val="008E568F"/>
    <w:rsid w:val="008E596C"/>
    <w:rsid w:val="008E5B6D"/>
    <w:rsid w:val="008E618D"/>
    <w:rsid w:val="008E6683"/>
    <w:rsid w:val="008E6FD9"/>
    <w:rsid w:val="008E7215"/>
    <w:rsid w:val="008E7ADB"/>
    <w:rsid w:val="008E7C51"/>
    <w:rsid w:val="008F4D27"/>
    <w:rsid w:val="008F736B"/>
    <w:rsid w:val="00900CC9"/>
    <w:rsid w:val="00900E39"/>
    <w:rsid w:val="009045B6"/>
    <w:rsid w:val="00906F4D"/>
    <w:rsid w:val="00912718"/>
    <w:rsid w:val="00912934"/>
    <w:rsid w:val="009133BC"/>
    <w:rsid w:val="00914C20"/>
    <w:rsid w:val="0091542A"/>
    <w:rsid w:val="00915BFE"/>
    <w:rsid w:val="0091695E"/>
    <w:rsid w:val="00916EBD"/>
    <w:rsid w:val="00922CAB"/>
    <w:rsid w:val="00922EB0"/>
    <w:rsid w:val="009246F4"/>
    <w:rsid w:val="00927D52"/>
    <w:rsid w:val="009304CB"/>
    <w:rsid w:val="009344CC"/>
    <w:rsid w:val="00936B52"/>
    <w:rsid w:val="00937062"/>
    <w:rsid w:val="009400CE"/>
    <w:rsid w:val="00945F9E"/>
    <w:rsid w:val="00953DD2"/>
    <w:rsid w:val="00955561"/>
    <w:rsid w:val="00955C08"/>
    <w:rsid w:val="00957151"/>
    <w:rsid w:val="009573E8"/>
    <w:rsid w:val="00960470"/>
    <w:rsid w:val="00960734"/>
    <w:rsid w:val="009654B8"/>
    <w:rsid w:val="00965591"/>
    <w:rsid w:val="0097020C"/>
    <w:rsid w:val="00971BD4"/>
    <w:rsid w:val="009748DF"/>
    <w:rsid w:val="0097496A"/>
    <w:rsid w:val="00975121"/>
    <w:rsid w:val="009764DA"/>
    <w:rsid w:val="009809FC"/>
    <w:rsid w:val="0098297E"/>
    <w:rsid w:val="009832FE"/>
    <w:rsid w:val="009864AF"/>
    <w:rsid w:val="009931E1"/>
    <w:rsid w:val="009A012B"/>
    <w:rsid w:val="009A179B"/>
    <w:rsid w:val="009A477F"/>
    <w:rsid w:val="009A5F33"/>
    <w:rsid w:val="009A6A89"/>
    <w:rsid w:val="009B0312"/>
    <w:rsid w:val="009B47FB"/>
    <w:rsid w:val="009B48AF"/>
    <w:rsid w:val="009B5B5D"/>
    <w:rsid w:val="009B7C3B"/>
    <w:rsid w:val="009C0918"/>
    <w:rsid w:val="009C2603"/>
    <w:rsid w:val="009C6F32"/>
    <w:rsid w:val="009C7A78"/>
    <w:rsid w:val="009D0CA6"/>
    <w:rsid w:val="009D0FC5"/>
    <w:rsid w:val="009D630B"/>
    <w:rsid w:val="009D6B4F"/>
    <w:rsid w:val="009D6CE7"/>
    <w:rsid w:val="009D7E67"/>
    <w:rsid w:val="009E1F71"/>
    <w:rsid w:val="009E2303"/>
    <w:rsid w:val="009E5867"/>
    <w:rsid w:val="00A0182D"/>
    <w:rsid w:val="00A02118"/>
    <w:rsid w:val="00A0274E"/>
    <w:rsid w:val="00A04692"/>
    <w:rsid w:val="00A05220"/>
    <w:rsid w:val="00A064E4"/>
    <w:rsid w:val="00A07112"/>
    <w:rsid w:val="00A12688"/>
    <w:rsid w:val="00A13F03"/>
    <w:rsid w:val="00A149A4"/>
    <w:rsid w:val="00A157CE"/>
    <w:rsid w:val="00A16D8A"/>
    <w:rsid w:val="00A22416"/>
    <w:rsid w:val="00A27615"/>
    <w:rsid w:val="00A2771D"/>
    <w:rsid w:val="00A31F11"/>
    <w:rsid w:val="00A33094"/>
    <w:rsid w:val="00A37415"/>
    <w:rsid w:val="00A40B93"/>
    <w:rsid w:val="00A42A79"/>
    <w:rsid w:val="00A4399C"/>
    <w:rsid w:val="00A44C7A"/>
    <w:rsid w:val="00A454B0"/>
    <w:rsid w:val="00A46E55"/>
    <w:rsid w:val="00A502B1"/>
    <w:rsid w:val="00A533EC"/>
    <w:rsid w:val="00A53EF5"/>
    <w:rsid w:val="00A55F86"/>
    <w:rsid w:val="00A56183"/>
    <w:rsid w:val="00A6144D"/>
    <w:rsid w:val="00A61F99"/>
    <w:rsid w:val="00A668A6"/>
    <w:rsid w:val="00A74D0F"/>
    <w:rsid w:val="00A772F9"/>
    <w:rsid w:val="00A775FE"/>
    <w:rsid w:val="00A77645"/>
    <w:rsid w:val="00A77B80"/>
    <w:rsid w:val="00A8439D"/>
    <w:rsid w:val="00A9035A"/>
    <w:rsid w:val="00A90C3E"/>
    <w:rsid w:val="00A917D2"/>
    <w:rsid w:val="00A91859"/>
    <w:rsid w:val="00A94307"/>
    <w:rsid w:val="00A95052"/>
    <w:rsid w:val="00A95345"/>
    <w:rsid w:val="00A96772"/>
    <w:rsid w:val="00A968E4"/>
    <w:rsid w:val="00A96B2C"/>
    <w:rsid w:val="00AA0DE6"/>
    <w:rsid w:val="00AA251D"/>
    <w:rsid w:val="00AA49BF"/>
    <w:rsid w:val="00AA5012"/>
    <w:rsid w:val="00AB02B1"/>
    <w:rsid w:val="00AB1E2F"/>
    <w:rsid w:val="00AB2F4F"/>
    <w:rsid w:val="00AB3F4F"/>
    <w:rsid w:val="00AC13F3"/>
    <w:rsid w:val="00AC20BC"/>
    <w:rsid w:val="00AC2B21"/>
    <w:rsid w:val="00AC2F7B"/>
    <w:rsid w:val="00AC4838"/>
    <w:rsid w:val="00AC5304"/>
    <w:rsid w:val="00AC5598"/>
    <w:rsid w:val="00AC5990"/>
    <w:rsid w:val="00AD0DA4"/>
    <w:rsid w:val="00AD269B"/>
    <w:rsid w:val="00AD2ACC"/>
    <w:rsid w:val="00AD30A2"/>
    <w:rsid w:val="00AD52C0"/>
    <w:rsid w:val="00AD5588"/>
    <w:rsid w:val="00AD6184"/>
    <w:rsid w:val="00AD6FFA"/>
    <w:rsid w:val="00AE0847"/>
    <w:rsid w:val="00AE339A"/>
    <w:rsid w:val="00AE47D2"/>
    <w:rsid w:val="00AE609C"/>
    <w:rsid w:val="00AF19ED"/>
    <w:rsid w:val="00AF2180"/>
    <w:rsid w:val="00AF71A9"/>
    <w:rsid w:val="00B000EA"/>
    <w:rsid w:val="00B01A33"/>
    <w:rsid w:val="00B02262"/>
    <w:rsid w:val="00B02EB6"/>
    <w:rsid w:val="00B07057"/>
    <w:rsid w:val="00B071EE"/>
    <w:rsid w:val="00B10BC1"/>
    <w:rsid w:val="00B11211"/>
    <w:rsid w:val="00B14068"/>
    <w:rsid w:val="00B15EBE"/>
    <w:rsid w:val="00B2257B"/>
    <w:rsid w:val="00B24F80"/>
    <w:rsid w:val="00B35E71"/>
    <w:rsid w:val="00B4454E"/>
    <w:rsid w:val="00B4785F"/>
    <w:rsid w:val="00B50D68"/>
    <w:rsid w:val="00B51BA7"/>
    <w:rsid w:val="00B52D29"/>
    <w:rsid w:val="00B57BE9"/>
    <w:rsid w:val="00B623EC"/>
    <w:rsid w:val="00B64662"/>
    <w:rsid w:val="00B652C2"/>
    <w:rsid w:val="00B67AE4"/>
    <w:rsid w:val="00B743CA"/>
    <w:rsid w:val="00B75D43"/>
    <w:rsid w:val="00B779A1"/>
    <w:rsid w:val="00B83C14"/>
    <w:rsid w:val="00B865A0"/>
    <w:rsid w:val="00B914CC"/>
    <w:rsid w:val="00B91A59"/>
    <w:rsid w:val="00B92969"/>
    <w:rsid w:val="00B93D6B"/>
    <w:rsid w:val="00B94E49"/>
    <w:rsid w:val="00B9596C"/>
    <w:rsid w:val="00B97574"/>
    <w:rsid w:val="00B97D87"/>
    <w:rsid w:val="00BA09EF"/>
    <w:rsid w:val="00BA2555"/>
    <w:rsid w:val="00BA3440"/>
    <w:rsid w:val="00BA502F"/>
    <w:rsid w:val="00BA6043"/>
    <w:rsid w:val="00BB0413"/>
    <w:rsid w:val="00BB0433"/>
    <w:rsid w:val="00BB2EB3"/>
    <w:rsid w:val="00BB4C72"/>
    <w:rsid w:val="00BB746E"/>
    <w:rsid w:val="00BC1BDC"/>
    <w:rsid w:val="00BC43D3"/>
    <w:rsid w:val="00BC5542"/>
    <w:rsid w:val="00BC631D"/>
    <w:rsid w:val="00BC6B3E"/>
    <w:rsid w:val="00BD2BAD"/>
    <w:rsid w:val="00BD30B1"/>
    <w:rsid w:val="00BD34B5"/>
    <w:rsid w:val="00BD4B20"/>
    <w:rsid w:val="00BD5523"/>
    <w:rsid w:val="00BD73AE"/>
    <w:rsid w:val="00BD7AB9"/>
    <w:rsid w:val="00BE3715"/>
    <w:rsid w:val="00BE7A0E"/>
    <w:rsid w:val="00BF0725"/>
    <w:rsid w:val="00BF537F"/>
    <w:rsid w:val="00BF675C"/>
    <w:rsid w:val="00C01D15"/>
    <w:rsid w:val="00C02C0C"/>
    <w:rsid w:val="00C031DA"/>
    <w:rsid w:val="00C0405B"/>
    <w:rsid w:val="00C0628E"/>
    <w:rsid w:val="00C072C0"/>
    <w:rsid w:val="00C10887"/>
    <w:rsid w:val="00C10A65"/>
    <w:rsid w:val="00C13291"/>
    <w:rsid w:val="00C13330"/>
    <w:rsid w:val="00C206B7"/>
    <w:rsid w:val="00C20A83"/>
    <w:rsid w:val="00C2133B"/>
    <w:rsid w:val="00C218F0"/>
    <w:rsid w:val="00C23D3C"/>
    <w:rsid w:val="00C24450"/>
    <w:rsid w:val="00C2749D"/>
    <w:rsid w:val="00C36584"/>
    <w:rsid w:val="00C36AB6"/>
    <w:rsid w:val="00C36B97"/>
    <w:rsid w:val="00C40B2E"/>
    <w:rsid w:val="00C40FB9"/>
    <w:rsid w:val="00C417D4"/>
    <w:rsid w:val="00C445B3"/>
    <w:rsid w:val="00C44EE0"/>
    <w:rsid w:val="00C45901"/>
    <w:rsid w:val="00C45D29"/>
    <w:rsid w:val="00C46E06"/>
    <w:rsid w:val="00C47ECB"/>
    <w:rsid w:val="00C50497"/>
    <w:rsid w:val="00C5286A"/>
    <w:rsid w:val="00C529FD"/>
    <w:rsid w:val="00C54AEA"/>
    <w:rsid w:val="00C624BD"/>
    <w:rsid w:val="00C63B08"/>
    <w:rsid w:val="00C67BE9"/>
    <w:rsid w:val="00C70FAE"/>
    <w:rsid w:val="00C72F20"/>
    <w:rsid w:val="00C74EB6"/>
    <w:rsid w:val="00C756F7"/>
    <w:rsid w:val="00C75E41"/>
    <w:rsid w:val="00C76466"/>
    <w:rsid w:val="00C77595"/>
    <w:rsid w:val="00C77934"/>
    <w:rsid w:val="00C77EB6"/>
    <w:rsid w:val="00C77F0C"/>
    <w:rsid w:val="00C8006F"/>
    <w:rsid w:val="00C8254D"/>
    <w:rsid w:val="00C82F91"/>
    <w:rsid w:val="00C83836"/>
    <w:rsid w:val="00C85433"/>
    <w:rsid w:val="00C90ECD"/>
    <w:rsid w:val="00C91452"/>
    <w:rsid w:val="00C94BF1"/>
    <w:rsid w:val="00C95A25"/>
    <w:rsid w:val="00CA0718"/>
    <w:rsid w:val="00CA564F"/>
    <w:rsid w:val="00CA5C91"/>
    <w:rsid w:val="00CB1CF4"/>
    <w:rsid w:val="00CB3CAA"/>
    <w:rsid w:val="00CB3F2D"/>
    <w:rsid w:val="00CB3F53"/>
    <w:rsid w:val="00CB5503"/>
    <w:rsid w:val="00CB6492"/>
    <w:rsid w:val="00CB6D51"/>
    <w:rsid w:val="00CC0688"/>
    <w:rsid w:val="00CC1366"/>
    <w:rsid w:val="00CC54CB"/>
    <w:rsid w:val="00CD27C5"/>
    <w:rsid w:val="00CD2947"/>
    <w:rsid w:val="00CD62A3"/>
    <w:rsid w:val="00CD6B12"/>
    <w:rsid w:val="00CE1995"/>
    <w:rsid w:val="00CE240B"/>
    <w:rsid w:val="00CE75F9"/>
    <w:rsid w:val="00CF040F"/>
    <w:rsid w:val="00CF5062"/>
    <w:rsid w:val="00CF692D"/>
    <w:rsid w:val="00D02618"/>
    <w:rsid w:val="00D03FCD"/>
    <w:rsid w:val="00D05F34"/>
    <w:rsid w:val="00D103A7"/>
    <w:rsid w:val="00D10E8E"/>
    <w:rsid w:val="00D11CA6"/>
    <w:rsid w:val="00D13731"/>
    <w:rsid w:val="00D13CFB"/>
    <w:rsid w:val="00D140D1"/>
    <w:rsid w:val="00D14A5D"/>
    <w:rsid w:val="00D14FCC"/>
    <w:rsid w:val="00D1551A"/>
    <w:rsid w:val="00D16D61"/>
    <w:rsid w:val="00D21771"/>
    <w:rsid w:val="00D21B79"/>
    <w:rsid w:val="00D23E39"/>
    <w:rsid w:val="00D23EBF"/>
    <w:rsid w:val="00D2412F"/>
    <w:rsid w:val="00D26581"/>
    <w:rsid w:val="00D26CC9"/>
    <w:rsid w:val="00D33DE7"/>
    <w:rsid w:val="00D347BB"/>
    <w:rsid w:val="00D35EDB"/>
    <w:rsid w:val="00D37E7D"/>
    <w:rsid w:val="00D41641"/>
    <w:rsid w:val="00D41FEF"/>
    <w:rsid w:val="00D43289"/>
    <w:rsid w:val="00D4430C"/>
    <w:rsid w:val="00D473F8"/>
    <w:rsid w:val="00D53294"/>
    <w:rsid w:val="00D54ED0"/>
    <w:rsid w:val="00D5532F"/>
    <w:rsid w:val="00D60469"/>
    <w:rsid w:val="00D605FD"/>
    <w:rsid w:val="00D60C90"/>
    <w:rsid w:val="00D668FF"/>
    <w:rsid w:val="00D70BEB"/>
    <w:rsid w:val="00D74CDC"/>
    <w:rsid w:val="00D75723"/>
    <w:rsid w:val="00D7719F"/>
    <w:rsid w:val="00D804E2"/>
    <w:rsid w:val="00D81580"/>
    <w:rsid w:val="00D81E93"/>
    <w:rsid w:val="00D84F50"/>
    <w:rsid w:val="00D85207"/>
    <w:rsid w:val="00D8574F"/>
    <w:rsid w:val="00D87915"/>
    <w:rsid w:val="00D92E4E"/>
    <w:rsid w:val="00D931BF"/>
    <w:rsid w:val="00D945A1"/>
    <w:rsid w:val="00D94887"/>
    <w:rsid w:val="00D9560C"/>
    <w:rsid w:val="00D9564F"/>
    <w:rsid w:val="00D976EE"/>
    <w:rsid w:val="00DA0ED8"/>
    <w:rsid w:val="00DA1D9B"/>
    <w:rsid w:val="00DA2084"/>
    <w:rsid w:val="00DA27B4"/>
    <w:rsid w:val="00DA2A65"/>
    <w:rsid w:val="00DA2B3C"/>
    <w:rsid w:val="00DA3709"/>
    <w:rsid w:val="00DA3AC7"/>
    <w:rsid w:val="00DA3F6B"/>
    <w:rsid w:val="00DA5187"/>
    <w:rsid w:val="00DA6C93"/>
    <w:rsid w:val="00DB031E"/>
    <w:rsid w:val="00DB377A"/>
    <w:rsid w:val="00DB3784"/>
    <w:rsid w:val="00DB54F1"/>
    <w:rsid w:val="00DB6A8C"/>
    <w:rsid w:val="00DC044E"/>
    <w:rsid w:val="00DC0D7C"/>
    <w:rsid w:val="00DC306A"/>
    <w:rsid w:val="00DC49DA"/>
    <w:rsid w:val="00DC5C4F"/>
    <w:rsid w:val="00DC64EB"/>
    <w:rsid w:val="00DC6839"/>
    <w:rsid w:val="00DC6FFF"/>
    <w:rsid w:val="00DC7043"/>
    <w:rsid w:val="00DD1E70"/>
    <w:rsid w:val="00DD328D"/>
    <w:rsid w:val="00DD3EDC"/>
    <w:rsid w:val="00DD4951"/>
    <w:rsid w:val="00DD61FC"/>
    <w:rsid w:val="00DD7656"/>
    <w:rsid w:val="00DE0689"/>
    <w:rsid w:val="00DE2739"/>
    <w:rsid w:val="00DE5436"/>
    <w:rsid w:val="00DE5978"/>
    <w:rsid w:val="00DF36C1"/>
    <w:rsid w:val="00DF3724"/>
    <w:rsid w:val="00DF3852"/>
    <w:rsid w:val="00DF390F"/>
    <w:rsid w:val="00DF3A76"/>
    <w:rsid w:val="00DF4DE8"/>
    <w:rsid w:val="00DF6119"/>
    <w:rsid w:val="00DF77D9"/>
    <w:rsid w:val="00E0104A"/>
    <w:rsid w:val="00E014BD"/>
    <w:rsid w:val="00E01626"/>
    <w:rsid w:val="00E044AE"/>
    <w:rsid w:val="00E05104"/>
    <w:rsid w:val="00E05CE4"/>
    <w:rsid w:val="00E074CD"/>
    <w:rsid w:val="00E07D34"/>
    <w:rsid w:val="00E11C4A"/>
    <w:rsid w:val="00E14728"/>
    <w:rsid w:val="00E17C0A"/>
    <w:rsid w:val="00E20257"/>
    <w:rsid w:val="00E24052"/>
    <w:rsid w:val="00E26C21"/>
    <w:rsid w:val="00E277CC"/>
    <w:rsid w:val="00E30576"/>
    <w:rsid w:val="00E3166E"/>
    <w:rsid w:val="00E35B8C"/>
    <w:rsid w:val="00E36212"/>
    <w:rsid w:val="00E414FF"/>
    <w:rsid w:val="00E41AC2"/>
    <w:rsid w:val="00E44226"/>
    <w:rsid w:val="00E44421"/>
    <w:rsid w:val="00E45B7F"/>
    <w:rsid w:val="00E45D4D"/>
    <w:rsid w:val="00E46A1A"/>
    <w:rsid w:val="00E471D8"/>
    <w:rsid w:val="00E47FFD"/>
    <w:rsid w:val="00E510E1"/>
    <w:rsid w:val="00E56428"/>
    <w:rsid w:val="00E65244"/>
    <w:rsid w:val="00E66F41"/>
    <w:rsid w:val="00E72F9C"/>
    <w:rsid w:val="00E7775A"/>
    <w:rsid w:val="00E80A0E"/>
    <w:rsid w:val="00E846A0"/>
    <w:rsid w:val="00E85228"/>
    <w:rsid w:val="00E853C5"/>
    <w:rsid w:val="00E917D0"/>
    <w:rsid w:val="00E918F5"/>
    <w:rsid w:val="00E9304F"/>
    <w:rsid w:val="00E95DE4"/>
    <w:rsid w:val="00E96C65"/>
    <w:rsid w:val="00EA2955"/>
    <w:rsid w:val="00EA6956"/>
    <w:rsid w:val="00EA7D1D"/>
    <w:rsid w:val="00EB176A"/>
    <w:rsid w:val="00EB1949"/>
    <w:rsid w:val="00EB1EFA"/>
    <w:rsid w:val="00EB29E1"/>
    <w:rsid w:val="00EB2CA0"/>
    <w:rsid w:val="00EB3D01"/>
    <w:rsid w:val="00EB6568"/>
    <w:rsid w:val="00EB7101"/>
    <w:rsid w:val="00EB79E3"/>
    <w:rsid w:val="00EC29E6"/>
    <w:rsid w:val="00EC568B"/>
    <w:rsid w:val="00EC7D93"/>
    <w:rsid w:val="00ED202D"/>
    <w:rsid w:val="00ED313C"/>
    <w:rsid w:val="00ED6400"/>
    <w:rsid w:val="00EE08E7"/>
    <w:rsid w:val="00EE0B21"/>
    <w:rsid w:val="00EE31A1"/>
    <w:rsid w:val="00EE44B1"/>
    <w:rsid w:val="00EE5A5D"/>
    <w:rsid w:val="00EE7C81"/>
    <w:rsid w:val="00EF043F"/>
    <w:rsid w:val="00EF3152"/>
    <w:rsid w:val="00EF5083"/>
    <w:rsid w:val="00EF765D"/>
    <w:rsid w:val="00F00934"/>
    <w:rsid w:val="00F01297"/>
    <w:rsid w:val="00F02055"/>
    <w:rsid w:val="00F04739"/>
    <w:rsid w:val="00F13742"/>
    <w:rsid w:val="00F1390C"/>
    <w:rsid w:val="00F13F70"/>
    <w:rsid w:val="00F16E8A"/>
    <w:rsid w:val="00F176B9"/>
    <w:rsid w:val="00F17983"/>
    <w:rsid w:val="00F2624E"/>
    <w:rsid w:val="00F33994"/>
    <w:rsid w:val="00F3658E"/>
    <w:rsid w:val="00F36A6A"/>
    <w:rsid w:val="00F4270A"/>
    <w:rsid w:val="00F46281"/>
    <w:rsid w:val="00F50F8B"/>
    <w:rsid w:val="00F57A22"/>
    <w:rsid w:val="00F60C28"/>
    <w:rsid w:val="00F611C2"/>
    <w:rsid w:val="00F63E4E"/>
    <w:rsid w:val="00F64963"/>
    <w:rsid w:val="00F72A2E"/>
    <w:rsid w:val="00F735C6"/>
    <w:rsid w:val="00F74053"/>
    <w:rsid w:val="00F75212"/>
    <w:rsid w:val="00F75BB5"/>
    <w:rsid w:val="00F772E3"/>
    <w:rsid w:val="00F7781D"/>
    <w:rsid w:val="00F87C63"/>
    <w:rsid w:val="00F87FA5"/>
    <w:rsid w:val="00F91CAD"/>
    <w:rsid w:val="00F9360B"/>
    <w:rsid w:val="00F97AC4"/>
    <w:rsid w:val="00FA0E89"/>
    <w:rsid w:val="00FA2C4C"/>
    <w:rsid w:val="00FA722C"/>
    <w:rsid w:val="00FA7CBE"/>
    <w:rsid w:val="00FB0218"/>
    <w:rsid w:val="00FB2359"/>
    <w:rsid w:val="00FB4AAA"/>
    <w:rsid w:val="00FB5372"/>
    <w:rsid w:val="00FB56F1"/>
    <w:rsid w:val="00FB6B7C"/>
    <w:rsid w:val="00FB770C"/>
    <w:rsid w:val="00FB7E57"/>
    <w:rsid w:val="00FC0441"/>
    <w:rsid w:val="00FC0EBF"/>
    <w:rsid w:val="00FC0F80"/>
    <w:rsid w:val="00FD0AC3"/>
    <w:rsid w:val="00FD0D8E"/>
    <w:rsid w:val="00FD3078"/>
    <w:rsid w:val="00FD4432"/>
    <w:rsid w:val="00FD5C28"/>
    <w:rsid w:val="00FD63C1"/>
    <w:rsid w:val="00FE0749"/>
    <w:rsid w:val="00FE1EC4"/>
    <w:rsid w:val="00FE3BFE"/>
    <w:rsid w:val="00FE4D87"/>
    <w:rsid w:val="00FE6C85"/>
    <w:rsid w:val="00FF3168"/>
    <w:rsid w:val="00FF3EAC"/>
    <w:rsid w:val="00FF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4430D4"/>
  <w15:docId w15:val="{D3755EAE-5835-42EF-B87B-84330DBB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DA4"/>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9864AF"/>
    <w:pPr>
      <w:keepNext/>
      <w:keepLines/>
      <w:numPr>
        <w:numId w:val="1"/>
      </w:numPr>
      <w:spacing w:line="360" w:lineRule="auto"/>
      <w:ind w:left="0" w:firstLine="0"/>
      <w:jc w:val="center"/>
      <w:outlineLvl w:val="0"/>
    </w:pPr>
    <w:rPr>
      <w:rFonts w:asciiTheme="majorHAnsi" w:eastAsia="黑体" w:hAnsiTheme="majorHAnsi" w:cstheme="majorBidi"/>
      <w:b/>
      <w:sz w:val="30"/>
      <w:szCs w:val="48"/>
    </w:rPr>
  </w:style>
  <w:style w:type="paragraph" w:styleId="2">
    <w:name w:val="heading 2"/>
    <w:basedOn w:val="a"/>
    <w:next w:val="a"/>
    <w:link w:val="20"/>
    <w:uiPriority w:val="9"/>
    <w:unhideWhenUsed/>
    <w:qFormat/>
    <w:rsid w:val="00CB3F2D"/>
    <w:pPr>
      <w:keepNext/>
      <w:keepLines/>
      <w:numPr>
        <w:ilvl w:val="1"/>
        <w:numId w:val="1"/>
      </w:numPr>
      <w:spacing w:line="360" w:lineRule="auto"/>
      <w:outlineLvl w:val="1"/>
    </w:pPr>
    <w:rPr>
      <w:rFonts w:eastAsia="黑体" w:cstheme="majorBidi"/>
      <w:b/>
      <w:sz w:val="28"/>
      <w:szCs w:val="40"/>
    </w:rPr>
  </w:style>
  <w:style w:type="paragraph" w:styleId="3">
    <w:name w:val="heading 3"/>
    <w:basedOn w:val="a"/>
    <w:next w:val="a"/>
    <w:link w:val="30"/>
    <w:uiPriority w:val="9"/>
    <w:unhideWhenUsed/>
    <w:qFormat/>
    <w:rsid w:val="00CB3F2D"/>
    <w:pPr>
      <w:keepNext/>
      <w:keepLines/>
      <w:numPr>
        <w:ilvl w:val="2"/>
        <w:numId w:val="1"/>
      </w:numPr>
      <w:spacing w:line="360" w:lineRule="auto"/>
      <w:outlineLvl w:val="2"/>
    </w:pPr>
    <w:rPr>
      <w:rFonts w:eastAsia="黑体" w:cstheme="majorBidi"/>
      <w:b/>
      <w:sz w:val="24"/>
      <w:szCs w:val="32"/>
    </w:rPr>
  </w:style>
  <w:style w:type="paragraph" w:styleId="4">
    <w:name w:val="heading 4"/>
    <w:basedOn w:val="a"/>
    <w:next w:val="a"/>
    <w:link w:val="40"/>
    <w:uiPriority w:val="9"/>
    <w:semiHidden/>
    <w:unhideWhenUsed/>
    <w:qFormat/>
    <w:rsid w:val="00290D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0D7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0D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0D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0D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0D7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64AF"/>
    <w:rPr>
      <w:rFonts w:asciiTheme="majorHAnsi" w:eastAsia="黑体" w:hAnsiTheme="majorHAnsi" w:cstheme="majorBidi"/>
      <w:b/>
      <w:sz w:val="30"/>
      <w:szCs w:val="48"/>
      <w14:ligatures w14:val="none"/>
    </w:rPr>
  </w:style>
  <w:style w:type="character" w:customStyle="1" w:styleId="20">
    <w:name w:val="标题 2 字符"/>
    <w:basedOn w:val="a0"/>
    <w:link w:val="2"/>
    <w:uiPriority w:val="9"/>
    <w:rsid w:val="00CB3F2D"/>
    <w:rPr>
      <w:rFonts w:ascii="Times New Roman" w:eastAsia="黑体" w:hAnsi="Times New Roman" w:cstheme="majorBidi"/>
      <w:b/>
      <w:sz w:val="28"/>
      <w:szCs w:val="40"/>
      <w14:ligatures w14:val="none"/>
    </w:rPr>
  </w:style>
  <w:style w:type="character" w:customStyle="1" w:styleId="30">
    <w:name w:val="标题 3 字符"/>
    <w:basedOn w:val="a0"/>
    <w:link w:val="3"/>
    <w:uiPriority w:val="9"/>
    <w:rsid w:val="00CB3F2D"/>
    <w:rPr>
      <w:rFonts w:ascii="Times New Roman" w:eastAsia="黑体" w:hAnsi="Times New Roman" w:cstheme="majorBidi"/>
      <w:b/>
      <w:sz w:val="24"/>
      <w:szCs w:val="32"/>
      <w14:ligatures w14:val="none"/>
    </w:rPr>
  </w:style>
  <w:style w:type="character" w:customStyle="1" w:styleId="40">
    <w:name w:val="标题 4 字符"/>
    <w:basedOn w:val="a0"/>
    <w:link w:val="4"/>
    <w:uiPriority w:val="9"/>
    <w:semiHidden/>
    <w:rsid w:val="00290D75"/>
    <w:rPr>
      <w:rFonts w:cstheme="majorBidi"/>
      <w:color w:val="0F4761" w:themeColor="accent1" w:themeShade="BF"/>
      <w:sz w:val="28"/>
      <w:szCs w:val="28"/>
    </w:rPr>
  </w:style>
  <w:style w:type="character" w:customStyle="1" w:styleId="50">
    <w:name w:val="标题 5 字符"/>
    <w:basedOn w:val="a0"/>
    <w:link w:val="5"/>
    <w:uiPriority w:val="9"/>
    <w:semiHidden/>
    <w:rsid w:val="00290D75"/>
    <w:rPr>
      <w:rFonts w:cstheme="majorBidi"/>
      <w:color w:val="0F4761" w:themeColor="accent1" w:themeShade="BF"/>
      <w:sz w:val="24"/>
    </w:rPr>
  </w:style>
  <w:style w:type="character" w:customStyle="1" w:styleId="60">
    <w:name w:val="标题 6 字符"/>
    <w:basedOn w:val="a0"/>
    <w:link w:val="6"/>
    <w:uiPriority w:val="9"/>
    <w:semiHidden/>
    <w:rsid w:val="00290D75"/>
    <w:rPr>
      <w:rFonts w:cstheme="majorBidi"/>
      <w:b/>
      <w:bCs/>
      <w:color w:val="0F4761" w:themeColor="accent1" w:themeShade="BF"/>
    </w:rPr>
  </w:style>
  <w:style w:type="character" w:customStyle="1" w:styleId="70">
    <w:name w:val="标题 7 字符"/>
    <w:basedOn w:val="a0"/>
    <w:link w:val="7"/>
    <w:uiPriority w:val="9"/>
    <w:semiHidden/>
    <w:rsid w:val="00290D75"/>
    <w:rPr>
      <w:rFonts w:cstheme="majorBidi"/>
      <w:b/>
      <w:bCs/>
      <w:color w:val="595959" w:themeColor="text1" w:themeTint="A6"/>
    </w:rPr>
  </w:style>
  <w:style w:type="character" w:customStyle="1" w:styleId="80">
    <w:name w:val="标题 8 字符"/>
    <w:basedOn w:val="a0"/>
    <w:link w:val="8"/>
    <w:uiPriority w:val="9"/>
    <w:semiHidden/>
    <w:rsid w:val="00290D75"/>
    <w:rPr>
      <w:rFonts w:cstheme="majorBidi"/>
      <w:color w:val="595959" w:themeColor="text1" w:themeTint="A6"/>
    </w:rPr>
  </w:style>
  <w:style w:type="character" w:customStyle="1" w:styleId="90">
    <w:name w:val="标题 9 字符"/>
    <w:basedOn w:val="a0"/>
    <w:link w:val="9"/>
    <w:uiPriority w:val="9"/>
    <w:semiHidden/>
    <w:rsid w:val="00290D75"/>
    <w:rPr>
      <w:rFonts w:eastAsiaTheme="majorEastAsia" w:cstheme="majorBidi"/>
      <w:color w:val="595959" w:themeColor="text1" w:themeTint="A6"/>
    </w:rPr>
  </w:style>
  <w:style w:type="paragraph" w:styleId="a3">
    <w:name w:val="Title"/>
    <w:basedOn w:val="a"/>
    <w:next w:val="a"/>
    <w:link w:val="a4"/>
    <w:uiPriority w:val="10"/>
    <w:qFormat/>
    <w:rsid w:val="00290D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0D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0D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0D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0D75"/>
    <w:pPr>
      <w:spacing w:before="160"/>
      <w:jc w:val="center"/>
    </w:pPr>
    <w:rPr>
      <w:i/>
      <w:iCs/>
      <w:color w:val="404040" w:themeColor="text1" w:themeTint="BF"/>
    </w:rPr>
  </w:style>
  <w:style w:type="character" w:customStyle="1" w:styleId="a8">
    <w:name w:val="引用 字符"/>
    <w:basedOn w:val="a0"/>
    <w:link w:val="a7"/>
    <w:uiPriority w:val="29"/>
    <w:rsid w:val="00290D75"/>
    <w:rPr>
      <w:i/>
      <w:iCs/>
      <w:color w:val="404040" w:themeColor="text1" w:themeTint="BF"/>
    </w:rPr>
  </w:style>
  <w:style w:type="paragraph" w:styleId="a9">
    <w:name w:val="List Paragraph"/>
    <w:basedOn w:val="a"/>
    <w:uiPriority w:val="34"/>
    <w:qFormat/>
    <w:rsid w:val="00290D75"/>
    <w:pPr>
      <w:ind w:left="720"/>
      <w:contextualSpacing/>
    </w:pPr>
  </w:style>
  <w:style w:type="character" w:styleId="aa">
    <w:name w:val="Intense Emphasis"/>
    <w:basedOn w:val="a0"/>
    <w:uiPriority w:val="21"/>
    <w:qFormat/>
    <w:rsid w:val="00290D75"/>
    <w:rPr>
      <w:i/>
      <w:iCs/>
      <w:color w:val="0F4761" w:themeColor="accent1" w:themeShade="BF"/>
    </w:rPr>
  </w:style>
  <w:style w:type="paragraph" w:styleId="ab">
    <w:name w:val="Intense Quote"/>
    <w:basedOn w:val="a"/>
    <w:next w:val="a"/>
    <w:link w:val="ac"/>
    <w:uiPriority w:val="30"/>
    <w:qFormat/>
    <w:rsid w:val="00290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0D75"/>
    <w:rPr>
      <w:i/>
      <w:iCs/>
      <w:color w:val="0F4761" w:themeColor="accent1" w:themeShade="BF"/>
    </w:rPr>
  </w:style>
  <w:style w:type="character" w:styleId="ad">
    <w:name w:val="Intense Reference"/>
    <w:basedOn w:val="a0"/>
    <w:uiPriority w:val="32"/>
    <w:qFormat/>
    <w:rsid w:val="00290D75"/>
    <w:rPr>
      <w:b/>
      <w:bCs/>
      <w:smallCaps/>
      <w:color w:val="0F4761" w:themeColor="accent1" w:themeShade="BF"/>
      <w:spacing w:val="5"/>
    </w:rPr>
  </w:style>
  <w:style w:type="paragraph" w:styleId="ae">
    <w:name w:val="header"/>
    <w:basedOn w:val="a"/>
    <w:link w:val="af"/>
    <w:uiPriority w:val="99"/>
    <w:unhideWhenUsed/>
    <w:rsid w:val="00170DA4"/>
    <w:pPr>
      <w:tabs>
        <w:tab w:val="center" w:pos="4153"/>
        <w:tab w:val="right" w:pos="8306"/>
      </w:tabs>
      <w:snapToGrid w:val="0"/>
      <w:jc w:val="center"/>
    </w:pPr>
    <w:rPr>
      <w:sz w:val="18"/>
      <w:szCs w:val="18"/>
    </w:rPr>
  </w:style>
  <w:style w:type="character" w:customStyle="1" w:styleId="af">
    <w:name w:val="页眉 字符"/>
    <w:basedOn w:val="a0"/>
    <w:link w:val="ae"/>
    <w:uiPriority w:val="99"/>
    <w:rsid w:val="00170DA4"/>
    <w:rPr>
      <w:sz w:val="18"/>
      <w:szCs w:val="18"/>
    </w:rPr>
  </w:style>
  <w:style w:type="paragraph" w:styleId="af0">
    <w:name w:val="footer"/>
    <w:basedOn w:val="a"/>
    <w:link w:val="af1"/>
    <w:uiPriority w:val="99"/>
    <w:unhideWhenUsed/>
    <w:rsid w:val="00170DA4"/>
    <w:pPr>
      <w:tabs>
        <w:tab w:val="center" w:pos="4153"/>
        <w:tab w:val="right" w:pos="8306"/>
      </w:tabs>
      <w:snapToGrid w:val="0"/>
    </w:pPr>
    <w:rPr>
      <w:sz w:val="18"/>
      <w:szCs w:val="18"/>
    </w:rPr>
  </w:style>
  <w:style w:type="character" w:customStyle="1" w:styleId="af1">
    <w:name w:val="页脚 字符"/>
    <w:basedOn w:val="a0"/>
    <w:link w:val="af0"/>
    <w:uiPriority w:val="99"/>
    <w:rsid w:val="00170DA4"/>
    <w:rPr>
      <w:sz w:val="18"/>
      <w:szCs w:val="18"/>
    </w:rPr>
  </w:style>
  <w:style w:type="paragraph" w:styleId="TOC">
    <w:name w:val="TOC Heading"/>
    <w:basedOn w:val="1"/>
    <w:next w:val="a"/>
    <w:uiPriority w:val="39"/>
    <w:unhideWhenUsed/>
    <w:qFormat/>
    <w:rsid w:val="00170DA4"/>
    <w:pPr>
      <w:widowControl/>
      <w:spacing w:before="240" w:line="259" w:lineRule="auto"/>
      <w:outlineLvl w:val="9"/>
    </w:pPr>
    <w:rPr>
      <w:kern w:val="0"/>
      <w:sz w:val="32"/>
      <w:szCs w:val="32"/>
    </w:rPr>
  </w:style>
  <w:style w:type="paragraph" w:styleId="TOC2">
    <w:name w:val="toc 2"/>
    <w:basedOn w:val="a"/>
    <w:next w:val="a"/>
    <w:autoRedefine/>
    <w:uiPriority w:val="39"/>
    <w:unhideWhenUsed/>
    <w:rsid w:val="00DF36C1"/>
    <w:pPr>
      <w:widowControl/>
      <w:spacing w:line="320" w:lineRule="exact"/>
      <w:ind w:left="221"/>
      <w:jc w:val="left"/>
    </w:pPr>
    <w:rPr>
      <w:rFonts w:asciiTheme="minorHAnsi" w:eastAsia="黑体" w:hAnsiTheme="minorHAnsi"/>
      <w:b/>
      <w:kern w:val="0"/>
      <w:sz w:val="24"/>
      <w:szCs w:val="22"/>
    </w:rPr>
  </w:style>
  <w:style w:type="paragraph" w:styleId="TOC1">
    <w:name w:val="toc 1"/>
    <w:basedOn w:val="a"/>
    <w:next w:val="a"/>
    <w:autoRedefine/>
    <w:uiPriority w:val="39"/>
    <w:unhideWhenUsed/>
    <w:rsid w:val="00477FFD"/>
    <w:pPr>
      <w:widowControl/>
      <w:tabs>
        <w:tab w:val="right" w:leader="dot" w:pos="8296"/>
      </w:tabs>
      <w:spacing w:line="320" w:lineRule="exact"/>
      <w:jc w:val="left"/>
    </w:pPr>
    <w:rPr>
      <w:rFonts w:eastAsia="黑体"/>
      <w:b/>
      <w:bCs/>
      <w:noProof/>
      <w:kern w:val="0"/>
      <w:sz w:val="28"/>
      <w:szCs w:val="22"/>
    </w:rPr>
  </w:style>
  <w:style w:type="paragraph" w:styleId="TOC3">
    <w:name w:val="toc 3"/>
    <w:basedOn w:val="a"/>
    <w:next w:val="a"/>
    <w:autoRedefine/>
    <w:uiPriority w:val="39"/>
    <w:unhideWhenUsed/>
    <w:rsid w:val="00DF36C1"/>
    <w:pPr>
      <w:widowControl/>
      <w:spacing w:line="320" w:lineRule="exact"/>
      <w:ind w:left="442"/>
      <w:jc w:val="left"/>
    </w:pPr>
    <w:rPr>
      <w:rFonts w:asciiTheme="minorHAnsi" w:hAnsiTheme="minorHAnsi"/>
      <w:kern w:val="0"/>
      <w:sz w:val="24"/>
      <w:szCs w:val="22"/>
    </w:rPr>
  </w:style>
  <w:style w:type="character" w:styleId="af2">
    <w:name w:val="Hyperlink"/>
    <w:basedOn w:val="a0"/>
    <w:uiPriority w:val="99"/>
    <w:unhideWhenUsed/>
    <w:rsid w:val="00170DA4"/>
    <w:rPr>
      <w:color w:val="467886" w:themeColor="hyperlink"/>
      <w:u w:val="single"/>
    </w:rPr>
  </w:style>
  <w:style w:type="paragraph" w:styleId="31">
    <w:name w:val="Body Text 3"/>
    <w:basedOn w:val="a"/>
    <w:link w:val="32"/>
    <w:unhideWhenUsed/>
    <w:rsid w:val="0004104A"/>
    <w:pPr>
      <w:jc w:val="center"/>
    </w:pPr>
    <w:rPr>
      <w:rFonts w:eastAsia="黑体"/>
      <w:b/>
      <w:sz w:val="30"/>
    </w:rPr>
  </w:style>
  <w:style w:type="character" w:customStyle="1" w:styleId="32">
    <w:name w:val="正文文本 3 字符"/>
    <w:basedOn w:val="a0"/>
    <w:link w:val="31"/>
    <w:rsid w:val="0004104A"/>
    <w:rPr>
      <w:rFonts w:ascii="Times New Roman" w:eastAsia="黑体" w:hAnsi="Times New Roman" w:cs="Times New Roman"/>
      <w:b/>
      <w:sz w:val="30"/>
      <w14:ligatures w14:val="none"/>
    </w:rPr>
  </w:style>
  <w:style w:type="paragraph" w:styleId="af3">
    <w:name w:val="Plain Text"/>
    <w:basedOn w:val="a"/>
    <w:link w:val="af4"/>
    <w:unhideWhenUsed/>
    <w:rsid w:val="0004104A"/>
    <w:pPr>
      <w:widowControl/>
      <w:spacing w:before="100" w:beforeAutospacing="1" w:after="100" w:afterAutospacing="1"/>
      <w:jc w:val="left"/>
    </w:pPr>
    <w:rPr>
      <w:rFonts w:ascii="宋体" w:hAnsi="宋体"/>
      <w:kern w:val="0"/>
      <w:sz w:val="24"/>
    </w:rPr>
  </w:style>
  <w:style w:type="character" w:customStyle="1" w:styleId="af4">
    <w:name w:val="纯文本 字符"/>
    <w:basedOn w:val="a0"/>
    <w:link w:val="af3"/>
    <w:rsid w:val="0004104A"/>
    <w:rPr>
      <w:rFonts w:ascii="宋体" w:eastAsia="宋体" w:hAnsi="宋体" w:cs="Times New Roman"/>
      <w:kern w:val="0"/>
      <w:sz w:val="24"/>
      <w14:ligatures w14:val="none"/>
    </w:rPr>
  </w:style>
  <w:style w:type="paragraph" w:styleId="af5">
    <w:name w:val="caption"/>
    <w:basedOn w:val="a"/>
    <w:next w:val="a"/>
    <w:uiPriority w:val="35"/>
    <w:unhideWhenUsed/>
    <w:qFormat/>
    <w:rsid w:val="001973B4"/>
    <w:pPr>
      <w:jc w:val="center"/>
    </w:pPr>
    <w:rPr>
      <w:rFonts w:asciiTheme="majorHAnsi" w:hAnsiTheme="majorHAnsi" w:cstheme="majorBidi"/>
      <w:b/>
      <w:sz w:val="24"/>
      <w:szCs w:val="20"/>
    </w:rPr>
  </w:style>
  <w:style w:type="character" w:styleId="af6">
    <w:name w:val="annotation reference"/>
    <w:basedOn w:val="a0"/>
    <w:uiPriority w:val="99"/>
    <w:semiHidden/>
    <w:unhideWhenUsed/>
    <w:rsid w:val="00ED313C"/>
    <w:rPr>
      <w:sz w:val="21"/>
      <w:szCs w:val="21"/>
    </w:rPr>
  </w:style>
  <w:style w:type="paragraph" w:styleId="af7">
    <w:name w:val="annotation text"/>
    <w:basedOn w:val="a"/>
    <w:link w:val="af8"/>
    <w:uiPriority w:val="99"/>
    <w:unhideWhenUsed/>
    <w:rsid w:val="00ED313C"/>
    <w:pPr>
      <w:jc w:val="left"/>
    </w:pPr>
  </w:style>
  <w:style w:type="character" w:customStyle="1" w:styleId="af8">
    <w:name w:val="批注文字 字符"/>
    <w:basedOn w:val="a0"/>
    <w:link w:val="af7"/>
    <w:uiPriority w:val="99"/>
    <w:rsid w:val="00ED313C"/>
    <w:rPr>
      <w:rFonts w:ascii="Times New Roman" w:eastAsia="宋体" w:hAnsi="Times New Roman" w:cs="Times New Roman"/>
      <w:sz w:val="21"/>
      <w14:ligatures w14:val="none"/>
    </w:rPr>
  </w:style>
  <w:style w:type="paragraph" w:styleId="af9">
    <w:name w:val="annotation subject"/>
    <w:basedOn w:val="af7"/>
    <w:next w:val="af7"/>
    <w:link w:val="afa"/>
    <w:uiPriority w:val="99"/>
    <w:semiHidden/>
    <w:unhideWhenUsed/>
    <w:rsid w:val="00ED313C"/>
    <w:rPr>
      <w:b/>
      <w:bCs/>
    </w:rPr>
  </w:style>
  <w:style w:type="character" w:customStyle="1" w:styleId="afa">
    <w:name w:val="批注主题 字符"/>
    <w:basedOn w:val="af8"/>
    <w:link w:val="af9"/>
    <w:uiPriority w:val="99"/>
    <w:semiHidden/>
    <w:rsid w:val="00ED313C"/>
    <w:rPr>
      <w:rFonts w:ascii="Times New Roman" w:eastAsia="宋体" w:hAnsi="Times New Roman" w:cs="Times New Roman"/>
      <w:b/>
      <w:bCs/>
      <w:sz w:val="21"/>
      <w14:ligatures w14:val="none"/>
    </w:rPr>
  </w:style>
  <w:style w:type="character" w:styleId="afb">
    <w:name w:val="Unresolved Mention"/>
    <w:basedOn w:val="a0"/>
    <w:uiPriority w:val="99"/>
    <w:semiHidden/>
    <w:unhideWhenUsed/>
    <w:rsid w:val="0007233B"/>
    <w:rPr>
      <w:color w:val="605E5C"/>
      <w:shd w:val="clear" w:color="auto" w:fill="E1DFDD"/>
    </w:rPr>
  </w:style>
  <w:style w:type="table" w:styleId="afc">
    <w:name w:val="Table Grid"/>
    <w:basedOn w:val="a1"/>
    <w:uiPriority w:val="39"/>
    <w:rsid w:val="00BB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laceholder Text"/>
    <w:basedOn w:val="a0"/>
    <w:uiPriority w:val="99"/>
    <w:semiHidden/>
    <w:rsid w:val="00A12688"/>
    <w:rPr>
      <w:color w:val="666666"/>
    </w:rPr>
  </w:style>
  <w:style w:type="table" w:customStyle="1" w:styleId="11">
    <w:name w:val="网格型1"/>
    <w:basedOn w:val="a1"/>
    <w:next w:val="afc"/>
    <w:uiPriority w:val="39"/>
    <w:rsid w:val="00AD5588"/>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19947">
      <w:bodyDiv w:val="1"/>
      <w:marLeft w:val="0"/>
      <w:marRight w:val="0"/>
      <w:marTop w:val="0"/>
      <w:marBottom w:val="0"/>
      <w:divBdr>
        <w:top w:val="none" w:sz="0" w:space="0" w:color="auto"/>
        <w:left w:val="none" w:sz="0" w:space="0" w:color="auto"/>
        <w:bottom w:val="none" w:sz="0" w:space="0" w:color="auto"/>
        <w:right w:val="none" w:sz="0" w:space="0" w:color="auto"/>
      </w:divBdr>
    </w:div>
    <w:div w:id="294458187">
      <w:bodyDiv w:val="1"/>
      <w:marLeft w:val="0"/>
      <w:marRight w:val="0"/>
      <w:marTop w:val="0"/>
      <w:marBottom w:val="0"/>
      <w:divBdr>
        <w:top w:val="none" w:sz="0" w:space="0" w:color="auto"/>
        <w:left w:val="none" w:sz="0" w:space="0" w:color="auto"/>
        <w:bottom w:val="none" w:sz="0" w:space="0" w:color="auto"/>
        <w:right w:val="none" w:sz="0" w:space="0" w:color="auto"/>
      </w:divBdr>
    </w:div>
    <w:div w:id="810289832">
      <w:bodyDiv w:val="1"/>
      <w:marLeft w:val="0"/>
      <w:marRight w:val="0"/>
      <w:marTop w:val="0"/>
      <w:marBottom w:val="0"/>
      <w:divBdr>
        <w:top w:val="none" w:sz="0" w:space="0" w:color="auto"/>
        <w:left w:val="none" w:sz="0" w:space="0" w:color="auto"/>
        <w:bottom w:val="none" w:sz="0" w:space="0" w:color="auto"/>
        <w:right w:val="none" w:sz="0" w:space="0" w:color="auto"/>
      </w:divBdr>
    </w:div>
    <w:div w:id="1123117801">
      <w:bodyDiv w:val="1"/>
      <w:marLeft w:val="0"/>
      <w:marRight w:val="0"/>
      <w:marTop w:val="0"/>
      <w:marBottom w:val="0"/>
      <w:divBdr>
        <w:top w:val="none" w:sz="0" w:space="0" w:color="auto"/>
        <w:left w:val="none" w:sz="0" w:space="0" w:color="auto"/>
        <w:bottom w:val="none" w:sz="0" w:space="0" w:color="auto"/>
        <w:right w:val="none" w:sz="0" w:space="0" w:color="auto"/>
      </w:divBdr>
    </w:div>
    <w:div w:id="1273584604">
      <w:bodyDiv w:val="1"/>
      <w:marLeft w:val="0"/>
      <w:marRight w:val="0"/>
      <w:marTop w:val="0"/>
      <w:marBottom w:val="0"/>
      <w:divBdr>
        <w:top w:val="none" w:sz="0" w:space="0" w:color="auto"/>
        <w:left w:val="none" w:sz="0" w:space="0" w:color="auto"/>
        <w:bottom w:val="none" w:sz="0" w:space="0" w:color="auto"/>
        <w:right w:val="none" w:sz="0" w:space="0" w:color="auto"/>
      </w:divBdr>
    </w:div>
    <w:div w:id="1345664257">
      <w:bodyDiv w:val="1"/>
      <w:marLeft w:val="0"/>
      <w:marRight w:val="0"/>
      <w:marTop w:val="0"/>
      <w:marBottom w:val="0"/>
      <w:divBdr>
        <w:top w:val="none" w:sz="0" w:space="0" w:color="auto"/>
        <w:left w:val="none" w:sz="0" w:space="0" w:color="auto"/>
        <w:bottom w:val="none" w:sz="0" w:space="0" w:color="auto"/>
        <w:right w:val="none" w:sz="0" w:space="0" w:color="auto"/>
      </w:divBdr>
    </w:div>
    <w:div w:id="1372926269">
      <w:bodyDiv w:val="1"/>
      <w:marLeft w:val="0"/>
      <w:marRight w:val="0"/>
      <w:marTop w:val="0"/>
      <w:marBottom w:val="0"/>
      <w:divBdr>
        <w:top w:val="none" w:sz="0" w:space="0" w:color="auto"/>
        <w:left w:val="none" w:sz="0" w:space="0" w:color="auto"/>
        <w:bottom w:val="none" w:sz="0" w:space="0" w:color="auto"/>
        <w:right w:val="none" w:sz="0" w:space="0" w:color="auto"/>
      </w:divBdr>
    </w:div>
    <w:div w:id="1787309167">
      <w:bodyDiv w:val="1"/>
      <w:marLeft w:val="0"/>
      <w:marRight w:val="0"/>
      <w:marTop w:val="0"/>
      <w:marBottom w:val="0"/>
      <w:divBdr>
        <w:top w:val="none" w:sz="0" w:space="0" w:color="auto"/>
        <w:left w:val="none" w:sz="0" w:space="0" w:color="auto"/>
        <w:bottom w:val="none" w:sz="0" w:space="0" w:color="auto"/>
        <w:right w:val="none" w:sz="0" w:space="0" w:color="auto"/>
      </w:divBdr>
    </w:div>
    <w:div w:id="1923760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eader" Target="header4.xml"/><Relationship Id="rId26" Type="http://schemas.openxmlformats.org/officeDocument/2006/relationships/header" Target="header12.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FC6D-C7EE-45BD-A5BB-409AC833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64</Pages>
  <Words>25863</Words>
  <Characters>42934</Characters>
  <Application>Microsoft Office Word</Application>
  <DocSecurity>0</DocSecurity>
  <Lines>2862</Lines>
  <Paragraphs>2751</Paragraphs>
  <ScaleCrop>false</ScaleCrop>
  <Company/>
  <LinksUpToDate>false</LinksUpToDate>
  <CharactersWithSpaces>66046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junru yang</cp:lastModifiedBy>
  <cp:revision>4</cp:revision>
  <cp:lastPrinted>2025-05-29T07:02:00Z</cp:lastPrinted>
  <dcterms:created xsi:type="dcterms:W3CDTF">2025-05-16T06:34:00Z</dcterms:created>
  <dcterms:modified xsi:type="dcterms:W3CDTF">2025-05-29T10:38:00Z</dcterms:modified>
</cp:coreProperties>
</file>