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pPr>
      <w:r>
        <w:rPr>
          <w:rFonts w:cs="Times New Roman" w:ascii="Times New Roman" w:hAnsi="Times New Roman"/>
          <w:b/>
          <w:bCs/>
          <w:sz w:val="24"/>
          <w:szCs w:val="24"/>
        </w:rPr>
        <w:t xml:space="preserve">La estructura y dinámica de la red de estudios transatlánticos hoy: Un enfoque bibliométrico </w:t>
      </w:r>
    </w:p>
    <w:p>
      <w:pPr>
        <w:pStyle w:val="Normal"/>
        <w:spacing w:lineRule="auto" w:line="480" w:before="0" w:after="0"/>
        <w:jc w:val="both"/>
        <w:rPr/>
      </w:pPr>
      <w:r>
        <w:rPr>
          <w:rFonts w:cs="Times New Roman" w:ascii="Times New Roman" w:hAnsi="Times New Roman"/>
          <w:b/>
          <w:bCs/>
          <w:sz w:val="24"/>
          <w:szCs w:val="24"/>
        </w:rPr>
        <w:t>Profesor:</w:t>
      </w:r>
      <w:r>
        <w:rPr>
          <w:rFonts w:cs="Times New Roman" w:ascii="Times New Roman" w:hAnsi="Times New Roman"/>
          <w:sz w:val="24"/>
          <w:szCs w:val="24"/>
        </w:rPr>
        <w:t xml:space="preserve"> Constanza Burúcua</w:t>
      </w:r>
    </w:p>
    <w:p>
      <w:pPr>
        <w:pStyle w:val="Normal"/>
        <w:spacing w:lineRule="auto" w:line="480" w:before="0" w:after="0"/>
        <w:jc w:val="both"/>
        <w:rPr/>
      </w:pPr>
      <w:r>
        <w:rPr>
          <w:rFonts w:cs="Times New Roman" w:ascii="Times New Roman" w:hAnsi="Times New Roman"/>
          <w:b/>
          <w:bCs/>
          <w:sz w:val="24"/>
          <w:szCs w:val="24"/>
        </w:rPr>
        <w:t xml:space="preserve">Autores: </w:t>
      </w:r>
      <w:r>
        <w:rPr>
          <w:rFonts w:cs="Times New Roman" w:ascii="Times New Roman" w:hAnsi="Times New Roman"/>
          <w:bCs/>
          <w:sz w:val="24"/>
          <w:szCs w:val="24"/>
        </w:rPr>
        <w:t>Yadira Lizama Mué y</w:t>
      </w:r>
      <w:r>
        <w:rPr>
          <w:rFonts w:cs="Times New Roman" w:ascii="Times New Roman" w:hAnsi="Times New Roman"/>
          <w:b/>
          <w:bCs/>
          <w:sz w:val="24"/>
          <w:szCs w:val="24"/>
        </w:rPr>
        <w:t xml:space="preserve"> </w:t>
      </w:r>
      <w:r>
        <w:rPr>
          <w:rFonts w:cs="Times New Roman" w:ascii="Times New Roman" w:hAnsi="Times New Roman"/>
          <w:sz w:val="24"/>
          <w:szCs w:val="24"/>
        </w:rPr>
        <w:t>Daniel Varona Cordero</w:t>
      </w:r>
    </w:p>
    <w:p>
      <w:pPr>
        <w:pStyle w:val="Normal"/>
        <w:spacing w:lineRule="auto" w:line="480" w:before="0" w:after="0"/>
        <w:jc w:val="both"/>
        <w:rPr/>
      </w:pPr>
      <w:r>
        <w:rPr>
          <w:rFonts w:cs="Times New Roman" w:ascii="Times New Roman" w:hAnsi="Times New Roman"/>
          <w:b/>
          <w:bCs/>
          <w:sz w:val="24"/>
          <w:szCs w:val="24"/>
        </w:rPr>
        <w:t>Fecha:</w:t>
      </w:r>
      <w:r>
        <w:rPr>
          <w:rFonts w:cs="Times New Roman" w:ascii="Times New Roman" w:hAnsi="Times New Roman"/>
          <w:sz w:val="24"/>
          <w:szCs w:val="24"/>
        </w:rPr>
        <w:t xml:space="preserve"> </w:t>
      </w:r>
      <w:r>
        <w:rPr>
          <w:rFonts w:cs="Times New Roman" w:ascii="Times New Roman" w:hAnsi="Times New Roman"/>
          <w:sz w:val="24"/>
          <w:szCs w:val="24"/>
        </w:rPr>
        <w:t>Diciembre</w:t>
      </w:r>
      <w:r>
        <w:rPr>
          <w:rFonts w:cs="Times New Roman" w:ascii="Times New Roman" w:hAnsi="Times New Roman"/>
          <w:sz w:val="24"/>
          <w:szCs w:val="24"/>
        </w:rPr>
        <w:t xml:space="preserve"> 10, 2017</w:t>
      </w:r>
    </w:p>
    <w:p>
      <w:pPr>
        <w:pStyle w:val="Normal"/>
        <w:spacing w:lineRule="auto" w:line="480" w:before="0" w:after="0"/>
        <w:jc w:val="both"/>
        <w:rPr>
          <w:b/>
          <w:b/>
          <w:bCs/>
        </w:rPr>
      </w:pPr>
      <w:r>
        <w:rPr>
          <w:rFonts w:cs="Times New Roman" w:ascii="Times New Roman" w:hAnsi="Times New Roman"/>
          <w:b/>
          <w:bCs/>
          <w:sz w:val="24"/>
          <w:szCs w:val="24"/>
        </w:rPr>
        <w:t>Resumen</w:t>
      </w:r>
    </w:p>
    <w:p>
      <w:pPr>
        <w:pStyle w:val="Normal"/>
        <w:spacing w:lineRule="auto" w:line="480"/>
        <w:jc w:val="both"/>
        <w:rPr/>
      </w:pPr>
      <w:r>
        <w:rPr>
          <w:rFonts w:cs="Times New Roman" w:ascii="Times New Roman" w:hAnsi="Times New Roman"/>
          <w:bCs/>
          <w:sz w:val="24"/>
          <w:szCs w:val="24"/>
        </w:rPr>
        <w:tab/>
        <w:t xml:space="preserve">Los estudios transatlánticos pretenden abarcar los procesos y productos culturales en ambas orillas del Atlántico desde una perspectiva post-colonial, que no termina de estar definida ni por una metodología específica, ni por una articulación dentro del hispanismo tradicional.  Aún así, es innegable su existencia dado el considerable volumen de producción científica alrededor del tema, su transversalidad al resto de las ciencias sociales y su impacto en </w:t>
      </w:r>
      <w:r>
        <w:rPr>
          <w:rFonts w:cs="Times New Roman" w:ascii="Times New Roman" w:hAnsi="Times New Roman"/>
          <w:bCs/>
          <w:sz w:val="24"/>
          <w:szCs w:val="24"/>
        </w:rPr>
        <w:t xml:space="preserve">estudios de </w:t>
      </w:r>
      <w:r>
        <w:rPr>
          <w:rFonts w:cs="Times New Roman" w:ascii="Times New Roman" w:hAnsi="Times New Roman"/>
          <w:bCs/>
          <w:sz w:val="24"/>
          <w:szCs w:val="24"/>
        </w:rPr>
        <w:t xml:space="preserve">la cultura, identidad, historia, migración y economía, por solo mencionar algunas áreas. La presente investigación tiene como objetivo caracterizar la evolución y situación actual de los estudios transatlánticos a través del análisis y visualización de la estructura y dinámica de la red de publicaciones en el tema mediante técnicas de bibliometría, procesamiento del lenguaje natural y teoría de grafos. Primeramente se parte del análisis evolutivo del comportamiento de palabras claves, instituciones, autores y sus relaciones dentro del campo hasta 2017. Al final, se interpretan las métricas de co-autoría, co-citaciones, distribución geográfica y relaciones externas a otras disciplinas. El corpus utilizado lo conforman artículos y libros indexados en SCOPUS y Thomson Reuter ISI Web of Knowledge asociados a “Estudios Transatlánticos” hasta el año 2017 en inglés y español. Algunos resultados preliminares demuestran la supremacía de países norteamericanos y europeos como actores en la red. La investigación se hace eco de la necesidad de apertura del acceso al conocimiento para descentralizar la producción intelectual. Otros resultados muestran la distribución geográfica de las líneas de investigación y el continuo crecimiento que experimenta el campo. </w:t>
      </w:r>
    </w:p>
    <w:p>
      <w:pPr>
        <w:pStyle w:val="Normal"/>
        <w:spacing w:lineRule="auto" w:line="480"/>
        <w:jc w:val="both"/>
        <w:rPr>
          <w:b/>
          <w:b/>
          <w:bCs/>
        </w:rPr>
      </w:pPr>
      <w:r>
        <w:rPr>
          <w:rFonts w:cs="Times New Roman" w:ascii="Times New Roman" w:hAnsi="Times New Roman"/>
          <w:b/>
          <w:bCs/>
          <w:sz w:val="24"/>
          <w:szCs w:val="24"/>
        </w:rPr>
        <w:t>Introducción</w:t>
      </w:r>
    </w:p>
    <w:p>
      <w:pPr>
        <w:pStyle w:val="Normal"/>
        <w:spacing w:lineRule="auto" w:line="480"/>
        <w:jc w:val="both"/>
        <w:rPr>
          <w:b/>
          <w:b/>
          <w:bCs/>
        </w:rPr>
      </w:pPr>
      <w:r>
        <w:rPr>
          <w:rFonts w:cs="Times New Roman" w:ascii="Times New Roman" w:hAnsi="Times New Roman"/>
          <w:b/>
          <w:bCs/>
          <w:sz w:val="24"/>
          <w:szCs w:val="24"/>
        </w:rPr>
        <w:t xml:space="preserve">Bibliometric studies </w:t>
      </w:r>
    </w:p>
    <w:p>
      <w:pPr>
        <w:pStyle w:val="Normal"/>
        <w:spacing w:lineRule="auto" w:line="480"/>
        <w:jc w:val="both"/>
        <w:rPr>
          <w:rFonts w:ascii="Times New Roman" w:hAnsi="Times New Roman" w:cs="Times New Roman"/>
          <w:sz w:val="24"/>
          <w:szCs w:val="24"/>
        </w:rPr>
      </w:pPr>
      <w:r>
        <w:rPr>
          <w:b/>
          <w:bCs/>
        </w:rPr>
      </w:r>
    </w:p>
    <w:p>
      <w:pPr>
        <w:sectPr>
          <w:type w:val="nextPage"/>
          <w:pgSz w:w="12240" w:h="15840"/>
          <w:pgMar w:left="709" w:right="474" w:header="0" w:top="777" w:footer="0" w:bottom="1440" w:gutter="0"/>
          <w:pgNumType w:start="0" w:fmt="decimal"/>
          <w:formProt w:val="false"/>
          <w:textDirection w:val="lrTb"/>
          <w:docGrid w:type="default" w:linePitch="360" w:charSpace="4294961151"/>
        </w:sectPr>
        <w:pStyle w:val="Normal"/>
        <w:spacing w:lineRule="auto" w:line="480"/>
        <w:jc w:val="both"/>
        <w:rPr>
          <w:b/>
          <w:b/>
          <w:bCs/>
        </w:rPr>
      </w:pPr>
      <w:r>
        <w:rPr>
          <w:rFonts w:cs="Times New Roman" w:ascii="Times New Roman" w:hAnsi="Times New Roman"/>
          <w:b/>
          <w:bCs/>
          <w:sz w:val="24"/>
          <w:szCs w:val="24"/>
        </w:rPr>
        <w:t xml:space="preserve">Métodos </w:t>
      </w:r>
    </w:p>
    <w:p>
      <w:pPr>
        <w:pStyle w:val="Normal"/>
        <w:spacing w:lineRule="auto" w:line="480"/>
        <w:jc w:val="both"/>
        <w:rPr>
          <w:b/>
          <w:b/>
          <w:bCs/>
        </w:rPr>
      </w:pPr>
      <w:r>
        <w:rPr>
          <w:rFonts w:cs="Times New Roman" w:ascii="Times New Roman" w:hAnsi="Times New Roman"/>
          <w:b/>
          <w:bCs/>
          <w:sz w:val="24"/>
          <w:szCs w:val="24"/>
        </w:rPr>
        <w:t>Resultados y Discusión</w:t>
      </w:r>
    </w:p>
    <w:p>
      <w:pPr>
        <w:pStyle w:val="Normal"/>
        <w:spacing w:lineRule="auto" w:line="480"/>
        <w:jc w:val="both"/>
        <w:rPr>
          <w:b/>
          <w:b/>
          <w:bCs/>
        </w:rPr>
      </w:pPr>
      <w:r>
        <w:rPr>
          <w:rFonts w:cs="Times New Roman" w:ascii="Times New Roman" w:hAnsi="Times New Roman"/>
          <w:b/>
          <w:bCs/>
          <w:sz w:val="24"/>
          <w:szCs w:val="24"/>
        </w:rPr>
        <w:t>Conclusiones</w:t>
      </w:r>
    </w:p>
    <w:p>
      <w:pPr>
        <w:pStyle w:val="Normal"/>
        <w:spacing w:lineRule="auto" w:line="480"/>
        <w:jc w:val="both"/>
        <w:rPr/>
      </w:pPr>
      <w:r>
        <w:rPr>
          <w:rFonts w:cs="Times New Roman" w:ascii="Times New Roman" w:hAnsi="Times New Roman"/>
          <w:b/>
          <w:bCs/>
          <w:sz w:val="24"/>
          <w:szCs w:val="24"/>
        </w:rPr>
        <w:t xml:space="preserve">Bibliografía </w:t>
      </w:r>
    </w:p>
    <w:p>
      <w:pPr>
        <w:pStyle w:val="ListParagraph"/>
        <w:spacing w:lineRule="auto" w:line="480"/>
        <w:ind w:hanging="0"/>
        <w:jc w:val="both"/>
        <w:rPr>
          <w:b w:val="false"/>
          <w:b w:val="false"/>
          <w:bCs w:val="false"/>
        </w:rPr>
      </w:pPr>
      <w:r>
        <w:rPr>
          <w:rFonts w:cs="Times New Roman" w:ascii="Times New Roman" w:hAnsi="Times New Roman"/>
          <w:b w:val="false"/>
          <w:bCs w:val="false"/>
          <w:sz w:val="24"/>
          <w:szCs w:val="24"/>
          <w:lang w:val="en-CA"/>
        </w:rPr>
        <w:t xml:space="preserve">Aria, Massimo, y Corrado Cuccurullo. «bibliometrix: An R-tool for comprehensive science mapping </w:t>
        <w:tab/>
        <w:t xml:space="preserve">analysis». </w:t>
      </w:r>
      <w:r>
        <w:rPr>
          <w:rFonts w:cs="Times New Roman" w:ascii="Times New Roman" w:hAnsi="Times New Roman"/>
          <w:b w:val="false"/>
          <w:bCs w:val="false"/>
          <w:i/>
          <w:sz w:val="24"/>
          <w:szCs w:val="24"/>
          <w:lang w:val="en-CA"/>
        </w:rPr>
        <w:t>Journal of Informetrics</w:t>
      </w:r>
      <w:r>
        <w:rPr>
          <w:rFonts w:cs="Times New Roman" w:ascii="Times New Roman" w:hAnsi="Times New Roman"/>
          <w:b w:val="false"/>
          <w:bCs w:val="false"/>
          <w:sz w:val="24"/>
          <w:szCs w:val="24"/>
          <w:lang w:val="en-CA"/>
        </w:rPr>
        <w:t xml:space="preserve">, vol. 11, no. 4, noviembre de 2017, pp. 959-75. </w:t>
        <w:tab/>
        <w:t xml:space="preserve">ScienceDirect, </w:t>
        <w:tab/>
        <w:t>doi:10.1016/j.joi.2017.08.007.</w:t>
      </w:r>
    </w:p>
    <w:p>
      <w:pPr>
        <w:pStyle w:val="ListParagraph"/>
        <w:spacing w:lineRule="auto" w:line="480"/>
        <w:ind w:hanging="0"/>
        <w:jc w:val="both"/>
        <w:rPr>
          <w:rFonts w:ascii="Times New Roman" w:hAnsi="Times New Roman" w:cs="Times New Roman"/>
          <w:sz w:val="24"/>
          <w:szCs w:val="24"/>
          <w:lang w:val="en-CA"/>
        </w:rPr>
      </w:pPr>
      <w:r>
        <w:rPr>
          <w:b w:val="false"/>
          <w:bCs w:val="false"/>
        </w:rPr>
      </w:r>
    </w:p>
    <w:p>
      <w:pPr>
        <w:pStyle w:val="ListParagraph"/>
        <w:spacing w:lineRule="auto" w:line="480"/>
        <w:ind w:hanging="0"/>
        <w:jc w:val="both"/>
        <w:rPr>
          <w:b w:val="false"/>
          <w:b w:val="false"/>
          <w:bCs w:val="false"/>
        </w:rPr>
      </w:pPr>
      <w:r>
        <w:rPr>
          <w:rFonts w:cs="Times New Roman" w:ascii="Times New Roman" w:hAnsi="Times New Roman"/>
          <w:b w:val="false"/>
          <w:bCs w:val="false"/>
          <w:sz w:val="24"/>
          <w:szCs w:val="24"/>
        </w:rPr>
        <w:t xml:space="preserve">Fernández </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sz w:val="24"/>
          <w:szCs w:val="24"/>
        </w:rPr>
        <w:t>Francisco.</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sz w:val="24"/>
          <w:szCs w:val="24"/>
        </w:rPr>
        <w:t>“Teorías de navegación: Métodos de los estudios transatlánticos”</w:t>
      </w:r>
      <w:r>
        <w:rPr>
          <w:rFonts w:cs="Times New Roman" w:ascii="Times New Roman" w:hAnsi="Times New Roman"/>
          <w:b w:val="false"/>
          <w:bCs w:val="false"/>
          <w:i/>
          <w:iCs/>
          <w:sz w:val="24"/>
          <w:szCs w:val="24"/>
        </w:rPr>
        <w:t xml:space="preserve">. </w:t>
        <w:tab/>
        <w:t xml:space="preserve">Hispanófila, </w:t>
      </w:r>
      <w:r>
        <w:rPr>
          <w:rFonts w:cs="Times New Roman" w:ascii="Times New Roman" w:hAnsi="Times New Roman"/>
          <w:b w:val="false"/>
          <w:bCs w:val="false"/>
          <w:sz w:val="24"/>
          <w:szCs w:val="24"/>
        </w:rPr>
        <w:tab/>
        <w:t xml:space="preserve">vol. 161, </w:t>
        <w:tab/>
        <w:t>2012, pp. 35-57. Project MUSE, doi:10.1353/hsf.2011.0020.</w:t>
      </w:r>
    </w:p>
    <w:p>
      <w:pPr>
        <w:pStyle w:val="Normal"/>
        <w:spacing w:lineRule="auto" w:line="480"/>
        <w:jc w:val="both"/>
        <w:rPr/>
      </w:pPr>
      <w:r>
        <w:rPr>
          <w:rStyle w:val="EnlacedeInternet"/>
          <w:rFonts w:cs="Times New Roman" w:ascii="Times New Roman" w:hAnsi="Times New Roman"/>
          <w:b w:val="false"/>
          <w:bCs w:val="false"/>
          <w:color w:val="000000"/>
          <w:sz w:val="24"/>
          <w:szCs w:val="24"/>
          <w:u w:val="none"/>
        </w:rPr>
        <w:t xml:space="preserve">Greenberg, Marc L., y Ada Emmett. </w:t>
      </w:r>
      <w:r>
        <w:rPr>
          <w:rStyle w:val="EnlacedeInternet"/>
          <w:rFonts w:cs="Times New Roman" w:ascii="Times New Roman" w:hAnsi="Times New Roman"/>
          <w:b w:val="false"/>
          <w:bCs w:val="false"/>
          <w:i/>
          <w:color w:val="000000"/>
          <w:sz w:val="24"/>
          <w:szCs w:val="24"/>
          <w:u w:val="none"/>
        </w:rPr>
        <w:t xml:space="preserve">Problem znanstvenega komuniciranja. Zakaj potrebujemo gibanje </w:t>
        <w:tab/>
        <w:t xml:space="preserve">Prosti </w:t>
        <w:tab/>
        <w:t xml:space="preserve">dostop [The Scholarly Communication Problem: Why Open Access is Necessary, A </w:t>
        <w:tab/>
        <w:t xml:space="preserve">Transatlantic </w:t>
        <w:tab/>
        <w:t>Perspective].</w:t>
      </w:r>
      <w:r>
        <w:rPr>
          <w:rStyle w:val="EnlacedeInternet"/>
          <w:rFonts w:cs="Times New Roman" w:ascii="Times New Roman" w:hAnsi="Times New Roman"/>
          <w:b w:val="false"/>
          <w:bCs w:val="false"/>
          <w:color w:val="000000"/>
          <w:sz w:val="24"/>
          <w:szCs w:val="24"/>
          <w:u w:val="none"/>
        </w:rPr>
        <w:t xml:space="preserve"> Septiembre de 2010. </w:t>
      </w:r>
      <w:r>
        <w:rPr>
          <w:rStyle w:val="EnlacedeInternet"/>
          <w:rFonts w:cs="Times New Roman" w:ascii="Times New Roman" w:hAnsi="Times New Roman"/>
          <w:b w:val="false"/>
          <w:bCs w:val="false"/>
          <w:i/>
          <w:color w:val="000000"/>
          <w:sz w:val="24"/>
          <w:szCs w:val="24"/>
          <w:u w:val="none"/>
        </w:rPr>
        <w:t>kuscholarworks.ku.edu</w:t>
      </w:r>
      <w:r>
        <w:rPr>
          <w:rStyle w:val="EnlacedeInternet"/>
          <w:rFonts w:cs="Times New Roman" w:ascii="Times New Roman" w:hAnsi="Times New Roman"/>
          <w:b w:val="false"/>
          <w:bCs w:val="false"/>
          <w:color w:val="000000"/>
          <w:sz w:val="24"/>
          <w:szCs w:val="24"/>
          <w:u w:val="none"/>
        </w:rPr>
        <w:t xml:space="preserve">, </w:t>
        <w:tab/>
      </w:r>
      <w:hyperlink r:id="rId2">
        <w:r>
          <w:rPr>
            <w:rStyle w:val="EnlacedeInternet"/>
            <w:rFonts w:cs="Times New Roman" w:ascii="Times New Roman" w:hAnsi="Times New Roman"/>
            <w:b w:val="false"/>
            <w:bCs w:val="false"/>
            <w:color w:val="0000CC"/>
            <w:sz w:val="24"/>
            <w:szCs w:val="24"/>
          </w:rPr>
          <w:t>https://kuscholarworks.ku.edu/bitstream/handle/1808/6646/OA_Greenberg-</w:t>
        </w:r>
      </w:hyperlink>
      <w:hyperlink r:id="rId3">
        <w:r>
          <w:rPr>
            <w:rStyle w:val="EnlacedeInternet"/>
            <w:rFonts w:cs="Times New Roman" w:ascii="Times New Roman" w:hAnsi="Times New Roman"/>
            <w:b w:val="false"/>
            <w:bCs w:val="false"/>
            <w:color w:val="0000CC"/>
            <w:sz w:val="24"/>
            <w:szCs w:val="24"/>
            <w:u w:val="none"/>
          </w:rPr>
          <w:tab/>
        </w:r>
      </w:hyperlink>
      <w:r>
        <w:rPr>
          <w:rStyle w:val="EnlacedeInternet"/>
          <w:rFonts w:cs="Times New Roman" w:ascii="Times New Roman" w:hAnsi="Times New Roman"/>
          <w:b w:val="false"/>
          <w:bCs w:val="false"/>
          <w:color w:val="0000CC"/>
          <w:sz w:val="24"/>
          <w:szCs w:val="24"/>
        </w:rPr>
        <w:t>Emmett_Eng_june2010.pdf</w:t>
      </w:r>
      <w:r>
        <w:rPr>
          <w:rStyle w:val="EnlacedeInternet"/>
          <w:rFonts w:cs="Times New Roman" w:ascii="Times New Roman" w:hAnsi="Times New Roman"/>
          <w:b w:val="false"/>
          <w:bCs w:val="false"/>
          <w:color w:val="0000CC"/>
          <w:sz w:val="24"/>
          <w:szCs w:val="24"/>
        </w:rPr>
        <w:t>?</w:t>
      </w:r>
      <w:hyperlink r:id="rId4">
        <w:r>
          <w:rPr>
            <w:rStyle w:val="EnlacedeInternet"/>
            <w:rFonts w:cs="Times New Roman" w:ascii="Times New Roman" w:hAnsi="Times New Roman"/>
            <w:b w:val="false"/>
            <w:bCs w:val="false"/>
            <w:color w:val="0000CC"/>
            <w:sz w:val="24"/>
            <w:szCs w:val="24"/>
          </w:rPr>
          <w:t>sequence=3&amp;isAllowed=y</w:t>
        </w:r>
      </w:hyperlink>
      <w:r>
        <w:rPr>
          <w:rStyle w:val="EnlacedeInternet"/>
          <w:rFonts w:cs="Times New Roman" w:ascii="Times New Roman" w:hAnsi="Times New Roman"/>
          <w:b w:val="false"/>
          <w:bCs w:val="false"/>
          <w:color w:val="000000"/>
          <w:sz w:val="24"/>
          <w:szCs w:val="24"/>
        </w:rPr>
        <w:t xml:space="preserve"> </w:t>
      </w:r>
    </w:p>
    <w:p>
      <w:pPr>
        <w:pStyle w:val="Normal"/>
        <w:spacing w:lineRule="auto" w:line="480"/>
        <w:jc w:val="both"/>
        <w:rPr>
          <w:b w:val="false"/>
          <w:b w:val="false"/>
          <w:bCs w:val="false"/>
        </w:rPr>
      </w:pPr>
      <w:r>
        <w:rPr>
          <w:rFonts w:cs="Times New Roman" w:ascii="Times New Roman" w:hAnsi="Times New Roman"/>
          <w:b w:val="false"/>
          <w:bCs w:val="false"/>
          <w:sz w:val="24"/>
          <w:szCs w:val="24"/>
          <w:lang w:val="en-CA"/>
        </w:rPr>
        <w:t xml:space="preserve">Li, Shenxue, et al. «Research Methods for Organizational Learning: The Transatlantic Gap». </w:t>
        <w:tab/>
      </w:r>
      <w:r>
        <w:rPr>
          <w:rFonts w:cs="Times New Roman" w:ascii="Times New Roman" w:hAnsi="Times New Roman"/>
          <w:b w:val="false"/>
          <w:bCs w:val="false"/>
          <w:i/>
          <w:sz w:val="24"/>
          <w:szCs w:val="24"/>
          <w:lang w:val="en-CA"/>
        </w:rPr>
        <w:t xml:space="preserve">Management </w:t>
        <w:tab/>
        <w:t>Learning</w:t>
      </w:r>
      <w:r>
        <w:rPr>
          <w:rFonts w:cs="Times New Roman" w:ascii="Times New Roman" w:hAnsi="Times New Roman"/>
          <w:b w:val="false"/>
          <w:bCs w:val="false"/>
          <w:sz w:val="24"/>
          <w:szCs w:val="24"/>
          <w:lang w:val="en-CA"/>
        </w:rPr>
        <w:t>, vol. 40, n.</w:t>
      </w:r>
      <w:r>
        <w:rPr>
          <w:rFonts w:cs="Times New Roman" w:ascii="Times New Roman" w:hAnsi="Times New Roman"/>
          <w:b w:val="false"/>
          <w:bCs w:val="false"/>
          <w:position w:val="8"/>
          <w:sz w:val="24"/>
          <w:szCs w:val="24"/>
          <w:lang w:val="en-CA"/>
        </w:rPr>
        <w:t>o</w:t>
      </w:r>
      <w:r>
        <w:rPr>
          <w:rFonts w:cs="Times New Roman" w:ascii="Times New Roman" w:hAnsi="Times New Roman"/>
          <w:b w:val="false"/>
          <w:bCs w:val="false"/>
          <w:sz w:val="24"/>
          <w:szCs w:val="24"/>
          <w:lang w:val="en-CA"/>
        </w:rPr>
        <w:t xml:space="preserve"> 4, septiembre de 2009, pp. 439-47. </w:t>
      </w:r>
      <w:r>
        <w:rPr>
          <w:rFonts w:cs="Times New Roman" w:ascii="Times New Roman" w:hAnsi="Times New Roman"/>
          <w:b w:val="false"/>
          <w:bCs w:val="false"/>
          <w:i/>
          <w:sz w:val="24"/>
          <w:szCs w:val="24"/>
          <w:lang w:val="en-CA"/>
        </w:rPr>
        <w:t>SAGE Journals.</w:t>
      </w:r>
    </w:p>
    <w:p>
      <w:pPr>
        <w:pStyle w:val="Normal"/>
        <w:spacing w:lineRule="auto" w:line="480"/>
        <w:jc w:val="both"/>
        <w:rPr>
          <w:b w:val="false"/>
          <w:b w:val="false"/>
          <w:bCs w:val="false"/>
        </w:rPr>
      </w:pPr>
      <w:r>
        <w:rPr>
          <w:rFonts w:cs="Times New Roman" w:ascii="Times New Roman" w:hAnsi="Times New Roman"/>
          <w:b w:val="false"/>
          <w:bCs w:val="false"/>
          <w:sz w:val="24"/>
          <w:szCs w:val="24"/>
        </w:rPr>
        <w:t xml:space="preserve">Murray, Susan. «Moving Africa away from the global knowledge periphery: a case study of AJOL». </w:t>
        <w:tab/>
      </w:r>
      <w:r>
        <w:rPr>
          <w:rFonts w:cs="Times New Roman" w:ascii="Times New Roman" w:hAnsi="Times New Roman"/>
          <w:b w:val="false"/>
          <w:bCs w:val="false"/>
          <w:i/>
          <w:sz w:val="24"/>
          <w:szCs w:val="24"/>
        </w:rPr>
        <w:t xml:space="preserve">Africa </w:t>
        <w:tab/>
        <w:t>Bibliography</w:t>
      </w:r>
      <w:r>
        <w:rPr>
          <w:rFonts w:cs="Times New Roman" w:ascii="Times New Roman" w:hAnsi="Times New Roman"/>
          <w:b w:val="false"/>
          <w:bCs w:val="false"/>
          <w:sz w:val="24"/>
          <w:szCs w:val="24"/>
        </w:rPr>
        <w:t xml:space="preserve">, vol. 2008, noviembre de 2009, pp. vii-xxiv. </w:t>
      </w:r>
      <w:r>
        <w:rPr>
          <w:rFonts w:cs="Times New Roman" w:ascii="Times New Roman" w:hAnsi="Times New Roman"/>
          <w:b w:val="false"/>
          <w:bCs w:val="false"/>
          <w:i/>
          <w:sz w:val="24"/>
          <w:szCs w:val="24"/>
        </w:rPr>
        <w:t>Cambridge Core</w:t>
      </w:r>
      <w:r>
        <w:rPr>
          <w:rFonts w:cs="Times New Roman" w:ascii="Times New Roman" w:hAnsi="Times New Roman"/>
          <w:b w:val="false"/>
          <w:bCs w:val="false"/>
          <w:sz w:val="24"/>
          <w:szCs w:val="24"/>
        </w:rPr>
        <w:t xml:space="preserve">, </w:t>
        <w:tab/>
        <w:t>doi:10.3366/abib.2008.2.</w:t>
      </w:r>
    </w:p>
    <w:p>
      <w:pPr>
        <w:pStyle w:val="Normal"/>
        <w:spacing w:lineRule="auto" w:line="480"/>
        <w:jc w:val="both"/>
        <w:rPr>
          <w:b w:val="false"/>
          <w:b w:val="false"/>
          <w:bCs w:val="false"/>
        </w:rPr>
      </w:pPr>
      <w:r>
        <w:rPr>
          <w:rFonts w:cs="Times New Roman" w:ascii="Times New Roman" w:hAnsi="Times New Roman"/>
          <w:b w:val="false"/>
          <w:bCs w:val="false"/>
          <w:sz w:val="24"/>
          <w:szCs w:val="24"/>
          <w:lang w:val="en-CA"/>
        </w:rPr>
        <w:t xml:space="preserve">Newman, Mark, et al. </w:t>
      </w:r>
      <w:r>
        <w:rPr>
          <w:rFonts w:cs="Times New Roman" w:ascii="Times New Roman" w:hAnsi="Times New Roman"/>
          <w:b w:val="false"/>
          <w:bCs w:val="false"/>
          <w:i/>
          <w:sz w:val="24"/>
          <w:szCs w:val="24"/>
          <w:lang w:val="en-CA"/>
        </w:rPr>
        <w:t>The Structure and Dynamics of Networks</w:t>
      </w:r>
      <w:r>
        <w:rPr>
          <w:rFonts w:cs="Times New Roman" w:ascii="Times New Roman" w:hAnsi="Times New Roman"/>
          <w:b w:val="false"/>
          <w:bCs w:val="false"/>
          <w:sz w:val="24"/>
          <w:szCs w:val="24"/>
          <w:lang w:val="en-CA"/>
        </w:rPr>
        <w:t xml:space="preserve">. 1 edition, Princeton University Press, </w:t>
        <w:tab/>
        <w:t>2006.</w:t>
      </w:r>
    </w:p>
    <w:p>
      <w:pPr>
        <w:pStyle w:val="Normal"/>
        <w:spacing w:lineRule="auto" w:line="480"/>
        <w:jc w:val="both"/>
        <w:rPr>
          <w:b w:val="false"/>
          <w:b w:val="false"/>
          <w:bCs w:val="false"/>
        </w:rPr>
      </w:pPr>
      <w:r>
        <w:rPr>
          <w:rFonts w:cs="Times New Roman" w:ascii="Times New Roman" w:hAnsi="Times New Roman"/>
          <w:b w:val="false"/>
          <w:bCs w:val="false"/>
          <w:sz w:val="24"/>
          <w:szCs w:val="24"/>
          <w:lang w:val="en-CA"/>
        </w:rPr>
        <w:t xml:space="preserve">Paar-Jakli, Gabriella. </w:t>
      </w:r>
      <w:r>
        <w:rPr>
          <w:rFonts w:cs="Times New Roman" w:ascii="Times New Roman" w:hAnsi="Times New Roman"/>
          <w:b w:val="false"/>
          <w:bCs w:val="false"/>
          <w:i/>
          <w:sz w:val="24"/>
          <w:szCs w:val="24"/>
          <w:lang w:val="en-CA"/>
        </w:rPr>
        <w:t xml:space="preserve">Knowledge Sharing and Networking in Transatlantic Relations: A Network </w:t>
        <w:tab/>
        <w:t xml:space="preserve">Analytical </w:t>
        <w:tab/>
        <w:t>Approach to Scientific and Technological Cooperation</w:t>
      </w:r>
      <w:r>
        <w:rPr>
          <w:rFonts w:cs="Times New Roman" w:ascii="Times New Roman" w:hAnsi="Times New Roman"/>
          <w:b w:val="false"/>
          <w:bCs w:val="false"/>
          <w:sz w:val="24"/>
          <w:szCs w:val="24"/>
          <w:lang w:val="en-CA"/>
        </w:rPr>
        <w:t xml:space="preserve">. Kent State University, </w:t>
        <w:tab/>
        <w:t>2010.</w:t>
      </w:r>
    </w:p>
    <w:p>
      <w:pPr>
        <w:pStyle w:val="ListParagraph"/>
        <w:spacing w:lineRule="auto" w:line="480"/>
        <w:ind w:hanging="0"/>
        <w:jc w:val="both"/>
        <w:rPr>
          <w:b w:val="false"/>
          <w:b w:val="false"/>
          <w:bCs w:val="false"/>
        </w:rPr>
      </w:pPr>
      <w:r>
        <w:rPr>
          <w:rFonts w:cs="Times New Roman" w:ascii="Times New Roman" w:hAnsi="Times New Roman"/>
          <w:b w:val="false"/>
          <w:bCs w:val="false"/>
          <w:sz w:val="24"/>
          <w:szCs w:val="24"/>
          <w:lang w:val="en-CA"/>
        </w:rPr>
        <w:t xml:space="preserve">Tang, Muh-Chyun, et al. “A Longitudinal Study of Intellectual Cohesion in Digital Humanities Using </w:t>
        <w:tab/>
        <w:t xml:space="preserve">Bibliometric </w:t>
        <w:tab/>
        <w:t xml:space="preserve">Analyses”. </w:t>
      </w:r>
      <w:r>
        <w:rPr>
          <w:rFonts w:cs="Times New Roman" w:ascii="Times New Roman" w:hAnsi="Times New Roman"/>
          <w:b w:val="false"/>
          <w:bCs w:val="false"/>
          <w:i/>
          <w:iCs/>
          <w:sz w:val="24"/>
          <w:szCs w:val="24"/>
          <w:lang w:val="en-CA"/>
        </w:rPr>
        <w:t>Scientometrics</w:t>
      </w:r>
      <w:r>
        <w:rPr>
          <w:rFonts w:cs="Times New Roman" w:ascii="Times New Roman" w:hAnsi="Times New Roman"/>
          <w:b w:val="false"/>
          <w:bCs w:val="false"/>
          <w:sz w:val="24"/>
          <w:szCs w:val="24"/>
          <w:lang w:val="en-CA"/>
        </w:rPr>
        <w:t>, vol. 113, n.o 2, noviembre de 2017, pp. 985-</w:t>
        <w:tab/>
        <w:t>1008.</w:t>
      </w:r>
    </w:p>
    <w:p>
      <w:pPr>
        <w:pStyle w:val="Normal"/>
        <w:spacing w:lineRule="auto" w:line="480"/>
        <w:jc w:val="both"/>
        <w:rPr>
          <w:b w:val="false"/>
          <w:b w:val="false"/>
          <w:bCs w:val="false"/>
        </w:rPr>
      </w:pPr>
      <w:r>
        <w:rPr>
          <w:rFonts w:cs="Times New Roman" w:ascii="Times New Roman" w:hAnsi="Times New Roman"/>
          <w:b w:val="false"/>
          <w:bCs w:val="false"/>
          <w:sz w:val="24"/>
          <w:szCs w:val="24"/>
          <w:lang w:val="en-CA"/>
        </w:rPr>
        <w:t xml:space="preserve">Thompson, Heather Allison. </w:t>
      </w:r>
      <w:r>
        <w:rPr>
          <w:rFonts w:cs="Times New Roman" w:ascii="Times New Roman" w:hAnsi="Times New Roman"/>
          <w:b w:val="false"/>
          <w:bCs w:val="false"/>
          <w:i/>
          <w:sz w:val="24"/>
          <w:szCs w:val="24"/>
          <w:lang w:val="en-CA"/>
        </w:rPr>
        <w:t xml:space="preserve">Pronouncing the Re-Turn: Constructing and Interpreting Visual </w:t>
        <w:tab/>
        <w:t xml:space="preserve">Representations </w:t>
        <w:tab/>
        <w:t xml:space="preserve">of </w:t>
        <w:tab/>
        <w:t xml:space="preserve">the Caribbean from a Transatlantic, Transcultural and Diasporic </w:t>
        <w:tab/>
        <w:t>Perspective</w:t>
      </w:r>
      <w:r>
        <w:rPr>
          <w:rFonts w:cs="Times New Roman" w:ascii="Times New Roman" w:hAnsi="Times New Roman"/>
          <w:b w:val="false"/>
          <w:bCs w:val="false"/>
          <w:sz w:val="24"/>
          <w:szCs w:val="24"/>
          <w:lang w:val="en-CA"/>
        </w:rPr>
        <w:t xml:space="preserve">. State University of </w:t>
        <w:tab/>
        <w:t xml:space="preserve">New York at Stony Brook, 2013. </w:t>
      </w:r>
      <w:r>
        <w:rPr>
          <w:rFonts w:cs="Times New Roman" w:ascii="Times New Roman" w:hAnsi="Times New Roman"/>
          <w:b w:val="false"/>
          <w:bCs w:val="false"/>
          <w:i/>
          <w:sz w:val="24"/>
          <w:szCs w:val="24"/>
          <w:lang w:val="en-CA"/>
        </w:rPr>
        <w:t>ProQuest</w:t>
      </w:r>
      <w:r>
        <w:rPr>
          <w:rFonts w:cs="Times New Roman" w:ascii="Times New Roman" w:hAnsi="Times New Roman"/>
          <w:b w:val="false"/>
          <w:bCs w:val="false"/>
          <w:sz w:val="24"/>
          <w:szCs w:val="24"/>
          <w:lang w:val="en-CA"/>
        </w:rPr>
        <w:t>,</w:t>
        <w:tab/>
        <w:tab/>
        <w:tab/>
        <w:tab/>
        <w:t>https://search.proquest.com/docview/1455654153/abstract/72FA378F8237411EPQ/1.</w:t>
      </w:r>
    </w:p>
    <w:p>
      <w:pPr>
        <w:pStyle w:val="ListParagraph"/>
        <w:spacing w:lineRule="auto" w:line="480" w:before="0" w:after="160"/>
        <w:ind w:hanging="0"/>
        <w:contextualSpacing/>
        <w:jc w:val="both"/>
        <w:rPr>
          <w:b w:val="false"/>
          <w:b w:val="false"/>
          <w:bCs w:val="false"/>
        </w:rPr>
      </w:pPr>
      <w:r>
        <w:rPr>
          <w:rFonts w:cs="Times New Roman" w:ascii="Times New Roman" w:hAnsi="Times New Roman"/>
          <w:b w:val="false"/>
          <w:bCs w:val="false"/>
          <w:sz w:val="24"/>
          <w:szCs w:val="24"/>
          <w:lang w:val="en-CA"/>
        </w:rPr>
        <w:t xml:space="preserve">Trigo, Abril, "Los estudios transatlánticos y la geopolítica del neo-hispanismo”, </w:t>
      </w:r>
      <w:r>
        <w:rPr>
          <w:rFonts w:cs="Times New Roman" w:ascii="Times New Roman" w:hAnsi="Times New Roman"/>
          <w:b w:val="false"/>
          <w:bCs w:val="false"/>
          <w:i/>
          <w:sz w:val="24"/>
          <w:szCs w:val="24"/>
          <w:lang w:val="en-CA"/>
        </w:rPr>
        <w:t xml:space="preserve">Cuadernos de </w:t>
        <w:tab/>
        <w:t>Literatura</w:t>
      </w:r>
      <w:r>
        <w:rPr>
          <w:rFonts w:cs="Times New Roman" w:ascii="Times New Roman" w:hAnsi="Times New Roman"/>
          <w:b w:val="false"/>
          <w:bCs w:val="false"/>
          <w:sz w:val="24"/>
          <w:szCs w:val="24"/>
          <w:lang w:val="en-CA"/>
        </w:rPr>
        <w:t xml:space="preserve">, </w:t>
        <w:tab/>
        <w:t>vol. 16, no. 31, junio de 2012, pp. 16-45</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DefaultParagraphFont">
    <w:name w:val="Default Paragraph Font"/>
    <w:qFormat/>
    <w:rPr/>
  </w:style>
  <w:style w:type="character" w:styleId="EnlacedeInternet">
    <w:name w:val="Enlace de Internet"/>
    <w:basedOn w:val="DefaultParagraphFont"/>
    <w:qFormat/>
    <w:rPr>
      <w:color w:val="0563C1" w:themeColor="hyperlink"/>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scholarworks.ku.edu/bitstream/handle/1808/6646/OA_Greenberg-" TargetMode="External"/><Relationship Id="rId3" Type="http://schemas.openxmlformats.org/officeDocument/2006/relationships/hyperlink" Target="https://kuscholarworks.ku.edu/bitstream/handle/1808/6646/OA_Greenberg-Emmett_Eng_june2010.pdf" TargetMode="External"/><Relationship Id="rId4" Type="http://schemas.openxmlformats.org/officeDocument/2006/relationships/hyperlink" Target="https://kuscholarworks.ku.edu/bitstream/handle/1808/6646/OA_Greenberg-Emmett_Eng_june2010.pdf?sequence=3&amp;isAllowed=y"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1293</TotalTime>
  <Application>LibreOffice/5.1.6.2$Linux_X86_64 LibreOffice_project/10m0$Build-2</Application>
  <Pages>4</Pages>
  <Words>538</Words>
  <Characters>3592</Characters>
  <CharactersWithSpaces>4148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2017-11-30T13:21:14Z</dcterms:created>
  <dc:creator/>
  <dc:description/>
  <dc:language>en-US</dc:language>
  <cp:lastModifiedBy/>
  <dcterms:modified xsi:type="dcterms:W3CDTF">2017-12-01T12:34:38Z</dcterms:modified>
  <cp:revision>2</cp:revision>
  <dc:subject/>
  <dc:title/>
</cp:coreProperties>
</file>