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9035733"/>
        <w:docPartObj>
          <w:docPartGallery w:val="Cover Pages"/>
          <w:docPartUnique/>
        </w:docPartObj>
      </w:sdtPr>
      <w:sdtEndPr/>
      <w:sdtContent>
        <w:p w:rsidR="005B1130" w:rsidRDefault="005B113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8B1F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06643" w:rsidRDefault="00006643">
                                    <w:pPr>
                                      <w:pStyle w:val="NoSpacing"/>
                                      <w:jc w:val="right"/>
                                      <w:rPr>
                                        <w:color w:val="595959" w:themeColor="text1" w:themeTint="A6"/>
                                        <w:sz w:val="28"/>
                                        <w:szCs w:val="28"/>
                                      </w:rPr>
                                    </w:pPr>
                                    <w:r>
                                      <w:rPr>
                                        <w:color w:val="595959" w:themeColor="text1" w:themeTint="A6"/>
                                        <w:sz w:val="28"/>
                                        <w:szCs w:val="28"/>
                                      </w:rPr>
                                      <w:t>Daniel Varona</w:t>
                                    </w:r>
                                  </w:p>
                                </w:sdtContent>
                              </w:sdt>
                              <w:p w:rsidR="00006643" w:rsidRDefault="003E223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6643">
                                      <w:rPr>
                                        <w:color w:val="595959" w:themeColor="text1" w:themeTint="A6"/>
                                        <w:sz w:val="18"/>
                                        <w:szCs w:val="18"/>
                                      </w:rPr>
                                      <w:t>dvaronac</w:t>
                                    </w:r>
                                    <w:r w:rsidR="00006643">
                                      <w:rPr>
                                        <w:color w:val="595959" w:themeColor="text1" w:themeTint="A6"/>
                                        <w:sz w:val="18"/>
                                        <w:szCs w:val="18"/>
                                        <w:lang w:val="en-CA"/>
                                      </w:rPr>
                                      <w:t>@uwo.ca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06643" w:rsidRDefault="00006643">
                              <w:pPr>
                                <w:pStyle w:val="NoSpacing"/>
                                <w:jc w:val="right"/>
                                <w:rPr>
                                  <w:color w:val="595959" w:themeColor="text1" w:themeTint="A6"/>
                                  <w:sz w:val="28"/>
                                  <w:szCs w:val="28"/>
                                </w:rPr>
                              </w:pPr>
                              <w:r>
                                <w:rPr>
                                  <w:color w:val="595959" w:themeColor="text1" w:themeTint="A6"/>
                                  <w:sz w:val="28"/>
                                  <w:szCs w:val="28"/>
                                </w:rPr>
                                <w:t>Daniel Varona</w:t>
                              </w:r>
                            </w:p>
                          </w:sdtContent>
                        </w:sdt>
                        <w:p w:rsidR="00006643" w:rsidRDefault="003E223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6643">
                                <w:rPr>
                                  <w:color w:val="595959" w:themeColor="text1" w:themeTint="A6"/>
                                  <w:sz w:val="18"/>
                                  <w:szCs w:val="18"/>
                                </w:rPr>
                                <w:t>dvaronac</w:t>
                              </w:r>
                              <w:r w:rsidR="00006643">
                                <w:rPr>
                                  <w:color w:val="595959" w:themeColor="text1" w:themeTint="A6"/>
                                  <w:sz w:val="18"/>
                                  <w:szCs w:val="18"/>
                                  <w:lang w:val="en-CA"/>
                                </w:rPr>
                                <w:t>@uwo.ca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643" w:rsidRPr="006B6152" w:rsidRDefault="00006643">
                                <w:pPr>
                                  <w:pStyle w:val="NoSpacing"/>
                                  <w:jc w:val="right"/>
                                  <w:rPr>
                                    <w:color w:val="5B9BD5" w:themeColor="accent1"/>
                                    <w:sz w:val="28"/>
                                    <w:szCs w:val="28"/>
                                    <w:lang w:val="es-CU"/>
                                  </w:rPr>
                                </w:pPr>
                                <w:r w:rsidRPr="006B6152">
                                  <w:rPr>
                                    <w:color w:val="5B9BD5" w:themeColor="accent1"/>
                                    <w:sz w:val="28"/>
                                    <w:szCs w:val="28"/>
                                    <w:lang w:val="es-CU"/>
                                  </w:rPr>
                                  <w:t>Abstract</w:t>
                                </w:r>
                              </w:p>
                              <w:sdt>
                                <w:sdtPr>
                                  <w:rPr>
                                    <w:color w:val="595959" w:themeColor="text1" w:themeTint="A6"/>
                                    <w:sz w:val="20"/>
                                    <w:szCs w:val="20"/>
                                    <w:lang w:val="es-CU"/>
                                  </w:rPr>
                                  <w:alias w:val="Abstract"/>
                                  <w:tag w:val=""/>
                                  <w:id w:val="1375273687"/>
                                  <w:dataBinding w:prefixMappings="xmlns:ns0='http://schemas.microsoft.com/office/2006/coverPageProps' " w:xpath="/ns0:CoverPageProperties[1]/ns0:Abstract[1]" w:storeItemID="{55AF091B-3C7A-41E3-B477-F2FDAA23CFDA}"/>
                                  <w:text w:multiLine="1"/>
                                </w:sdtPr>
                                <w:sdtContent>
                                  <w:p w:rsidR="00006643" w:rsidRPr="005B1130" w:rsidRDefault="00194102">
                                    <w:pPr>
                                      <w:pStyle w:val="NoSpacing"/>
                                      <w:jc w:val="right"/>
                                      <w:rPr>
                                        <w:color w:val="595959" w:themeColor="text1" w:themeTint="A6"/>
                                        <w:sz w:val="20"/>
                                        <w:szCs w:val="20"/>
                                        <w:lang w:val="es-CU"/>
                                      </w:rPr>
                                    </w:pPr>
                                    <w:r w:rsidRPr="00194102">
                                      <w:rPr>
                                        <w:color w:val="595959" w:themeColor="text1" w:themeTint="A6"/>
                                        <w:sz w:val="20"/>
                                        <w:szCs w:val="20"/>
                                        <w:lang w:val="es-CU"/>
                                      </w:rPr>
                                      <w:t xml:space="preserve">En el presente se relacionan preguntas asociadas al ciclo </w:t>
                                    </w:r>
                                    <w:r>
                                      <w:rPr>
                                        <w:color w:val="595959" w:themeColor="text1" w:themeTint="A6"/>
                                        <w:sz w:val="20"/>
                                        <w:szCs w:val="20"/>
                                        <w:lang w:val="es-CU"/>
                                      </w:rPr>
                                      <w:t>“</w:t>
                                    </w:r>
                                    <w:r w:rsidRPr="00194102">
                                      <w:rPr>
                                        <w:color w:val="595959" w:themeColor="text1" w:themeTint="A6"/>
                                        <w:sz w:val="20"/>
                                        <w:szCs w:val="20"/>
                                        <w:lang w:val="es-CU"/>
                                      </w:rPr>
                                      <w:t>Pensar Cuba hoy</w:t>
                                    </w:r>
                                    <w:r>
                                      <w:rPr>
                                        <w:color w:val="595959" w:themeColor="text1" w:themeTint="A6"/>
                                        <w:sz w:val="20"/>
                                        <w:szCs w:val="20"/>
                                        <w:lang w:val="es-CU"/>
                                      </w:rPr>
                                      <w:t>”</w:t>
                                    </w:r>
                                    <w:r w:rsidRPr="00194102">
                                      <w:rPr>
                                        <w:color w:val="595959" w:themeColor="text1" w:themeTint="A6"/>
                                        <w:sz w:val="20"/>
                                        <w:szCs w:val="20"/>
                                        <w:lang w:val="es-CU"/>
                                      </w:rPr>
                                      <w:t xml:space="preserve">, agrupadas por tema abordado: </w:t>
                                    </w:r>
                                    <w:r>
                                      <w:rPr>
                                        <w:color w:val="595959" w:themeColor="text1" w:themeTint="A6"/>
                                        <w:sz w:val="20"/>
                                        <w:szCs w:val="20"/>
                                        <w:lang w:val="es-CU"/>
                                      </w:rPr>
                                      <w:t>El paquete</w:t>
                                    </w:r>
                                    <w:r w:rsidRPr="00194102">
                                      <w:rPr>
                                        <w:color w:val="595959" w:themeColor="text1" w:themeTint="A6"/>
                                        <w:sz w:val="20"/>
                                        <w:szCs w:val="20"/>
                                        <w:lang w:val="es-CU"/>
                                      </w:rPr>
                                      <w:t xml:space="preserve">, y </w:t>
                                    </w:r>
                                    <w:r>
                                      <w:rPr>
                                        <w:color w:val="595959" w:themeColor="text1" w:themeTint="A6"/>
                                        <w:sz w:val="20"/>
                                        <w:szCs w:val="20"/>
                                        <w:lang w:val="es-CU"/>
                                      </w:rPr>
                                      <w:t>Cuba en transición</w:t>
                                    </w:r>
                                    <w:r w:rsidRPr="00194102">
                                      <w:rPr>
                                        <w:color w:val="595959" w:themeColor="text1" w:themeTint="A6"/>
                                        <w:sz w:val="20"/>
                                        <w:szCs w:val="20"/>
                                        <w:lang w:val="es-CU"/>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06643" w:rsidRPr="006B6152" w:rsidRDefault="00006643">
                          <w:pPr>
                            <w:pStyle w:val="NoSpacing"/>
                            <w:jc w:val="right"/>
                            <w:rPr>
                              <w:color w:val="5B9BD5" w:themeColor="accent1"/>
                              <w:sz w:val="28"/>
                              <w:szCs w:val="28"/>
                              <w:lang w:val="es-CU"/>
                            </w:rPr>
                          </w:pPr>
                          <w:r w:rsidRPr="006B6152">
                            <w:rPr>
                              <w:color w:val="5B9BD5" w:themeColor="accent1"/>
                              <w:sz w:val="28"/>
                              <w:szCs w:val="28"/>
                              <w:lang w:val="es-CU"/>
                            </w:rPr>
                            <w:t>Abstract</w:t>
                          </w:r>
                        </w:p>
                        <w:sdt>
                          <w:sdtPr>
                            <w:rPr>
                              <w:color w:val="595959" w:themeColor="text1" w:themeTint="A6"/>
                              <w:sz w:val="20"/>
                              <w:szCs w:val="20"/>
                              <w:lang w:val="es-CU"/>
                            </w:rPr>
                            <w:alias w:val="Abstract"/>
                            <w:tag w:val=""/>
                            <w:id w:val="1375273687"/>
                            <w:dataBinding w:prefixMappings="xmlns:ns0='http://schemas.microsoft.com/office/2006/coverPageProps' " w:xpath="/ns0:CoverPageProperties[1]/ns0:Abstract[1]" w:storeItemID="{55AF091B-3C7A-41E3-B477-F2FDAA23CFDA}"/>
                            <w:text w:multiLine="1"/>
                          </w:sdtPr>
                          <w:sdtContent>
                            <w:p w:rsidR="00006643" w:rsidRPr="005B1130" w:rsidRDefault="00194102">
                              <w:pPr>
                                <w:pStyle w:val="NoSpacing"/>
                                <w:jc w:val="right"/>
                                <w:rPr>
                                  <w:color w:val="595959" w:themeColor="text1" w:themeTint="A6"/>
                                  <w:sz w:val="20"/>
                                  <w:szCs w:val="20"/>
                                  <w:lang w:val="es-CU"/>
                                </w:rPr>
                              </w:pPr>
                              <w:r w:rsidRPr="00194102">
                                <w:rPr>
                                  <w:color w:val="595959" w:themeColor="text1" w:themeTint="A6"/>
                                  <w:sz w:val="20"/>
                                  <w:szCs w:val="20"/>
                                  <w:lang w:val="es-CU"/>
                                </w:rPr>
                                <w:t xml:space="preserve">En el presente se relacionan preguntas asociadas al ciclo </w:t>
                              </w:r>
                              <w:r>
                                <w:rPr>
                                  <w:color w:val="595959" w:themeColor="text1" w:themeTint="A6"/>
                                  <w:sz w:val="20"/>
                                  <w:szCs w:val="20"/>
                                  <w:lang w:val="es-CU"/>
                                </w:rPr>
                                <w:t>“</w:t>
                              </w:r>
                              <w:r w:rsidRPr="00194102">
                                <w:rPr>
                                  <w:color w:val="595959" w:themeColor="text1" w:themeTint="A6"/>
                                  <w:sz w:val="20"/>
                                  <w:szCs w:val="20"/>
                                  <w:lang w:val="es-CU"/>
                                </w:rPr>
                                <w:t>Pensar Cuba hoy</w:t>
                              </w:r>
                              <w:r>
                                <w:rPr>
                                  <w:color w:val="595959" w:themeColor="text1" w:themeTint="A6"/>
                                  <w:sz w:val="20"/>
                                  <w:szCs w:val="20"/>
                                  <w:lang w:val="es-CU"/>
                                </w:rPr>
                                <w:t>”</w:t>
                              </w:r>
                              <w:r w:rsidRPr="00194102">
                                <w:rPr>
                                  <w:color w:val="595959" w:themeColor="text1" w:themeTint="A6"/>
                                  <w:sz w:val="20"/>
                                  <w:szCs w:val="20"/>
                                  <w:lang w:val="es-CU"/>
                                </w:rPr>
                                <w:t xml:space="preserve">, agrupadas por tema abordado: </w:t>
                              </w:r>
                              <w:r>
                                <w:rPr>
                                  <w:color w:val="595959" w:themeColor="text1" w:themeTint="A6"/>
                                  <w:sz w:val="20"/>
                                  <w:szCs w:val="20"/>
                                  <w:lang w:val="es-CU"/>
                                </w:rPr>
                                <w:t>El paquete</w:t>
                              </w:r>
                              <w:r w:rsidRPr="00194102">
                                <w:rPr>
                                  <w:color w:val="595959" w:themeColor="text1" w:themeTint="A6"/>
                                  <w:sz w:val="20"/>
                                  <w:szCs w:val="20"/>
                                  <w:lang w:val="es-CU"/>
                                </w:rPr>
                                <w:t xml:space="preserve">, y </w:t>
                              </w:r>
                              <w:r>
                                <w:rPr>
                                  <w:color w:val="595959" w:themeColor="text1" w:themeTint="A6"/>
                                  <w:sz w:val="20"/>
                                  <w:szCs w:val="20"/>
                                  <w:lang w:val="es-CU"/>
                                </w:rPr>
                                <w:t>Cuba en transición</w:t>
                              </w:r>
                              <w:r w:rsidRPr="00194102">
                                <w:rPr>
                                  <w:color w:val="595959" w:themeColor="text1" w:themeTint="A6"/>
                                  <w:sz w:val="20"/>
                                  <w:szCs w:val="20"/>
                                  <w:lang w:val="es-CU"/>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643" w:rsidRPr="005B1130" w:rsidRDefault="003E223D">
                                <w:pPr>
                                  <w:jc w:val="right"/>
                                  <w:rPr>
                                    <w:color w:val="5B9BD5" w:themeColor="accent1"/>
                                    <w:sz w:val="52"/>
                                    <w:szCs w:val="64"/>
                                    <w:lang w:val="es-CU"/>
                                  </w:rPr>
                                </w:pPr>
                                <w:sdt>
                                  <w:sdtPr>
                                    <w:rPr>
                                      <w:caps/>
                                      <w:color w:val="5B9BD5" w:themeColor="accent1"/>
                                      <w:sz w:val="52"/>
                                      <w:szCs w:val="64"/>
                                      <w:lang w:val="es-CU"/>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6643" w:rsidRPr="005B1130">
                                      <w:rPr>
                                        <w:caps/>
                                        <w:color w:val="5B9BD5" w:themeColor="accent1"/>
                                        <w:sz w:val="52"/>
                                        <w:szCs w:val="64"/>
                                        <w:lang w:val="es-CU"/>
                                      </w:rPr>
                                      <w:t xml:space="preserve">Preguntas </w:t>
                                    </w:r>
                                    <w:r w:rsidR="00006643">
                                      <w:rPr>
                                        <w:caps/>
                                        <w:color w:val="5B9BD5" w:themeColor="accent1"/>
                                        <w:sz w:val="52"/>
                                        <w:szCs w:val="64"/>
                                        <w:lang w:val="es-CU"/>
                                      </w:rPr>
                                      <w:t xml:space="preserve">relacionadas con el </w:t>
                                    </w:r>
                                    <w:r w:rsidR="00194102">
                                      <w:rPr>
                                        <w:color w:val="5B9BD5" w:themeColor="accent1"/>
                                        <w:sz w:val="52"/>
                                        <w:szCs w:val="64"/>
                                        <w:lang w:val="es-CU"/>
                                      </w:rPr>
                                      <w:t>3er</w:t>
                                    </w:r>
                                    <w:r w:rsidR="00006643">
                                      <w:rPr>
                                        <w:color w:val="5B9BD5" w:themeColor="accent1"/>
                                        <w:sz w:val="52"/>
                                        <w:szCs w:val="64"/>
                                        <w:lang w:val="es-CU"/>
                                      </w:rPr>
                                      <w:t xml:space="preserve"> Ciclo</w:t>
                                    </w:r>
                                  </w:sdtContent>
                                </w:sdt>
                              </w:p>
                              <w:sdt>
                                <w:sdtPr>
                                  <w:rPr>
                                    <w:color w:val="404040" w:themeColor="text1" w:themeTint="BF"/>
                                    <w:sz w:val="36"/>
                                    <w:szCs w:val="36"/>
                                    <w:lang w:val="es-CU"/>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06643" w:rsidRPr="005B1130" w:rsidRDefault="00006643">
                                    <w:pPr>
                                      <w:jc w:val="right"/>
                                      <w:rPr>
                                        <w:smallCaps/>
                                        <w:color w:val="404040" w:themeColor="text1" w:themeTint="BF"/>
                                        <w:sz w:val="36"/>
                                        <w:szCs w:val="36"/>
                                        <w:lang w:val="es-CU"/>
                                      </w:rPr>
                                    </w:pPr>
                                    <w:r w:rsidRPr="005B1130">
                                      <w:rPr>
                                        <w:color w:val="404040" w:themeColor="text1" w:themeTint="BF"/>
                                        <w:sz w:val="36"/>
                                        <w:szCs w:val="36"/>
                                        <w:lang w:val="es-CU"/>
                                      </w:rPr>
                                      <w:t>Estudios T</w:t>
                                    </w:r>
                                    <w:r>
                                      <w:rPr>
                                        <w:color w:val="404040" w:themeColor="text1" w:themeTint="BF"/>
                                        <w:sz w:val="36"/>
                                        <w:szCs w:val="36"/>
                                        <w:lang w:val="es-CU"/>
                                      </w:rPr>
                                      <w:t>ransatlánticos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06643" w:rsidRPr="005B1130" w:rsidRDefault="003E223D">
                          <w:pPr>
                            <w:jc w:val="right"/>
                            <w:rPr>
                              <w:color w:val="5B9BD5" w:themeColor="accent1"/>
                              <w:sz w:val="52"/>
                              <w:szCs w:val="64"/>
                              <w:lang w:val="es-CU"/>
                            </w:rPr>
                          </w:pPr>
                          <w:sdt>
                            <w:sdtPr>
                              <w:rPr>
                                <w:caps/>
                                <w:color w:val="5B9BD5" w:themeColor="accent1"/>
                                <w:sz w:val="52"/>
                                <w:szCs w:val="64"/>
                                <w:lang w:val="es-CU"/>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6643" w:rsidRPr="005B1130">
                                <w:rPr>
                                  <w:caps/>
                                  <w:color w:val="5B9BD5" w:themeColor="accent1"/>
                                  <w:sz w:val="52"/>
                                  <w:szCs w:val="64"/>
                                  <w:lang w:val="es-CU"/>
                                </w:rPr>
                                <w:t xml:space="preserve">Preguntas </w:t>
                              </w:r>
                              <w:r w:rsidR="00006643">
                                <w:rPr>
                                  <w:caps/>
                                  <w:color w:val="5B9BD5" w:themeColor="accent1"/>
                                  <w:sz w:val="52"/>
                                  <w:szCs w:val="64"/>
                                  <w:lang w:val="es-CU"/>
                                </w:rPr>
                                <w:t xml:space="preserve">relacionadas con el </w:t>
                              </w:r>
                              <w:r w:rsidR="00194102">
                                <w:rPr>
                                  <w:color w:val="5B9BD5" w:themeColor="accent1"/>
                                  <w:sz w:val="52"/>
                                  <w:szCs w:val="64"/>
                                  <w:lang w:val="es-CU"/>
                                </w:rPr>
                                <w:t>3er</w:t>
                              </w:r>
                              <w:r w:rsidR="00006643">
                                <w:rPr>
                                  <w:color w:val="5B9BD5" w:themeColor="accent1"/>
                                  <w:sz w:val="52"/>
                                  <w:szCs w:val="64"/>
                                  <w:lang w:val="es-CU"/>
                                </w:rPr>
                                <w:t xml:space="preserve"> Ciclo</w:t>
                              </w:r>
                            </w:sdtContent>
                          </w:sdt>
                        </w:p>
                        <w:sdt>
                          <w:sdtPr>
                            <w:rPr>
                              <w:color w:val="404040" w:themeColor="text1" w:themeTint="BF"/>
                              <w:sz w:val="36"/>
                              <w:szCs w:val="36"/>
                              <w:lang w:val="es-CU"/>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06643" w:rsidRPr="005B1130" w:rsidRDefault="00006643">
                              <w:pPr>
                                <w:jc w:val="right"/>
                                <w:rPr>
                                  <w:smallCaps/>
                                  <w:color w:val="404040" w:themeColor="text1" w:themeTint="BF"/>
                                  <w:sz w:val="36"/>
                                  <w:szCs w:val="36"/>
                                  <w:lang w:val="es-CU"/>
                                </w:rPr>
                              </w:pPr>
                              <w:r w:rsidRPr="005B1130">
                                <w:rPr>
                                  <w:color w:val="404040" w:themeColor="text1" w:themeTint="BF"/>
                                  <w:sz w:val="36"/>
                                  <w:szCs w:val="36"/>
                                  <w:lang w:val="es-CU"/>
                                </w:rPr>
                                <w:t>Estudios T</w:t>
                              </w:r>
                              <w:r>
                                <w:rPr>
                                  <w:color w:val="404040" w:themeColor="text1" w:themeTint="BF"/>
                                  <w:sz w:val="36"/>
                                  <w:szCs w:val="36"/>
                                  <w:lang w:val="es-CU"/>
                                </w:rPr>
                                <w:t>ransatlánticos</w:t>
                              </w:r>
                            </w:p>
                          </w:sdtContent>
                        </w:sdt>
                      </w:txbxContent>
                    </v:textbox>
                    <w10:wrap type="square" anchorx="page" anchory="page"/>
                  </v:shape>
                </w:pict>
              </mc:Fallback>
            </mc:AlternateContent>
          </w:r>
        </w:p>
        <w:p w:rsidR="005B1130" w:rsidRDefault="005B1130">
          <w:r>
            <w:br w:type="page"/>
          </w:r>
        </w:p>
      </w:sdtContent>
    </w:sdt>
    <w:p w:rsidR="00500E3B" w:rsidRDefault="005B1130">
      <w:pPr>
        <w:rPr>
          <w:lang w:val="es-CU"/>
        </w:rPr>
      </w:pPr>
      <w:r w:rsidRPr="005B1130">
        <w:rPr>
          <w:b/>
          <w:lang w:val="es-CU"/>
        </w:rPr>
        <w:lastRenderedPageBreak/>
        <w:t>Conferencia #</w:t>
      </w:r>
      <w:r w:rsidR="0003199A">
        <w:rPr>
          <w:b/>
          <w:lang w:val="es-CU"/>
        </w:rPr>
        <w:t>7</w:t>
      </w:r>
      <w:r w:rsidRPr="005B1130">
        <w:rPr>
          <w:b/>
          <w:lang w:val="es-CU"/>
        </w:rPr>
        <w:t xml:space="preserve">: </w:t>
      </w:r>
      <w:r w:rsidR="0003199A">
        <w:rPr>
          <w:lang w:val="es-CU"/>
        </w:rPr>
        <w:t>El paquete</w:t>
      </w:r>
    </w:p>
    <w:p w:rsidR="00C00361" w:rsidRDefault="001C27D2" w:rsidP="001C27D2">
      <w:pPr>
        <w:pStyle w:val="ListParagraph"/>
        <w:numPr>
          <w:ilvl w:val="0"/>
          <w:numId w:val="5"/>
        </w:numPr>
        <w:jc w:val="both"/>
        <w:rPr>
          <w:lang w:val="es-CU"/>
        </w:rPr>
      </w:pPr>
      <w:r w:rsidRPr="001C27D2">
        <w:rPr>
          <w:lang w:val="es-CU"/>
        </w:rPr>
        <w:t xml:space="preserve">Trigo secunda a Resina en (Trigo, 2012), cuando acepta la idea siguiente: </w:t>
      </w:r>
      <w:r w:rsidRPr="001C27D2">
        <w:rPr>
          <w:b/>
          <w:i/>
          <w:lang w:val="es-CU"/>
        </w:rPr>
        <w:t>…</w:t>
      </w:r>
      <w:r w:rsidRPr="001C27D2">
        <w:rPr>
          <w:b/>
          <w:i/>
          <w:lang w:val="es-CU"/>
        </w:rPr>
        <w:t>“dado que el Hispanismo se basa en la complaciente complicidad de la presión que la lengua colonial continúa ejerciendo sobre las culturas nativas de América y de la península Ibérica, no encuentro ninguna razón epistémica o ética seria para retener el Hispanismo como estructura disciplinaria común para la trasmisión de conocimiento sobre América Latina y la península Ibérica”</w:t>
      </w:r>
      <w:r w:rsidRPr="001C27D2">
        <w:rPr>
          <w:b/>
          <w:i/>
          <w:lang w:val="es-CU"/>
        </w:rPr>
        <w:t xml:space="preserve">… </w:t>
      </w:r>
      <w:r w:rsidRPr="001C27D2">
        <w:rPr>
          <w:lang w:val="es-CU"/>
        </w:rPr>
        <w:t>Sin embargo; el paquete, es un fenómeno cultural de consumo de contenidos (cine, televisión, libros, revistas, noticias, manuales, clasificados, y software entre otros) que incide activamente en la asimilación de disímiles culturas</w:t>
      </w:r>
      <w:r w:rsidR="00F47C8A">
        <w:rPr>
          <w:lang w:val="es-CU"/>
        </w:rPr>
        <w:t>, no solo la hispana</w:t>
      </w:r>
      <w:r w:rsidRPr="001C27D2">
        <w:rPr>
          <w:lang w:val="es-CU"/>
        </w:rPr>
        <w:t>. ¿Puede considerarse, para el caso cubano, el paquete como ente catalizador para la disolución de fronteras culturales y sociales, no digamos ya ideológicas?</w:t>
      </w:r>
    </w:p>
    <w:p w:rsidR="00F47C8A" w:rsidRDefault="00F47C8A" w:rsidP="001C27D2">
      <w:pPr>
        <w:pStyle w:val="ListParagraph"/>
        <w:numPr>
          <w:ilvl w:val="0"/>
          <w:numId w:val="5"/>
        </w:numPr>
        <w:jc w:val="both"/>
        <w:rPr>
          <w:lang w:val="es-CU"/>
        </w:rPr>
      </w:pPr>
      <w:r>
        <w:rPr>
          <w:lang w:val="es-CU"/>
        </w:rPr>
        <w:t>De acuerdo con la hipótesis general expuesta en (Pertierra, 2012) el paquete no es un producto, sino que en si mismo enmarca un fenómeno de consumo, donde la oferta se alinea con las demandas individuales de quien compra el contenido. ¿Estamos ante un caso de libertad/rebeldía del consumidor, al ser este quien decide los materiales que consume?</w:t>
      </w:r>
      <w:r w:rsidR="00357294">
        <w:rPr>
          <w:lang w:val="es-CU"/>
        </w:rPr>
        <w:t>; en comparación con mecanismos -digamos Netflix- que incluso operan basados en algoritmos de patrones de búsquedas, y análisis de patrones del gusto, para sugerir nuevos contenidos a los consumidores.</w:t>
      </w:r>
    </w:p>
    <w:p w:rsidR="00357294" w:rsidRPr="001C27D2" w:rsidRDefault="00357294" w:rsidP="001C27D2">
      <w:pPr>
        <w:pStyle w:val="ListParagraph"/>
        <w:numPr>
          <w:ilvl w:val="0"/>
          <w:numId w:val="5"/>
        </w:numPr>
        <w:jc w:val="both"/>
        <w:rPr>
          <w:lang w:val="es-CU"/>
        </w:rPr>
      </w:pPr>
      <w:r>
        <w:rPr>
          <w:lang w:val="es-CU"/>
        </w:rPr>
        <w:t>Al analizar el desarrollo histórico del paquete, a este le antecedió uno similar “El cable”, y a este a su vez otro denominado “Banco de películas” todos ellos coexistiendo -desde la ilegalidad- con una televisión oficialista, que ofrecía sólo dos canales de televisión. ¿Hasta qué punto seria acertado decir que este fenómeno de consumo de contenidos a demanda, obligó a una cultura de cambio y la consecuente apertura de nuevos canales televisivos y mayor espectro de programas, al hacerse palpable los bajos índices de audiencias que sufrieron los dos canales ya mencionados?</w:t>
      </w:r>
      <w:r w:rsidR="008D276A">
        <w:rPr>
          <w:lang w:val="es-CU"/>
        </w:rPr>
        <w:t xml:space="preserve"> Por otro lado, y según otra de las hipótesis que exhibe </w:t>
      </w:r>
      <w:r w:rsidR="001E2234">
        <w:rPr>
          <w:lang w:val="es-CU"/>
        </w:rPr>
        <w:t>Pertierra en (Pertierra, 2012): ¿estamos en presencia de una naciente diferenciación de clases debido a este fenómeno de consumo cultural?</w:t>
      </w:r>
    </w:p>
    <w:p w:rsidR="001E2234" w:rsidRDefault="001E2234">
      <w:pPr>
        <w:rPr>
          <w:b/>
          <w:lang w:val="es-CU"/>
        </w:rPr>
      </w:pPr>
    </w:p>
    <w:p w:rsidR="005B1130" w:rsidRDefault="005B1130">
      <w:pPr>
        <w:rPr>
          <w:lang w:val="es-CU"/>
        </w:rPr>
      </w:pPr>
      <w:r w:rsidRPr="002723DD">
        <w:rPr>
          <w:b/>
          <w:lang w:val="es-CU"/>
        </w:rPr>
        <w:t>Conferencista #</w:t>
      </w:r>
      <w:r w:rsidR="0003199A">
        <w:rPr>
          <w:b/>
          <w:lang w:val="es-CU"/>
        </w:rPr>
        <w:t>8</w:t>
      </w:r>
      <w:r w:rsidRPr="002723DD">
        <w:rPr>
          <w:b/>
          <w:lang w:val="es-CU"/>
        </w:rPr>
        <w:t xml:space="preserve">: </w:t>
      </w:r>
      <w:r w:rsidR="0003199A">
        <w:rPr>
          <w:lang w:val="es-CU"/>
        </w:rPr>
        <w:t>Cuba en transición</w:t>
      </w:r>
    </w:p>
    <w:p w:rsidR="001E2234" w:rsidRDefault="0028342A" w:rsidP="00BC6BD9">
      <w:pPr>
        <w:pStyle w:val="ListParagraph"/>
        <w:numPr>
          <w:ilvl w:val="0"/>
          <w:numId w:val="5"/>
        </w:numPr>
        <w:jc w:val="both"/>
        <w:rPr>
          <w:lang w:val="es-CU"/>
        </w:rPr>
      </w:pPr>
      <w:r>
        <w:rPr>
          <w:lang w:val="es-CU"/>
        </w:rPr>
        <w:t xml:space="preserve">Trigo cita </w:t>
      </w:r>
      <w:r w:rsidR="00BC6BD9">
        <w:rPr>
          <w:lang w:val="es-CU"/>
        </w:rPr>
        <w:t xml:space="preserve">a </w:t>
      </w:r>
      <w:r w:rsidRPr="0028342A">
        <w:rPr>
          <w:lang w:val="es-CU"/>
        </w:rPr>
        <w:t>Eyda Merediz y Nina Gerassi-Navarro</w:t>
      </w:r>
      <w:r w:rsidR="00BC6BD9">
        <w:rPr>
          <w:lang w:val="es-CU"/>
        </w:rPr>
        <w:t xml:space="preserve"> en </w:t>
      </w:r>
      <w:r w:rsidR="00BC6BD9" w:rsidRPr="001C27D2">
        <w:rPr>
          <w:lang w:val="es-CU"/>
        </w:rPr>
        <w:t>(Trigo, 2012)</w:t>
      </w:r>
      <w:r w:rsidRPr="0028342A">
        <w:rPr>
          <w:lang w:val="es-CU"/>
        </w:rPr>
        <w:t xml:space="preserve">, </w:t>
      </w:r>
      <w:r w:rsidR="00BC6BD9">
        <w:rPr>
          <w:lang w:val="es-CU"/>
        </w:rPr>
        <w:t xml:space="preserve">justo después de referirse a la chispa de rebeldía que existe en toda acción de adaptación y supervivencia; ambas investigadoras </w:t>
      </w:r>
      <w:r w:rsidRPr="0028342A">
        <w:rPr>
          <w:lang w:val="es-CU"/>
        </w:rPr>
        <w:t>ponen el énfasis en el entramado histórico de desplazamientos geográfcos, poderes políticos y estructuras económicas</w:t>
      </w:r>
      <w:r w:rsidR="00BC6BD9">
        <w:rPr>
          <w:lang w:val="es-CU"/>
        </w:rPr>
        <w:t xml:space="preserve">; y la cita dice: </w:t>
      </w:r>
      <w:r w:rsidRPr="00BC6BD9">
        <w:rPr>
          <w:b/>
          <w:i/>
          <w:lang w:val="es-CU"/>
        </w:rPr>
        <w:t>“Los estudios transatlánticos parten entonces de un Atlántico que es, ante todo, un espacio geopolítico que genera sus propias estructuras de poder, por lo que la conexión entre el imperialismo y la modernidad, como apunta Joseba Gabilondo, es su preocupación predominante”</w:t>
      </w:r>
      <w:r w:rsidR="00BC6BD9">
        <w:rPr>
          <w:b/>
          <w:i/>
          <w:lang w:val="es-CU"/>
        </w:rPr>
        <w:t xml:space="preserve">. </w:t>
      </w:r>
      <w:r w:rsidR="00BC6BD9">
        <w:rPr>
          <w:lang w:val="es-CU"/>
        </w:rPr>
        <w:t xml:space="preserve">¿Cobra Cuba un papel particularmente especial al enclavarse en el atlántico (me refiero a que aunque está bien cerca no está unida al continente americano) cuando, a través del prisma de los estudios transatlánticos se investigan las relaciones capitalistas – comunistas/ occidente - oriente? ¿Sería atribuible su situación sociopolítica a su localización en el golfo (estratégica desde el punto de vista militar y económica) o </w:t>
      </w:r>
      <w:r w:rsidR="00C47D2E">
        <w:rPr>
          <w:lang w:val="es-CU"/>
        </w:rPr>
        <w:t>a una elección particular de bandos en un espacio bi-polar</w:t>
      </w:r>
      <w:r w:rsidR="00BC6BD9">
        <w:rPr>
          <w:lang w:val="es-CU"/>
        </w:rPr>
        <w:t>?</w:t>
      </w:r>
    </w:p>
    <w:p w:rsidR="00C47D2E" w:rsidRDefault="00C47D2E" w:rsidP="00C47D2E">
      <w:pPr>
        <w:pStyle w:val="ListParagraph"/>
        <w:numPr>
          <w:ilvl w:val="0"/>
          <w:numId w:val="5"/>
        </w:numPr>
        <w:spacing w:before="240"/>
        <w:jc w:val="both"/>
        <w:rPr>
          <w:lang w:val="es-CU"/>
        </w:rPr>
      </w:pPr>
      <w:r>
        <w:rPr>
          <w:lang w:val="es-CU"/>
        </w:rPr>
        <w:lastRenderedPageBreak/>
        <w:t xml:space="preserve">Los textos estudiados para el tema Cuba en transición </w:t>
      </w:r>
      <w:r w:rsidRPr="001C27D2">
        <w:rPr>
          <w:lang w:val="es-CU"/>
        </w:rPr>
        <w:t>(Trigo, 2012)</w:t>
      </w:r>
      <w:r>
        <w:rPr>
          <w:lang w:val="es-CU"/>
        </w:rPr>
        <w:t>(Hernández-Reguant, 2004) delegan a la víctima el poder para encontrar formas creativas para su supervivencia. Trigo, enfatizando en una postura anticolonial, y Hernáandez-Reguant desde una posición de constante asedio externo y local. Siguiendo este razonamiento, es comprensible los resultados negativos que han tenido para Cuba una política de mono-relación con el amigo de turno; primero con la Unión Soviética y a través del CAME (Consejo de Ayuda Mutua Económica), y m</w:t>
      </w:r>
      <w:r w:rsidR="008641DD">
        <w:rPr>
          <w:lang w:val="es-CU"/>
        </w:rPr>
        <w:t>á</w:t>
      </w:r>
      <w:r>
        <w:rPr>
          <w:lang w:val="es-CU"/>
        </w:rPr>
        <w:t xml:space="preserve">s tarde con </w:t>
      </w:r>
      <w:r w:rsidR="008641DD">
        <w:rPr>
          <w:lang w:val="es-CU"/>
        </w:rPr>
        <w:t>Venezuela a través del ALBA (Alternativa Bolivariana para las Américas)… ¿Cómo es posible que sea incapaz de diversificar sus relaciones comerciales de manera verdaderamente significativa?</w:t>
      </w:r>
    </w:p>
    <w:p w:rsidR="008641DD" w:rsidRPr="0028342A" w:rsidRDefault="008641DD" w:rsidP="00C47D2E">
      <w:pPr>
        <w:pStyle w:val="ListParagraph"/>
        <w:numPr>
          <w:ilvl w:val="0"/>
          <w:numId w:val="5"/>
        </w:numPr>
        <w:spacing w:before="240"/>
        <w:jc w:val="both"/>
        <w:rPr>
          <w:lang w:val="es-CU"/>
        </w:rPr>
      </w:pPr>
      <w:r>
        <w:rPr>
          <w:lang w:val="es-CU"/>
        </w:rPr>
        <w:t xml:space="preserve">Se expone en </w:t>
      </w:r>
      <w:r>
        <w:rPr>
          <w:lang w:val="es-CU"/>
        </w:rPr>
        <w:t>(Hernández-Reguant, 2004)</w:t>
      </w:r>
      <w:r>
        <w:rPr>
          <w:lang w:val="es-CU"/>
        </w:rPr>
        <w:t xml:space="preserve"> un ciclo que comienza con una revolución “de los pobres” para los pobres, donde el estado revolucionario otorgaba (mediante la ley de reforma agraria del 1959) las tierras que antes pertenecían a terratenientes, a los campesinos que verdaderamente la trabajaban</w:t>
      </w:r>
      <w:r w:rsidR="00C957EF">
        <w:rPr>
          <w:lang w:val="es-CU"/>
        </w:rPr>
        <w:t xml:space="preserve">; y que luego termina en un estado (el mismo estado revolucionario) dueño del 80% de la tierra y que el campesino o agricultor tiene solo el derecho sobre la “superficie” y explotación de la tierra en tanto no convenga lo contrario. ¿Existirá el miedo a que una independencia y autosuficiencia agropecuaria y productiva conlleven a otro tipo de movimiento independentista? ¿Podría definirse tal miedo como la causa a las limitaciones existentes y expuestas en </w:t>
      </w:r>
      <w:r w:rsidR="00C957EF">
        <w:rPr>
          <w:lang w:val="es-CU"/>
        </w:rPr>
        <w:t xml:space="preserve">(Hernández-Reguant, 2004) </w:t>
      </w:r>
      <w:r w:rsidR="00C957EF">
        <w:rPr>
          <w:lang w:val="es-CU"/>
        </w:rPr>
        <w:t>cuyo único resultado es el freno del desarrollo del campesino/pequeño agricultor, siendo insuficientes y muy lentas las aperturas que el estudio exhibe como “flexibilización estatal”(factor de cambio) en camino de transición?</w:t>
      </w:r>
      <w:bookmarkStart w:id="0" w:name="_GoBack"/>
      <w:bookmarkEnd w:id="0"/>
    </w:p>
    <w:sdt>
      <w:sdtPr>
        <w:rPr>
          <w:rFonts w:asciiTheme="minorHAnsi" w:eastAsiaTheme="minorHAnsi" w:hAnsiTheme="minorHAnsi" w:cstheme="minorBidi"/>
          <w:color w:val="auto"/>
          <w:sz w:val="22"/>
          <w:szCs w:val="22"/>
        </w:rPr>
        <w:id w:val="542792889"/>
        <w:docPartObj>
          <w:docPartGallery w:val="Bibliographies"/>
          <w:docPartUnique/>
        </w:docPartObj>
      </w:sdtPr>
      <w:sdtEndPr/>
      <w:sdtContent>
        <w:p w:rsidR="006B6152" w:rsidRPr="009D61C7" w:rsidRDefault="006B6152">
          <w:pPr>
            <w:pStyle w:val="Heading1"/>
            <w:rPr>
              <w:lang w:val="es-CU"/>
            </w:rPr>
          </w:pPr>
          <w:r w:rsidRPr="009D61C7">
            <w:rPr>
              <w:lang w:val="es-CU"/>
            </w:rPr>
            <w:t>Biblgraphy</w:t>
          </w:r>
        </w:p>
        <w:sdt>
          <w:sdtPr>
            <w:id w:val="111145805"/>
            <w:bibliography/>
          </w:sdtPr>
          <w:sdtEndPr/>
          <w:sdtContent>
            <w:p w:rsidR="0028342A" w:rsidRPr="0028342A" w:rsidRDefault="006B6152" w:rsidP="0028342A">
              <w:pPr>
                <w:pStyle w:val="Bibliography"/>
                <w:ind w:left="720" w:hanging="720"/>
                <w:rPr>
                  <w:noProof/>
                  <w:sz w:val="24"/>
                  <w:szCs w:val="24"/>
                  <w:lang w:val="en-CA"/>
                </w:rPr>
              </w:pPr>
              <w:r>
                <w:fldChar w:fldCharType="begin"/>
              </w:r>
              <w:r w:rsidRPr="001C27D2">
                <w:rPr>
                  <w:lang w:val="en-CA"/>
                </w:rPr>
                <w:instrText xml:space="preserve"> BIBLIOGRAPHY </w:instrText>
              </w:r>
              <w:r>
                <w:fldChar w:fldCharType="separate"/>
              </w:r>
              <w:r w:rsidR="0028342A" w:rsidRPr="0028342A">
                <w:rPr>
                  <w:noProof/>
                  <w:lang w:val="en-CA"/>
                </w:rPr>
                <w:t xml:space="preserve">Hernández-Reguant, A. (2004). Copyrighting Che: Art and Authorship under Cuban Late Socialism. </w:t>
              </w:r>
              <w:r w:rsidR="0028342A" w:rsidRPr="0028342A">
                <w:rPr>
                  <w:i/>
                  <w:iCs/>
                  <w:noProof/>
                  <w:lang w:val="en-CA"/>
                </w:rPr>
                <w:t>Public Culture, 10</w:t>
              </w:r>
              <w:r w:rsidR="0028342A" w:rsidRPr="0028342A">
                <w:rPr>
                  <w:noProof/>
                  <w:lang w:val="en-CA"/>
                </w:rPr>
                <w:t>(1), 1-29.</w:t>
              </w:r>
            </w:p>
            <w:p w:rsidR="0028342A" w:rsidRPr="0028342A" w:rsidRDefault="0028342A" w:rsidP="0028342A">
              <w:pPr>
                <w:pStyle w:val="Bibliography"/>
                <w:ind w:left="720" w:hanging="720"/>
                <w:rPr>
                  <w:noProof/>
                  <w:lang w:val="en-CA"/>
                </w:rPr>
              </w:pPr>
              <w:r w:rsidRPr="0028342A">
                <w:rPr>
                  <w:noProof/>
                  <w:lang w:val="en-CA"/>
                </w:rPr>
                <w:t xml:space="preserve">Pertierra, A. C. (2012). If They Show Prison Break in the United States on a Wednesday, by Thursday It Is Here: Mobile Media Networks in Twenty-First Century Cuba. </w:t>
              </w:r>
              <w:r w:rsidRPr="0028342A">
                <w:rPr>
                  <w:i/>
                  <w:iCs/>
                  <w:noProof/>
                  <w:lang w:val="en-CA"/>
                </w:rPr>
                <w:t>Television &amp; New Media, 13</w:t>
              </w:r>
              <w:r w:rsidRPr="0028342A">
                <w:rPr>
                  <w:noProof/>
                  <w:lang w:val="en-CA"/>
                </w:rPr>
                <w:t>(5), 399-414. doi:DOI: 10.1177/1527476412443564</w:t>
              </w:r>
            </w:p>
            <w:p w:rsidR="0028342A" w:rsidRPr="0028342A" w:rsidRDefault="0028342A" w:rsidP="0028342A">
              <w:pPr>
                <w:pStyle w:val="Bibliography"/>
                <w:ind w:left="720" w:hanging="720"/>
                <w:rPr>
                  <w:noProof/>
                  <w:lang w:val="en-CA"/>
                </w:rPr>
              </w:pPr>
              <w:r w:rsidRPr="0028342A">
                <w:rPr>
                  <w:noProof/>
                  <w:lang w:val="en-CA"/>
                </w:rPr>
                <w:t xml:space="preserve">Shohat, E. a. (2014). “Introduction”, "From Eurocentrism to Polycentrism” (chapter 1), “Afterword: Thinking about Unthinking”. In </w:t>
              </w:r>
              <w:r w:rsidRPr="0028342A">
                <w:rPr>
                  <w:i/>
                  <w:iCs/>
                  <w:noProof/>
                  <w:lang w:val="en-CA"/>
                </w:rPr>
                <w:t>Unthinking Eurocentrism: Multiculturalism and the Media,.</w:t>
              </w:r>
              <w:r w:rsidRPr="0028342A">
                <w:rPr>
                  <w:noProof/>
                  <w:lang w:val="en-CA"/>
                </w:rPr>
                <w:t xml:space="preserve"> London: Routledge, Taylor &amp; Francis Group,.</w:t>
              </w:r>
            </w:p>
            <w:p w:rsidR="0028342A" w:rsidRDefault="0028342A" w:rsidP="0028342A">
              <w:pPr>
                <w:pStyle w:val="Bibliography"/>
                <w:ind w:left="720" w:hanging="720"/>
                <w:rPr>
                  <w:noProof/>
                  <w:lang w:val="es-CU"/>
                </w:rPr>
              </w:pPr>
              <w:r>
                <w:rPr>
                  <w:noProof/>
                  <w:lang w:val="es-CU"/>
                </w:rPr>
                <w:t xml:space="preserve">Trigo, A. (2012, Enero - Junio). Los estudios transatlánticos y la geopolítica del neohispanismo. </w:t>
              </w:r>
              <w:r>
                <w:rPr>
                  <w:i/>
                  <w:iCs/>
                  <w:noProof/>
                  <w:lang w:val="es-CU"/>
                </w:rPr>
                <w:t>Cuadernos de Literatura, 31</w:t>
              </w:r>
              <w:r>
                <w:rPr>
                  <w:noProof/>
                  <w:lang w:val="es-CU"/>
                </w:rPr>
                <w:t>. From https://dialnet.unirioja.es/descarga/articulo/5228245.pdf</w:t>
              </w:r>
            </w:p>
            <w:p w:rsidR="006B6152" w:rsidRDefault="006B6152" w:rsidP="0028342A">
              <w:r>
                <w:rPr>
                  <w:b/>
                  <w:bCs/>
                  <w:noProof/>
                </w:rPr>
                <w:fldChar w:fldCharType="end"/>
              </w:r>
            </w:p>
          </w:sdtContent>
        </w:sdt>
      </w:sdtContent>
    </w:sdt>
    <w:p w:rsidR="005B1130" w:rsidRPr="005B1130" w:rsidRDefault="005B1130">
      <w:pPr>
        <w:rPr>
          <w:lang w:val="es-CU"/>
        </w:rPr>
      </w:pPr>
    </w:p>
    <w:sectPr w:rsidR="005B1130" w:rsidRPr="005B1130" w:rsidSect="005B11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23D" w:rsidRDefault="003E223D" w:rsidP="00B52A93">
      <w:pPr>
        <w:spacing w:after="0" w:line="240" w:lineRule="auto"/>
      </w:pPr>
      <w:r>
        <w:separator/>
      </w:r>
    </w:p>
  </w:endnote>
  <w:endnote w:type="continuationSeparator" w:id="0">
    <w:p w:rsidR="003E223D" w:rsidRDefault="003E223D" w:rsidP="00B5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23D" w:rsidRDefault="003E223D" w:rsidP="00B52A93">
      <w:pPr>
        <w:spacing w:after="0" w:line="240" w:lineRule="auto"/>
      </w:pPr>
      <w:r>
        <w:separator/>
      </w:r>
    </w:p>
  </w:footnote>
  <w:footnote w:type="continuationSeparator" w:id="0">
    <w:p w:rsidR="003E223D" w:rsidRDefault="003E223D" w:rsidP="00B5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69D"/>
    <w:multiLevelType w:val="hybridMultilevel"/>
    <w:tmpl w:val="D174DE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6652E"/>
    <w:multiLevelType w:val="hybridMultilevel"/>
    <w:tmpl w:val="BC3A7C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610601"/>
    <w:multiLevelType w:val="hybridMultilevel"/>
    <w:tmpl w:val="1A0A5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DB76F3"/>
    <w:multiLevelType w:val="hybridMultilevel"/>
    <w:tmpl w:val="0F8E40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D306C46"/>
    <w:multiLevelType w:val="hybridMultilevel"/>
    <w:tmpl w:val="FF2275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30"/>
    <w:rsid w:val="00006643"/>
    <w:rsid w:val="0003199A"/>
    <w:rsid w:val="00037CE8"/>
    <w:rsid w:val="00096F39"/>
    <w:rsid w:val="000F55E4"/>
    <w:rsid w:val="00191F09"/>
    <w:rsid w:val="00194102"/>
    <w:rsid w:val="001B0327"/>
    <w:rsid w:val="001C27D2"/>
    <w:rsid w:val="001E2234"/>
    <w:rsid w:val="00242EB2"/>
    <w:rsid w:val="002602B3"/>
    <w:rsid w:val="002723DD"/>
    <w:rsid w:val="0028342A"/>
    <w:rsid w:val="00294CBF"/>
    <w:rsid w:val="00357294"/>
    <w:rsid w:val="003A4567"/>
    <w:rsid w:val="003E223D"/>
    <w:rsid w:val="00496A78"/>
    <w:rsid w:val="00500E3B"/>
    <w:rsid w:val="00523AF9"/>
    <w:rsid w:val="00527FC0"/>
    <w:rsid w:val="00595100"/>
    <w:rsid w:val="005B1130"/>
    <w:rsid w:val="005C4E3D"/>
    <w:rsid w:val="00656713"/>
    <w:rsid w:val="006B4CAC"/>
    <w:rsid w:val="006B6152"/>
    <w:rsid w:val="006F1682"/>
    <w:rsid w:val="007B0A9B"/>
    <w:rsid w:val="008641DD"/>
    <w:rsid w:val="008D276A"/>
    <w:rsid w:val="0097103B"/>
    <w:rsid w:val="009A1B08"/>
    <w:rsid w:val="009D61C7"/>
    <w:rsid w:val="009F764A"/>
    <w:rsid w:val="00A63083"/>
    <w:rsid w:val="00A65B7F"/>
    <w:rsid w:val="00AD73DF"/>
    <w:rsid w:val="00B52A93"/>
    <w:rsid w:val="00B83D3A"/>
    <w:rsid w:val="00BC6BD9"/>
    <w:rsid w:val="00BD77B1"/>
    <w:rsid w:val="00C00361"/>
    <w:rsid w:val="00C03D0E"/>
    <w:rsid w:val="00C47D2E"/>
    <w:rsid w:val="00C957EF"/>
    <w:rsid w:val="00CA6045"/>
    <w:rsid w:val="00CC0163"/>
    <w:rsid w:val="00D20547"/>
    <w:rsid w:val="00DE716B"/>
    <w:rsid w:val="00E301B6"/>
    <w:rsid w:val="00EB47C0"/>
    <w:rsid w:val="00EB7886"/>
    <w:rsid w:val="00ED7595"/>
    <w:rsid w:val="00EF7374"/>
    <w:rsid w:val="00F12B6D"/>
    <w:rsid w:val="00F429EB"/>
    <w:rsid w:val="00F47C8A"/>
    <w:rsid w:val="00F61C41"/>
    <w:rsid w:val="00F7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AD45"/>
  <w15:chartTrackingRefBased/>
  <w15:docId w15:val="{48EBCF85-9F2B-42B2-9C58-7F7CAA6F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1130"/>
    <w:pPr>
      <w:spacing w:after="0" w:line="240" w:lineRule="auto"/>
    </w:pPr>
    <w:rPr>
      <w:rFonts w:eastAsiaTheme="minorEastAsia"/>
    </w:rPr>
  </w:style>
  <w:style w:type="character" w:customStyle="1" w:styleId="NoSpacingChar">
    <w:name w:val="No Spacing Char"/>
    <w:basedOn w:val="DefaultParagraphFont"/>
    <w:link w:val="NoSpacing"/>
    <w:uiPriority w:val="1"/>
    <w:rsid w:val="005B1130"/>
    <w:rPr>
      <w:rFonts w:eastAsiaTheme="minorEastAsia"/>
    </w:rPr>
  </w:style>
  <w:style w:type="paragraph" w:styleId="ListParagraph">
    <w:name w:val="List Paragraph"/>
    <w:basedOn w:val="Normal"/>
    <w:uiPriority w:val="34"/>
    <w:qFormat/>
    <w:rsid w:val="002723DD"/>
    <w:pPr>
      <w:ind w:left="720"/>
      <w:contextualSpacing/>
    </w:pPr>
  </w:style>
  <w:style w:type="paragraph" w:styleId="FootnoteText">
    <w:name w:val="footnote text"/>
    <w:basedOn w:val="Normal"/>
    <w:link w:val="FootnoteTextChar"/>
    <w:uiPriority w:val="99"/>
    <w:semiHidden/>
    <w:unhideWhenUsed/>
    <w:rsid w:val="00B52A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A93"/>
    <w:rPr>
      <w:sz w:val="20"/>
      <w:szCs w:val="20"/>
    </w:rPr>
  </w:style>
  <w:style w:type="character" w:styleId="FootnoteReference">
    <w:name w:val="footnote reference"/>
    <w:basedOn w:val="DefaultParagraphFont"/>
    <w:uiPriority w:val="99"/>
    <w:semiHidden/>
    <w:unhideWhenUsed/>
    <w:rsid w:val="00B52A93"/>
    <w:rPr>
      <w:vertAlign w:val="superscript"/>
    </w:rPr>
  </w:style>
  <w:style w:type="character" w:customStyle="1" w:styleId="Heading1Char">
    <w:name w:val="Heading 1 Char"/>
    <w:basedOn w:val="DefaultParagraphFont"/>
    <w:link w:val="Heading1"/>
    <w:uiPriority w:val="9"/>
    <w:rsid w:val="006B615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B6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6865">
      <w:bodyDiv w:val="1"/>
      <w:marLeft w:val="0"/>
      <w:marRight w:val="0"/>
      <w:marTop w:val="0"/>
      <w:marBottom w:val="0"/>
      <w:divBdr>
        <w:top w:val="none" w:sz="0" w:space="0" w:color="auto"/>
        <w:left w:val="none" w:sz="0" w:space="0" w:color="auto"/>
        <w:bottom w:val="none" w:sz="0" w:space="0" w:color="auto"/>
        <w:right w:val="none" w:sz="0" w:space="0" w:color="auto"/>
      </w:divBdr>
    </w:div>
    <w:div w:id="102262004">
      <w:bodyDiv w:val="1"/>
      <w:marLeft w:val="0"/>
      <w:marRight w:val="0"/>
      <w:marTop w:val="0"/>
      <w:marBottom w:val="0"/>
      <w:divBdr>
        <w:top w:val="none" w:sz="0" w:space="0" w:color="auto"/>
        <w:left w:val="none" w:sz="0" w:space="0" w:color="auto"/>
        <w:bottom w:val="none" w:sz="0" w:space="0" w:color="auto"/>
        <w:right w:val="none" w:sz="0" w:space="0" w:color="auto"/>
      </w:divBdr>
    </w:div>
    <w:div w:id="133105169">
      <w:bodyDiv w:val="1"/>
      <w:marLeft w:val="0"/>
      <w:marRight w:val="0"/>
      <w:marTop w:val="0"/>
      <w:marBottom w:val="0"/>
      <w:divBdr>
        <w:top w:val="none" w:sz="0" w:space="0" w:color="auto"/>
        <w:left w:val="none" w:sz="0" w:space="0" w:color="auto"/>
        <w:bottom w:val="none" w:sz="0" w:space="0" w:color="auto"/>
        <w:right w:val="none" w:sz="0" w:space="0" w:color="auto"/>
      </w:divBdr>
    </w:div>
    <w:div w:id="174463300">
      <w:bodyDiv w:val="1"/>
      <w:marLeft w:val="0"/>
      <w:marRight w:val="0"/>
      <w:marTop w:val="0"/>
      <w:marBottom w:val="0"/>
      <w:divBdr>
        <w:top w:val="none" w:sz="0" w:space="0" w:color="auto"/>
        <w:left w:val="none" w:sz="0" w:space="0" w:color="auto"/>
        <w:bottom w:val="none" w:sz="0" w:space="0" w:color="auto"/>
        <w:right w:val="none" w:sz="0" w:space="0" w:color="auto"/>
      </w:divBdr>
    </w:div>
    <w:div w:id="216666889">
      <w:bodyDiv w:val="1"/>
      <w:marLeft w:val="0"/>
      <w:marRight w:val="0"/>
      <w:marTop w:val="0"/>
      <w:marBottom w:val="0"/>
      <w:divBdr>
        <w:top w:val="none" w:sz="0" w:space="0" w:color="auto"/>
        <w:left w:val="none" w:sz="0" w:space="0" w:color="auto"/>
        <w:bottom w:val="none" w:sz="0" w:space="0" w:color="auto"/>
        <w:right w:val="none" w:sz="0" w:space="0" w:color="auto"/>
      </w:divBdr>
    </w:div>
    <w:div w:id="238903933">
      <w:bodyDiv w:val="1"/>
      <w:marLeft w:val="0"/>
      <w:marRight w:val="0"/>
      <w:marTop w:val="0"/>
      <w:marBottom w:val="0"/>
      <w:divBdr>
        <w:top w:val="none" w:sz="0" w:space="0" w:color="auto"/>
        <w:left w:val="none" w:sz="0" w:space="0" w:color="auto"/>
        <w:bottom w:val="none" w:sz="0" w:space="0" w:color="auto"/>
        <w:right w:val="none" w:sz="0" w:space="0" w:color="auto"/>
      </w:divBdr>
    </w:div>
    <w:div w:id="286280440">
      <w:bodyDiv w:val="1"/>
      <w:marLeft w:val="0"/>
      <w:marRight w:val="0"/>
      <w:marTop w:val="0"/>
      <w:marBottom w:val="0"/>
      <w:divBdr>
        <w:top w:val="none" w:sz="0" w:space="0" w:color="auto"/>
        <w:left w:val="none" w:sz="0" w:space="0" w:color="auto"/>
        <w:bottom w:val="none" w:sz="0" w:space="0" w:color="auto"/>
        <w:right w:val="none" w:sz="0" w:space="0" w:color="auto"/>
      </w:divBdr>
    </w:div>
    <w:div w:id="304747149">
      <w:bodyDiv w:val="1"/>
      <w:marLeft w:val="0"/>
      <w:marRight w:val="0"/>
      <w:marTop w:val="0"/>
      <w:marBottom w:val="0"/>
      <w:divBdr>
        <w:top w:val="none" w:sz="0" w:space="0" w:color="auto"/>
        <w:left w:val="none" w:sz="0" w:space="0" w:color="auto"/>
        <w:bottom w:val="none" w:sz="0" w:space="0" w:color="auto"/>
        <w:right w:val="none" w:sz="0" w:space="0" w:color="auto"/>
      </w:divBdr>
    </w:div>
    <w:div w:id="371544073">
      <w:bodyDiv w:val="1"/>
      <w:marLeft w:val="0"/>
      <w:marRight w:val="0"/>
      <w:marTop w:val="0"/>
      <w:marBottom w:val="0"/>
      <w:divBdr>
        <w:top w:val="none" w:sz="0" w:space="0" w:color="auto"/>
        <w:left w:val="none" w:sz="0" w:space="0" w:color="auto"/>
        <w:bottom w:val="none" w:sz="0" w:space="0" w:color="auto"/>
        <w:right w:val="none" w:sz="0" w:space="0" w:color="auto"/>
      </w:divBdr>
    </w:div>
    <w:div w:id="418791816">
      <w:bodyDiv w:val="1"/>
      <w:marLeft w:val="0"/>
      <w:marRight w:val="0"/>
      <w:marTop w:val="0"/>
      <w:marBottom w:val="0"/>
      <w:divBdr>
        <w:top w:val="none" w:sz="0" w:space="0" w:color="auto"/>
        <w:left w:val="none" w:sz="0" w:space="0" w:color="auto"/>
        <w:bottom w:val="none" w:sz="0" w:space="0" w:color="auto"/>
        <w:right w:val="none" w:sz="0" w:space="0" w:color="auto"/>
      </w:divBdr>
    </w:div>
    <w:div w:id="423189189">
      <w:bodyDiv w:val="1"/>
      <w:marLeft w:val="0"/>
      <w:marRight w:val="0"/>
      <w:marTop w:val="0"/>
      <w:marBottom w:val="0"/>
      <w:divBdr>
        <w:top w:val="none" w:sz="0" w:space="0" w:color="auto"/>
        <w:left w:val="none" w:sz="0" w:space="0" w:color="auto"/>
        <w:bottom w:val="none" w:sz="0" w:space="0" w:color="auto"/>
        <w:right w:val="none" w:sz="0" w:space="0" w:color="auto"/>
      </w:divBdr>
    </w:div>
    <w:div w:id="491140924">
      <w:bodyDiv w:val="1"/>
      <w:marLeft w:val="0"/>
      <w:marRight w:val="0"/>
      <w:marTop w:val="0"/>
      <w:marBottom w:val="0"/>
      <w:divBdr>
        <w:top w:val="none" w:sz="0" w:space="0" w:color="auto"/>
        <w:left w:val="none" w:sz="0" w:space="0" w:color="auto"/>
        <w:bottom w:val="none" w:sz="0" w:space="0" w:color="auto"/>
        <w:right w:val="none" w:sz="0" w:space="0" w:color="auto"/>
      </w:divBdr>
    </w:div>
    <w:div w:id="503670183">
      <w:bodyDiv w:val="1"/>
      <w:marLeft w:val="0"/>
      <w:marRight w:val="0"/>
      <w:marTop w:val="0"/>
      <w:marBottom w:val="0"/>
      <w:divBdr>
        <w:top w:val="none" w:sz="0" w:space="0" w:color="auto"/>
        <w:left w:val="none" w:sz="0" w:space="0" w:color="auto"/>
        <w:bottom w:val="none" w:sz="0" w:space="0" w:color="auto"/>
        <w:right w:val="none" w:sz="0" w:space="0" w:color="auto"/>
      </w:divBdr>
    </w:div>
    <w:div w:id="540174572">
      <w:bodyDiv w:val="1"/>
      <w:marLeft w:val="0"/>
      <w:marRight w:val="0"/>
      <w:marTop w:val="0"/>
      <w:marBottom w:val="0"/>
      <w:divBdr>
        <w:top w:val="none" w:sz="0" w:space="0" w:color="auto"/>
        <w:left w:val="none" w:sz="0" w:space="0" w:color="auto"/>
        <w:bottom w:val="none" w:sz="0" w:space="0" w:color="auto"/>
        <w:right w:val="none" w:sz="0" w:space="0" w:color="auto"/>
      </w:divBdr>
    </w:div>
    <w:div w:id="632097286">
      <w:bodyDiv w:val="1"/>
      <w:marLeft w:val="0"/>
      <w:marRight w:val="0"/>
      <w:marTop w:val="0"/>
      <w:marBottom w:val="0"/>
      <w:divBdr>
        <w:top w:val="none" w:sz="0" w:space="0" w:color="auto"/>
        <w:left w:val="none" w:sz="0" w:space="0" w:color="auto"/>
        <w:bottom w:val="none" w:sz="0" w:space="0" w:color="auto"/>
        <w:right w:val="none" w:sz="0" w:space="0" w:color="auto"/>
      </w:divBdr>
    </w:div>
    <w:div w:id="644312883">
      <w:bodyDiv w:val="1"/>
      <w:marLeft w:val="0"/>
      <w:marRight w:val="0"/>
      <w:marTop w:val="0"/>
      <w:marBottom w:val="0"/>
      <w:divBdr>
        <w:top w:val="none" w:sz="0" w:space="0" w:color="auto"/>
        <w:left w:val="none" w:sz="0" w:space="0" w:color="auto"/>
        <w:bottom w:val="none" w:sz="0" w:space="0" w:color="auto"/>
        <w:right w:val="none" w:sz="0" w:space="0" w:color="auto"/>
      </w:divBdr>
    </w:div>
    <w:div w:id="715130221">
      <w:bodyDiv w:val="1"/>
      <w:marLeft w:val="0"/>
      <w:marRight w:val="0"/>
      <w:marTop w:val="0"/>
      <w:marBottom w:val="0"/>
      <w:divBdr>
        <w:top w:val="none" w:sz="0" w:space="0" w:color="auto"/>
        <w:left w:val="none" w:sz="0" w:space="0" w:color="auto"/>
        <w:bottom w:val="none" w:sz="0" w:space="0" w:color="auto"/>
        <w:right w:val="none" w:sz="0" w:space="0" w:color="auto"/>
      </w:divBdr>
    </w:div>
    <w:div w:id="789587968">
      <w:bodyDiv w:val="1"/>
      <w:marLeft w:val="0"/>
      <w:marRight w:val="0"/>
      <w:marTop w:val="0"/>
      <w:marBottom w:val="0"/>
      <w:divBdr>
        <w:top w:val="none" w:sz="0" w:space="0" w:color="auto"/>
        <w:left w:val="none" w:sz="0" w:space="0" w:color="auto"/>
        <w:bottom w:val="none" w:sz="0" w:space="0" w:color="auto"/>
        <w:right w:val="none" w:sz="0" w:space="0" w:color="auto"/>
      </w:divBdr>
    </w:div>
    <w:div w:id="811404417">
      <w:bodyDiv w:val="1"/>
      <w:marLeft w:val="0"/>
      <w:marRight w:val="0"/>
      <w:marTop w:val="0"/>
      <w:marBottom w:val="0"/>
      <w:divBdr>
        <w:top w:val="none" w:sz="0" w:space="0" w:color="auto"/>
        <w:left w:val="none" w:sz="0" w:space="0" w:color="auto"/>
        <w:bottom w:val="none" w:sz="0" w:space="0" w:color="auto"/>
        <w:right w:val="none" w:sz="0" w:space="0" w:color="auto"/>
      </w:divBdr>
    </w:div>
    <w:div w:id="929124034">
      <w:bodyDiv w:val="1"/>
      <w:marLeft w:val="0"/>
      <w:marRight w:val="0"/>
      <w:marTop w:val="0"/>
      <w:marBottom w:val="0"/>
      <w:divBdr>
        <w:top w:val="none" w:sz="0" w:space="0" w:color="auto"/>
        <w:left w:val="none" w:sz="0" w:space="0" w:color="auto"/>
        <w:bottom w:val="none" w:sz="0" w:space="0" w:color="auto"/>
        <w:right w:val="none" w:sz="0" w:space="0" w:color="auto"/>
      </w:divBdr>
    </w:div>
    <w:div w:id="1035154076">
      <w:bodyDiv w:val="1"/>
      <w:marLeft w:val="0"/>
      <w:marRight w:val="0"/>
      <w:marTop w:val="0"/>
      <w:marBottom w:val="0"/>
      <w:divBdr>
        <w:top w:val="none" w:sz="0" w:space="0" w:color="auto"/>
        <w:left w:val="none" w:sz="0" w:space="0" w:color="auto"/>
        <w:bottom w:val="none" w:sz="0" w:space="0" w:color="auto"/>
        <w:right w:val="none" w:sz="0" w:space="0" w:color="auto"/>
      </w:divBdr>
    </w:div>
    <w:div w:id="1041594967">
      <w:bodyDiv w:val="1"/>
      <w:marLeft w:val="0"/>
      <w:marRight w:val="0"/>
      <w:marTop w:val="0"/>
      <w:marBottom w:val="0"/>
      <w:divBdr>
        <w:top w:val="none" w:sz="0" w:space="0" w:color="auto"/>
        <w:left w:val="none" w:sz="0" w:space="0" w:color="auto"/>
        <w:bottom w:val="none" w:sz="0" w:space="0" w:color="auto"/>
        <w:right w:val="none" w:sz="0" w:space="0" w:color="auto"/>
      </w:divBdr>
    </w:div>
    <w:div w:id="1077744529">
      <w:bodyDiv w:val="1"/>
      <w:marLeft w:val="0"/>
      <w:marRight w:val="0"/>
      <w:marTop w:val="0"/>
      <w:marBottom w:val="0"/>
      <w:divBdr>
        <w:top w:val="none" w:sz="0" w:space="0" w:color="auto"/>
        <w:left w:val="none" w:sz="0" w:space="0" w:color="auto"/>
        <w:bottom w:val="none" w:sz="0" w:space="0" w:color="auto"/>
        <w:right w:val="none" w:sz="0" w:space="0" w:color="auto"/>
      </w:divBdr>
    </w:div>
    <w:div w:id="1083065404">
      <w:bodyDiv w:val="1"/>
      <w:marLeft w:val="0"/>
      <w:marRight w:val="0"/>
      <w:marTop w:val="0"/>
      <w:marBottom w:val="0"/>
      <w:divBdr>
        <w:top w:val="none" w:sz="0" w:space="0" w:color="auto"/>
        <w:left w:val="none" w:sz="0" w:space="0" w:color="auto"/>
        <w:bottom w:val="none" w:sz="0" w:space="0" w:color="auto"/>
        <w:right w:val="none" w:sz="0" w:space="0" w:color="auto"/>
      </w:divBdr>
    </w:div>
    <w:div w:id="1087266508">
      <w:bodyDiv w:val="1"/>
      <w:marLeft w:val="0"/>
      <w:marRight w:val="0"/>
      <w:marTop w:val="0"/>
      <w:marBottom w:val="0"/>
      <w:divBdr>
        <w:top w:val="none" w:sz="0" w:space="0" w:color="auto"/>
        <w:left w:val="none" w:sz="0" w:space="0" w:color="auto"/>
        <w:bottom w:val="none" w:sz="0" w:space="0" w:color="auto"/>
        <w:right w:val="none" w:sz="0" w:space="0" w:color="auto"/>
      </w:divBdr>
    </w:div>
    <w:div w:id="1126629507">
      <w:bodyDiv w:val="1"/>
      <w:marLeft w:val="0"/>
      <w:marRight w:val="0"/>
      <w:marTop w:val="0"/>
      <w:marBottom w:val="0"/>
      <w:divBdr>
        <w:top w:val="none" w:sz="0" w:space="0" w:color="auto"/>
        <w:left w:val="none" w:sz="0" w:space="0" w:color="auto"/>
        <w:bottom w:val="none" w:sz="0" w:space="0" w:color="auto"/>
        <w:right w:val="none" w:sz="0" w:space="0" w:color="auto"/>
      </w:divBdr>
    </w:div>
    <w:div w:id="1134568671">
      <w:bodyDiv w:val="1"/>
      <w:marLeft w:val="0"/>
      <w:marRight w:val="0"/>
      <w:marTop w:val="0"/>
      <w:marBottom w:val="0"/>
      <w:divBdr>
        <w:top w:val="none" w:sz="0" w:space="0" w:color="auto"/>
        <w:left w:val="none" w:sz="0" w:space="0" w:color="auto"/>
        <w:bottom w:val="none" w:sz="0" w:space="0" w:color="auto"/>
        <w:right w:val="none" w:sz="0" w:space="0" w:color="auto"/>
      </w:divBdr>
    </w:div>
    <w:div w:id="1136681409">
      <w:bodyDiv w:val="1"/>
      <w:marLeft w:val="0"/>
      <w:marRight w:val="0"/>
      <w:marTop w:val="0"/>
      <w:marBottom w:val="0"/>
      <w:divBdr>
        <w:top w:val="none" w:sz="0" w:space="0" w:color="auto"/>
        <w:left w:val="none" w:sz="0" w:space="0" w:color="auto"/>
        <w:bottom w:val="none" w:sz="0" w:space="0" w:color="auto"/>
        <w:right w:val="none" w:sz="0" w:space="0" w:color="auto"/>
      </w:divBdr>
    </w:div>
    <w:div w:id="1140264925">
      <w:bodyDiv w:val="1"/>
      <w:marLeft w:val="0"/>
      <w:marRight w:val="0"/>
      <w:marTop w:val="0"/>
      <w:marBottom w:val="0"/>
      <w:divBdr>
        <w:top w:val="none" w:sz="0" w:space="0" w:color="auto"/>
        <w:left w:val="none" w:sz="0" w:space="0" w:color="auto"/>
        <w:bottom w:val="none" w:sz="0" w:space="0" w:color="auto"/>
        <w:right w:val="none" w:sz="0" w:space="0" w:color="auto"/>
      </w:divBdr>
    </w:div>
    <w:div w:id="1196120727">
      <w:bodyDiv w:val="1"/>
      <w:marLeft w:val="0"/>
      <w:marRight w:val="0"/>
      <w:marTop w:val="0"/>
      <w:marBottom w:val="0"/>
      <w:divBdr>
        <w:top w:val="none" w:sz="0" w:space="0" w:color="auto"/>
        <w:left w:val="none" w:sz="0" w:space="0" w:color="auto"/>
        <w:bottom w:val="none" w:sz="0" w:space="0" w:color="auto"/>
        <w:right w:val="none" w:sz="0" w:space="0" w:color="auto"/>
      </w:divBdr>
    </w:div>
    <w:div w:id="1203251125">
      <w:bodyDiv w:val="1"/>
      <w:marLeft w:val="0"/>
      <w:marRight w:val="0"/>
      <w:marTop w:val="0"/>
      <w:marBottom w:val="0"/>
      <w:divBdr>
        <w:top w:val="none" w:sz="0" w:space="0" w:color="auto"/>
        <w:left w:val="none" w:sz="0" w:space="0" w:color="auto"/>
        <w:bottom w:val="none" w:sz="0" w:space="0" w:color="auto"/>
        <w:right w:val="none" w:sz="0" w:space="0" w:color="auto"/>
      </w:divBdr>
    </w:div>
    <w:div w:id="1213418446">
      <w:bodyDiv w:val="1"/>
      <w:marLeft w:val="0"/>
      <w:marRight w:val="0"/>
      <w:marTop w:val="0"/>
      <w:marBottom w:val="0"/>
      <w:divBdr>
        <w:top w:val="none" w:sz="0" w:space="0" w:color="auto"/>
        <w:left w:val="none" w:sz="0" w:space="0" w:color="auto"/>
        <w:bottom w:val="none" w:sz="0" w:space="0" w:color="auto"/>
        <w:right w:val="none" w:sz="0" w:space="0" w:color="auto"/>
      </w:divBdr>
    </w:div>
    <w:div w:id="1237011047">
      <w:bodyDiv w:val="1"/>
      <w:marLeft w:val="0"/>
      <w:marRight w:val="0"/>
      <w:marTop w:val="0"/>
      <w:marBottom w:val="0"/>
      <w:divBdr>
        <w:top w:val="none" w:sz="0" w:space="0" w:color="auto"/>
        <w:left w:val="none" w:sz="0" w:space="0" w:color="auto"/>
        <w:bottom w:val="none" w:sz="0" w:space="0" w:color="auto"/>
        <w:right w:val="none" w:sz="0" w:space="0" w:color="auto"/>
      </w:divBdr>
    </w:div>
    <w:div w:id="1244339332">
      <w:bodyDiv w:val="1"/>
      <w:marLeft w:val="0"/>
      <w:marRight w:val="0"/>
      <w:marTop w:val="0"/>
      <w:marBottom w:val="0"/>
      <w:divBdr>
        <w:top w:val="none" w:sz="0" w:space="0" w:color="auto"/>
        <w:left w:val="none" w:sz="0" w:space="0" w:color="auto"/>
        <w:bottom w:val="none" w:sz="0" w:space="0" w:color="auto"/>
        <w:right w:val="none" w:sz="0" w:space="0" w:color="auto"/>
      </w:divBdr>
    </w:div>
    <w:div w:id="1386293245">
      <w:bodyDiv w:val="1"/>
      <w:marLeft w:val="0"/>
      <w:marRight w:val="0"/>
      <w:marTop w:val="0"/>
      <w:marBottom w:val="0"/>
      <w:divBdr>
        <w:top w:val="none" w:sz="0" w:space="0" w:color="auto"/>
        <w:left w:val="none" w:sz="0" w:space="0" w:color="auto"/>
        <w:bottom w:val="none" w:sz="0" w:space="0" w:color="auto"/>
        <w:right w:val="none" w:sz="0" w:space="0" w:color="auto"/>
      </w:divBdr>
    </w:div>
    <w:div w:id="1388798150">
      <w:bodyDiv w:val="1"/>
      <w:marLeft w:val="0"/>
      <w:marRight w:val="0"/>
      <w:marTop w:val="0"/>
      <w:marBottom w:val="0"/>
      <w:divBdr>
        <w:top w:val="none" w:sz="0" w:space="0" w:color="auto"/>
        <w:left w:val="none" w:sz="0" w:space="0" w:color="auto"/>
        <w:bottom w:val="none" w:sz="0" w:space="0" w:color="auto"/>
        <w:right w:val="none" w:sz="0" w:space="0" w:color="auto"/>
      </w:divBdr>
    </w:div>
    <w:div w:id="1465658858">
      <w:bodyDiv w:val="1"/>
      <w:marLeft w:val="0"/>
      <w:marRight w:val="0"/>
      <w:marTop w:val="0"/>
      <w:marBottom w:val="0"/>
      <w:divBdr>
        <w:top w:val="none" w:sz="0" w:space="0" w:color="auto"/>
        <w:left w:val="none" w:sz="0" w:space="0" w:color="auto"/>
        <w:bottom w:val="none" w:sz="0" w:space="0" w:color="auto"/>
        <w:right w:val="none" w:sz="0" w:space="0" w:color="auto"/>
      </w:divBdr>
    </w:div>
    <w:div w:id="1572891368">
      <w:bodyDiv w:val="1"/>
      <w:marLeft w:val="0"/>
      <w:marRight w:val="0"/>
      <w:marTop w:val="0"/>
      <w:marBottom w:val="0"/>
      <w:divBdr>
        <w:top w:val="none" w:sz="0" w:space="0" w:color="auto"/>
        <w:left w:val="none" w:sz="0" w:space="0" w:color="auto"/>
        <w:bottom w:val="none" w:sz="0" w:space="0" w:color="auto"/>
        <w:right w:val="none" w:sz="0" w:space="0" w:color="auto"/>
      </w:divBdr>
    </w:div>
    <w:div w:id="1616595399">
      <w:bodyDiv w:val="1"/>
      <w:marLeft w:val="0"/>
      <w:marRight w:val="0"/>
      <w:marTop w:val="0"/>
      <w:marBottom w:val="0"/>
      <w:divBdr>
        <w:top w:val="none" w:sz="0" w:space="0" w:color="auto"/>
        <w:left w:val="none" w:sz="0" w:space="0" w:color="auto"/>
        <w:bottom w:val="none" w:sz="0" w:space="0" w:color="auto"/>
        <w:right w:val="none" w:sz="0" w:space="0" w:color="auto"/>
      </w:divBdr>
    </w:div>
    <w:div w:id="1626229187">
      <w:bodyDiv w:val="1"/>
      <w:marLeft w:val="0"/>
      <w:marRight w:val="0"/>
      <w:marTop w:val="0"/>
      <w:marBottom w:val="0"/>
      <w:divBdr>
        <w:top w:val="none" w:sz="0" w:space="0" w:color="auto"/>
        <w:left w:val="none" w:sz="0" w:space="0" w:color="auto"/>
        <w:bottom w:val="none" w:sz="0" w:space="0" w:color="auto"/>
        <w:right w:val="none" w:sz="0" w:space="0" w:color="auto"/>
      </w:divBdr>
    </w:div>
    <w:div w:id="1660307771">
      <w:bodyDiv w:val="1"/>
      <w:marLeft w:val="0"/>
      <w:marRight w:val="0"/>
      <w:marTop w:val="0"/>
      <w:marBottom w:val="0"/>
      <w:divBdr>
        <w:top w:val="none" w:sz="0" w:space="0" w:color="auto"/>
        <w:left w:val="none" w:sz="0" w:space="0" w:color="auto"/>
        <w:bottom w:val="none" w:sz="0" w:space="0" w:color="auto"/>
        <w:right w:val="none" w:sz="0" w:space="0" w:color="auto"/>
      </w:divBdr>
    </w:div>
    <w:div w:id="1753160290">
      <w:bodyDiv w:val="1"/>
      <w:marLeft w:val="0"/>
      <w:marRight w:val="0"/>
      <w:marTop w:val="0"/>
      <w:marBottom w:val="0"/>
      <w:divBdr>
        <w:top w:val="none" w:sz="0" w:space="0" w:color="auto"/>
        <w:left w:val="none" w:sz="0" w:space="0" w:color="auto"/>
        <w:bottom w:val="none" w:sz="0" w:space="0" w:color="auto"/>
        <w:right w:val="none" w:sz="0" w:space="0" w:color="auto"/>
      </w:divBdr>
    </w:div>
    <w:div w:id="1837762045">
      <w:bodyDiv w:val="1"/>
      <w:marLeft w:val="0"/>
      <w:marRight w:val="0"/>
      <w:marTop w:val="0"/>
      <w:marBottom w:val="0"/>
      <w:divBdr>
        <w:top w:val="none" w:sz="0" w:space="0" w:color="auto"/>
        <w:left w:val="none" w:sz="0" w:space="0" w:color="auto"/>
        <w:bottom w:val="none" w:sz="0" w:space="0" w:color="auto"/>
        <w:right w:val="none" w:sz="0" w:space="0" w:color="auto"/>
      </w:divBdr>
    </w:div>
    <w:div w:id="1838038945">
      <w:bodyDiv w:val="1"/>
      <w:marLeft w:val="0"/>
      <w:marRight w:val="0"/>
      <w:marTop w:val="0"/>
      <w:marBottom w:val="0"/>
      <w:divBdr>
        <w:top w:val="none" w:sz="0" w:space="0" w:color="auto"/>
        <w:left w:val="none" w:sz="0" w:space="0" w:color="auto"/>
        <w:bottom w:val="none" w:sz="0" w:space="0" w:color="auto"/>
        <w:right w:val="none" w:sz="0" w:space="0" w:color="auto"/>
      </w:divBdr>
    </w:div>
    <w:div w:id="1912689351">
      <w:bodyDiv w:val="1"/>
      <w:marLeft w:val="0"/>
      <w:marRight w:val="0"/>
      <w:marTop w:val="0"/>
      <w:marBottom w:val="0"/>
      <w:divBdr>
        <w:top w:val="none" w:sz="0" w:space="0" w:color="auto"/>
        <w:left w:val="none" w:sz="0" w:space="0" w:color="auto"/>
        <w:bottom w:val="none" w:sz="0" w:space="0" w:color="auto"/>
        <w:right w:val="none" w:sz="0" w:space="0" w:color="auto"/>
      </w:divBdr>
    </w:div>
    <w:div w:id="1915552567">
      <w:bodyDiv w:val="1"/>
      <w:marLeft w:val="0"/>
      <w:marRight w:val="0"/>
      <w:marTop w:val="0"/>
      <w:marBottom w:val="0"/>
      <w:divBdr>
        <w:top w:val="none" w:sz="0" w:space="0" w:color="auto"/>
        <w:left w:val="none" w:sz="0" w:space="0" w:color="auto"/>
        <w:bottom w:val="none" w:sz="0" w:space="0" w:color="auto"/>
        <w:right w:val="none" w:sz="0" w:space="0" w:color="auto"/>
      </w:divBdr>
    </w:div>
    <w:div w:id="2061781973">
      <w:bodyDiv w:val="1"/>
      <w:marLeft w:val="0"/>
      <w:marRight w:val="0"/>
      <w:marTop w:val="0"/>
      <w:marBottom w:val="0"/>
      <w:divBdr>
        <w:top w:val="none" w:sz="0" w:space="0" w:color="auto"/>
        <w:left w:val="none" w:sz="0" w:space="0" w:color="auto"/>
        <w:bottom w:val="none" w:sz="0" w:space="0" w:color="auto"/>
        <w:right w:val="none" w:sz="0" w:space="0" w:color="auto"/>
      </w:divBdr>
    </w:div>
    <w:div w:id="206880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presente se relacionan preguntas asociadas al ciclo “Pensar Cuba hoy”, agrupadas por tema abordado: El paquete, y Cuba en transición. </Abstract>
  <CompanyAddress/>
  <CompanyPhone/>
  <CompanyFax/>
  <CompanyEmail>dvaronac@uwo.ca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Tri12</b:Tag>
    <b:SourceType>JournalArticle</b:SourceType>
    <b:Guid>{3061BF57-0723-431E-BAC5-D270AD67E3B0}</b:Guid>
    <b:Title>Los estudios transatlánticos y la geopolítica del neohispanismo</b:Title>
    <b:Year>2012</b:Year>
    <b:JournalName>Cuadernos de Literatura</b:JournalName>
    <b:Author>
      <b:Author>
        <b:NameList>
          <b:Person>
            <b:Last>Trigo</b:Last>
            <b:First>Abel</b:First>
          </b:Person>
        </b:NameList>
      </b:Author>
    </b:Author>
    <b:Month>Enero - Junio</b:Month>
    <b:Volume>31</b:Volume>
    <b:URL>https://dialnet.unirioja.es/descarga/articulo/5228245.pdf</b:URL>
    <b:RefOrder>1</b:RefOrder>
  </b:Source>
  <b:Source>
    <b:Tag>Sho14</b:Tag>
    <b:SourceType>BookSection</b:SourceType>
    <b:Guid>{26FB556C-381C-479E-8D6B-34D7468F1818}</b:Guid>
    <b:Author>
      <b:Author>
        <b:NameList>
          <b:Person>
            <b:Last>Shohat</b:Last>
            <b:First>Ella.</b:First>
            <b:Middle>and Stam, Robert.</b:Middle>
          </b:Person>
        </b:NameList>
      </b:Author>
    </b:Author>
    <b:Title> “Introduction”, "From Eurocentrism to Polycentrism” (chapter 1), “Afterword: Thinking about Unthinking”</b:Title>
    <b:BookTitle>Unthinking Eurocentrism: Multiculturalism and the Media,</b:BookTitle>
    <b:Year>2014</b:Year>
    <b:City>London</b:City>
    <b:Publisher> Routledge, Taylor &amp; Francis Group,</b:Publisher>
    <b:RefOrder>2</b:RefOrder>
  </b:Source>
  <b:Source>
    <b:Tag>Per12</b:Tag>
    <b:SourceType>JournalArticle</b:SourceType>
    <b:Guid>{92F2A929-7E98-441D-8823-9A6B5A2EFE21}</b:Guid>
    <b:Title>If They Show Prison Break in the United States on a Wednesday, by Thursday It Is Here: Mobile Media Networks in Twenty-First Century Cuba</b:Title>
    <b:Year>2012</b:Year>
    <b:Author>
      <b:Author>
        <b:NameList>
          <b:Person>
            <b:Last>Pertierra</b:Last>
            <b:First>Ana</b:First>
            <b:Middle>Cristina</b:Middle>
          </b:Person>
        </b:NameList>
      </b:Author>
    </b:Author>
    <b:JournalName>Television &amp; New Media</b:JournalName>
    <b:Pages>399-414</b:Pages>
    <b:Volume>13</b:Volume>
    <b:Issue>5</b:Issue>
    <b:DOI>DOI: 10.1177/1527476412443564</b:DOI>
    <b:RefOrder>3</b:RefOrder>
  </b:Source>
  <b:Source>
    <b:Tag>Her04</b:Tag>
    <b:SourceType>JournalArticle</b:SourceType>
    <b:Guid>{8E84FE23-BDE1-4E06-9785-3FBEABCCB9ED}</b:Guid>
    <b:Title>Copyrighting Che: Art and Authorship under Cuban Late Socialism</b:Title>
    <b:JournalName>Public Culture</b:JournalName>
    <b:Year>2004</b:Year>
    <b:Pages>1-29</b:Pages>
    <b:Author>
      <b:Author>
        <b:NameList>
          <b:Person>
            <b:Last> Hernández-Reguant</b:Last>
            <b:First>Ariana</b:First>
          </b:Person>
        </b:NameList>
      </b:Author>
    </b:Author>
    <b:Volume>10</b:Volume>
    <b:Issue>1</b:Issu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26D25-460A-4568-BD7C-96AD857F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Preguntas relacionadas con el 2do Ciclo</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relacionadas con el 3er Ciclo</dc:title>
  <dc:subject>Estudios Transatlánticos</dc:subject>
  <dc:creator>Daniel Varona</dc:creator>
  <cp:keywords/>
  <dc:description/>
  <cp:lastModifiedBy>Daniel Varona Cordero</cp:lastModifiedBy>
  <cp:revision>5</cp:revision>
  <cp:lastPrinted>2017-10-02T18:53:00Z</cp:lastPrinted>
  <dcterms:created xsi:type="dcterms:W3CDTF">2017-11-28T03:38:00Z</dcterms:created>
  <dcterms:modified xsi:type="dcterms:W3CDTF">2017-11-28T05:22:00Z</dcterms:modified>
</cp:coreProperties>
</file>