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35D" w:rsidRDefault="00BB3592">
      <w:pPr>
        <w:jc w:val="center"/>
      </w:pPr>
      <w:r>
        <w:rPr>
          <w:b/>
          <w:color w:val="1E3A5F"/>
          <w:sz w:val="40"/>
        </w:rPr>
        <w:t>Yll Agimi, PhD, MSc, MPH</w:t>
      </w:r>
    </w:p>
    <w:p w:rsidR="00DB635D" w:rsidRDefault="00BB3592">
      <w:pPr>
        <w:spacing w:after="80"/>
        <w:jc w:val="center"/>
      </w:pPr>
      <w:r>
        <w:rPr>
          <w:i/>
          <w:color w:val="52606D"/>
          <w:sz w:val="23"/>
        </w:rPr>
        <w:t>Health Data Scientist &amp; Epidemiologist — Measurement, Evaluation &amp; Real-World Evidence</w:t>
      </w:r>
    </w:p>
    <w:p w:rsidR="00DB635D" w:rsidRDefault="00BB3592">
      <w:pPr>
        <w:pBdr>
          <w:bottom w:val="single" w:sz="6" w:space="1" w:color="1E3A5F"/>
        </w:pBdr>
        <w:spacing w:after="160"/>
        <w:jc w:val="center"/>
      </w:pPr>
      <w:r>
        <w:rPr>
          <w:color w:val="52606D"/>
          <w:sz w:val="19"/>
        </w:rPr>
        <w:t>New York, NY (Hybrid) | yll.agimi@gmail.com | linkedin.com/in/yllagimi | www.yllagimi.com | github.com/yllagimi</w:t>
      </w:r>
    </w:p>
    <w:p w:rsidR="00DB635D" w:rsidRDefault="00BB3592">
      <w:pPr>
        <w:pBdr>
          <w:bottom w:val="single" w:sz="6" w:space="1" w:color="1E3A5F"/>
        </w:pBdr>
        <w:spacing w:before="200" w:after="80"/>
      </w:pPr>
      <w:r>
        <w:rPr>
          <w:b/>
          <w:color w:val="1E3A5F"/>
          <w:sz w:val="23"/>
        </w:rPr>
        <w:t>SUMMARY</w:t>
      </w:r>
    </w:p>
    <w:p w:rsidR="00DB635D" w:rsidRDefault="00BB3592">
      <w:pPr>
        <w:spacing w:after="120"/>
      </w:pPr>
      <w:r>
        <w:t xml:space="preserve">Epidemiologist and </w:t>
      </w:r>
      <w:r>
        <w:t>health data scientist with 15+ years designing and leading rigorous evaluations of clinical interventions, technologies, and policies using large-scale, real-world healthcare data. Proven record operationalizing complex constructs</w:t>
      </w:r>
      <w:r w:rsidR="00EC10AF">
        <w:t>,</w:t>
      </w:r>
      <w:r>
        <w:t xml:space="preserve"> treatment adherence, lo</w:t>
      </w:r>
      <w:r>
        <w:t xml:space="preserve">ng-term disability risk, care quality, </w:t>
      </w:r>
      <w:r w:rsidR="00EC10AF">
        <w:t>and behavioral health outcomes,</w:t>
      </w:r>
      <w:r>
        <w:t xml:space="preserve"> into measurement frameworks grounded in quasi-experimental and observational causal-inference methods (propensity scoring, GEE, survival and multistate modeling, Mantel-Haenszel standa</w:t>
      </w:r>
      <w:r>
        <w:t>rdization). 14+ peer-reviewed publications translating measurement science into policy and clinical practice for the U.S. Military Health System and federal health agencies. Experienced partnering with clinicians, medical directors, regulatory affairs, and</w:t>
      </w:r>
      <w:r w:rsidR="00EC10AF">
        <w:t xml:space="preserve"> program stakeholders, and mentoring analysts, </w:t>
      </w:r>
      <w:r>
        <w:t>to ensure research meets the standard of rigor decision-makers require.</w:t>
      </w:r>
    </w:p>
    <w:p w:rsidR="00DB635D" w:rsidRDefault="00BB3592">
      <w:pPr>
        <w:pBdr>
          <w:bottom w:val="single" w:sz="6" w:space="1" w:color="1E3A5F"/>
        </w:pBdr>
        <w:spacing w:before="200" w:after="80"/>
      </w:pPr>
      <w:r>
        <w:rPr>
          <w:b/>
          <w:color w:val="1E3A5F"/>
          <w:sz w:val="23"/>
        </w:rPr>
        <w:t>CORE EXPERTISE</w:t>
      </w:r>
    </w:p>
    <w:p w:rsidR="00DB635D" w:rsidRDefault="00BB3592">
      <w:pPr>
        <w:pStyle w:val="ListBullet"/>
        <w:ind w:left="317"/>
      </w:pPr>
      <w:r>
        <w:rPr>
          <w:sz w:val="20"/>
        </w:rPr>
        <w:t>Ev</w:t>
      </w:r>
      <w:r w:rsidR="005279F7">
        <w:rPr>
          <w:sz w:val="20"/>
        </w:rPr>
        <w:t>aluation &amp; Measurement Science:</w:t>
      </w:r>
      <w:r>
        <w:rPr>
          <w:sz w:val="20"/>
        </w:rPr>
        <w:t xml:space="preserve"> operationalizing complex constructs (care quality, treatment adherence, disability ri</w:t>
      </w:r>
      <w:r>
        <w:rPr>
          <w:sz w:val="20"/>
        </w:rPr>
        <w:t>sk) into rigorous, decision-relevant metrics</w:t>
      </w:r>
    </w:p>
    <w:p w:rsidR="00DB635D" w:rsidRDefault="00BB3592">
      <w:pPr>
        <w:pStyle w:val="ListBullet"/>
        <w:ind w:left="317"/>
      </w:pPr>
      <w:r>
        <w:rPr>
          <w:sz w:val="20"/>
        </w:rPr>
        <w:t>Causal Inferenc</w:t>
      </w:r>
      <w:r w:rsidR="005279F7">
        <w:rPr>
          <w:sz w:val="20"/>
        </w:rPr>
        <w:t xml:space="preserve">e &amp; Quasi-Experimental Design: </w:t>
      </w:r>
      <w:r>
        <w:rPr>
          <w:sz w:val="20"/>
        </w:rPr>
        <w:t>propensity scoring, Mantel-</w:t>
      </w:r>
      <w:proofErr w:type="spellStart"/>
      <w:r>
        <w:rPr>
          <w:sz w:val="20"/>
        </w:rPr>
        <w:t>Haenszel</w:t>
      </w:r>
      <w:proofErr w:type="spellEnd"/>
      <w:r>
        <w:rPr>
          <w:sz w:val="20"/>
        </w:rPr>
        <w:t xml:space="preserve"> standardization, negative binomial GEE, Poisson &amp; logistic regression, survival and multistate modeling</w:t>
      </w:r>
    </w:p>
    <w:p w:rsidR="00DB635D" w:rsidRDefault="00BB3592">
      <w:pPr>
        <w:pStyle w:val="ListBullet"/>
        <w:ind w:left="317"/>
      </w:pPr>
      <w:r>
        <w:rPr>
          <w:sz w:val="20"/>
        </w:rPr>
        <w:t>Epidemiologic Study Desi</w:t>
      </w:r>
      <w:r>
        <w:rPr>
          <w:sz w:val="20"/>
        </w:rPr>
        <w:t>gn &amp; Population Health Surveillance</w:t>
      </w:r>
    </w:p>
    <w:p w:rsidR="00DB635D" w:rsidRDefault="00BB3592">
      <w:pPr>
        <w:pStyle w:val="ListBullet"/>
        <w:ind w:left="317"/>
      </w:pPr>
      <w:r>
        <w:rPr>
          <w:sz w:val="20"/>
        </w:rPr>
        <w:t>Re</w:t>
      </w:r>
      <w:r w:rsidR="005279F7">
        <w:rPr>
          <w:sz w:val="20"/>
        </w:rPr>
        <w:t xml:space="preserve">al-World Data (RWD) Analytics: </w:t>
      </w:r>
      <w:r>
        <w:rPr>
          <w:sz w:val="20"/>
        </w:rPr>
        <w:t>EHR, claims, and patient registry analysis (ICD, HCPCS, SNOMED)</w:t>
      </w:r>
    </w:p>
    <w:p w:rsidR="00DB635D" w:rsidRDefault="00BB3592">
      <w:pPr>
        <w:pStyle w:val="ListBullet"/>
        <w:ind w:left="317"/>
      </w:pPr>
      <w:r>
        <w:rPr>
          <w:sz w:val="20"/>
        </w:rPr>
        <w:t>Patient-Reported Outcomes (PROs) &amp; Behavioral Health Research</w:t>
      </w:r>
    </w:p>
    <w:p w:rsidR="00DB635D" w:rsidRDefault="00BB3592">
      <w:pPr>
        <w:pStyle w:val="ListBullet"/>
        <w:ind w:left="317"/>
      </w:pPr>
      <w:r>
        <w:rPr>
          <w:sz w:val="20"/>
        </w:rPr>
        <w:t>Programming: SAS, R (tidyr, lubridate, stringr, caret), SQL,</w:t>
      </w:r>
      <w:r>
        <w:rPr>
          <w:sz w:val="20"/>
        </w:rPr>
        <w:t xml:space="preserve"> Python (PyTorch, pandas, scikit-learn, NumPy); Gen AI integration</w:t>
      </w:r>
    </w:p>
    <w:p w:rsidR="00DB635D" w:rsidRDefault="00BB3592">
      <w:pPr>
        <w:pStyle w:val="ListBullet"/>
        <w:ind w:left="317"/>
      </w:pPr>
      <w:r>
        <w:rPr>
          <w:sz w:val="20"/>
        </w:rPr>
        <w:t>Data Visualization: ggplot2, Plotly, Tableau</w:t>
      </w:r>
    </w:p>
    <w:p w:rsidR="00DB635D" w:rsidRDefault="00BB3592">
      <w:pPr>
        <w:pStyle w:val="ListBullet"/>
        <w:ind w:left="317"/>
      </w:pPr>
      <w:r>
        <w:rPr>
          <w:sz w:val="20"/>
        </w:rPr>
        <w:t>Regulatory &amp; HTA Evidence Generation</w:t>
      </w:r>
    </w:p>
    <w:p w:rsidR="00DB635D" w:rsidRDefault="00BB3592">
      <w:pPr>
        <w:pBdr>
          <w:bottom w:val="single" w:sz="6" w:space="1" w:color="1E3A5F"/>
        </w:pBdr>
        <w:spacing w:before="200" w:after="80"/>
      </w:pPr>
      <w:r>
        <w:rPr>
          <w:b/>
          <w:color w:val="1E3A5F"/>
          <w:sz w:val="23"/>
        </w:rPr>
        <w:t>PROFESSIONAL EXPERIENCE</w:t>
      </w:r>
    </w:p>
    <w:p w:rsidR="005279F7" w:rsidRPr="005279F7" w:rsidRDefault="005279F7" w:rsidP="005279F7">
      <w:pPr>
        <w:spacing w:before="120" w:after="20"/>
        <w:rPr>
          <w:b/>
        </w:rPr>
      </w:pPr>
      <w:r w:rsidRPr="005279F7">
        <w:rPr>
          <w:b/>
        </w:rPr>
        <w:t xml:space="preserve">Senior Health Data Scientist </w:t>
      </w:r>
      <w:r>
        <w:rPr>
          <w:b/>
        </w:rPr>
        <w:t xml:space="preserve">- </w:t>
      </w:r>
      <w:r w:rsidRPr="005279F7">
        <w:rPr>
          <w:b/>
        </w:rPr>
        <w:t>Military Health System / North Carolina Center for Optimizing Military Performance| New York, NY | October 2025 - Present</w:t>
      </w:r>
    </w:p>
    <w:p w:rsidR="005279F7" w:rsidRDefault="005279F7" w:rsidP="005279F7">
      <w:pPr>
        <w:pStyle w:val="ListBullet"/>
        <w:ind w:left="317"/>
        <w:rPr>
          <w:sz w:val="20"/>
        </w:rPr>
      </w:pPr>
      <w:r w:rsidRPr="005279F7">
        <w:rPr>
          <w:sz w:val="20"/>
        </w:rPr>
        <w:t xml:space="preserve">Leading assessment of </w:t>
      </w:r>
      <w:r>
        <w:rPr>
          <w:sz w:val="20"/>
        </w:rPr>
        <w:t xml:space="preserve">psychometric assessment program </w:t>
      </w:r>
      <w:r w:rsidRPr="005279F7">
        <w:rPr>
          <w:sz w:val="20"/>
        </w:rPr>
        <w:t xml:space="preserve">(purpose, quality, process, integration and value) of routine assessments for patient outcomes, including care access, care quality, return to duty. </w:t>
      </w:r>
    </w:p>
    <w:p w:rsidR="005279F7" w:rsidRDefault="005279F7" w:rsidP="005279F7">
      <w:pPr>
        <w:pStyle w:val="ListBullet"/>
        <w:ind w:left="317"/>
        <w:rPr>
          <w:sz w:val="20"/>
        </w:rPr>
      </w:pPr>
      <w:r>
        <w:rPr>
          <w:sz w:val="20"/>
        </w:rPr>
        <w:t xml:space="preserve">Developed tools for streamlining methodology from research question to concepts, dimensions, metrics, variables and outcomes. </w:t>
      </w:r>
    </w:p>
    <w:p w:rsidR="005279F7" w:rsidRPr="005279F7" w:rsidRDefault="005279F7" w:rsidP="005279F7">
      <w:pPr>
        <w:pStyle w:val="ListBullet"/>
        <w:ind w:left="317"/>
        <w:rPr>
          <w:sz w:val="20"/>
        </w:rPr>
      </w:pPr>
      <w:r>
        <w:rPr>
          <w:sz w:val="20"/>
        </w:rPr>
        <w:t xml:space="preserve">Guided team on synthetic data development (clinical and normative group) to allow engineers to optimize platform before data stream. </w:t>
      </w:r>
    </w:p>
    <w:p w:rsidR="00BB3592" w:rsidRDefault="00BB3592">
      <w:pPr>
        <w:spacing w:before="120" w:after="20"/>
        <w:rPr>
          <w:b/>
        </w:rPr>
      </w:pPr>
    </w:p>
    <w:p w:rsidR="00DB635D" w:rsidRDefault="00BB3592">
      <w:pPr>
        <w:spacing w:before="120" w:after="20"/>
      </w:pPr>
      <w:bookmarkStart w:id="0" w:name="_GoBack"/>
      <w:bookmarkEnd w:id="0"/>
      <w:r>
        <w:rPr>
          <w:b/>
        </w:rPr>
        <w:t xml:space="preserve">Senior Health Data Scientist | Presidential Innovation Fellow </w:t>
      </w:r>
      <w:r>
        <w:rPr>
          <w:i/>
          <w:color w:val="52606D"/>
        </w:rPr>
        <w:t>— Military Health Sys</w:t>
      </w:r>
      <w:r>
        <w:rPr>
          <w:i/>
          <w:color w:val="52606D"/>
        </w:rPr>
        <w:t>tem</w:t>
      </w:r>
    </w:p>
    <w:p w:rsidR="00DB635D" w:rsidRDefault="00BB3592">
      <w:pPr>
        <w:spacing w:after="60"/>
      </w:pPr>
      <w:r>
        <w:rPr>
          <w:i/>
          <w:color w:val="52606D"/>
          <w:sz w:val="18"/>
        </w:rPr>
        <w:t>New York, NY  |  Apr 2023 – May 2025</w:t>
      </w:r>
    </w:p>
    <w:p w:rsidR="00DB635D" w:rsidRDefault="00BB3592">
      <w:pPr>
        <w:pStyle w:val="ListBullet"/>
        <w:ind w:left="317"/>
      </w:pPr>
      <w:r>
        <w:rPr>
          <w:sz w:val="20"/>
        </w:rPr>
        <w:t>Led AI-driven research on provider decision-making and treatment adherence for 250K+ Traumatic Brain Injury (TBI) patients, using PCA and Hierarchical Cluster Analysis to uncover behavioral clusters and time-depende</w:t>
      </w:r>
      <w:r>
        <w:rPr>
          <w:sz w:val="20"/>
        </w:rPr>
        <w:t>nt care gaps</w:t>
      </w:r>
    </w:p>
    <w:p w:rsidR="00DB635D" w:rsidRDefault="00BB3592">
      <w:pPr>
        <w:pStyle w:val="ListBullet"/>
        <w:ind w:left="317"/>
      </w:pPr>
      <w:r>
        <w:rPr>
          <w:sz w:val="20"/>
        </w:rPr>
        <w:t>Developing multistate statistical modeling of behavioral health care utilization across the MHS's entire footprint of 51 hospitals and 424 clinics, spanning direct and network care</w:t>
      </w:r>
    </w:p>
    <w:p w:rsidR="00DB635D" w:rsidRDefault="00BB3592">
      <w:pPr>
        <w:pStyle w:val="ListBullet"/>
        <w:ind w:left="317"/>
      </w:pPr>
      <w:r>
        <w:rPr>
          <w:sz w:val="20"/>
        </w:rPr>
        <w:lastRenderedPageBreak/>
        <w:t>Partner daily with clinical and non-clinical scientists, medic</w:t>
      </w:r>
      <w:r>
        <w:rPr>
          <w:sz w:val="20"/>
        </w:rPr>
        <w:t>al directors, regulatory affairs, statistical programmers, data managers, and medical writers to design and analyze studies end-to-end</w:t>
      </w:r>
    </w:p>
    <w:p w:rsidR="00DB635D" w:rsidRDefault="00BB3592">
      <w:pPr>
        <w:pStyle w:val="ListBullet"/>
        <w:ind w:left="317"/>
      </w:pPr>
      <w:r>
        <w:rPr>
          <w:sz w:val="20"/>
        </w:rPr>
        <w:t xml:space="preserve">Directed a 10-engineer team building a real-time executive health-services dashboard for the nation's 2nd-largest health </w:t>
      </w:r>
      <w:r>
        <w:rPr>
          <w:sz w:val="20"/>
        </w:rPr>
        <w:t>system, later expanding its evaluation scope to the MHS workforce</w:t>
      </w:r>
    </w:p>
    <w:p w:rsidR="00DB635D" w:rsidRDefault="00BB3592">
      <w:pPr>
        <w:spacing w:before="120" w:after="20"/>
      </w:pPr>
      <w:r>
        <w:rPr>
          <w:b/>
        </w:rPr>
        <w:t xml:space="preserve">Senior Data Scientist </w:t>
      </w:r>
      <w:r>
        <w:rPr>
          <w:i/>
          <w:color w:val="52606D"/>
        </w:rPr>
        <w:t>— General Dynamics Information Technology</w:t>
      </w:r>
    </w:p>
    <w:p w:rsidR="00DB635D" w:rsidRDefault="00BB3592">
      <w:pPr>
        <w:spacing w:after="60"/>
      </w:pPr>
      <w:r>
        <w:rPr>
          <w:i/>
          <w:color w:val="52606D"/>
          <w:sz w:val="18"/>
        </w:rPr>
        <w:t>Silver Spring, MD  |  Apr 2019 – Mar 2023</w:t>
      </w:r>
    </w:p>
    <w:p w:rsidR="00DB635D" w:rsidRDefault="00BB3592">
      <w:pPr>
        <w:pStyle w:val="ListBullet"/>
        <w:ind w:left="317"/>
      </w:pPr>
      <w:r>
        <w:rPr>
          <w:sz w:val="20"/>
        </w:rPr>
        <w:t xml:space="preserve">Used administrative, claims, workload, and EHR data on 11.2M service members to </w:t>
      </w:r>
      <w:r>
        <w:rPr>
          <w:sz w:val="20"/>
        </w:rPr>
        <w:t>conduct population health evaluations</w:t>
      </w:r>
    </w:p>
    <w:p w:rsidR="00DB635D" w:rsidRDefault="00BB3592">
      <w:pPr>
        <w:pStyle w:val="ListBullet"/>
        <w:ind w:left="317"/>
      </w:pPr>
      <w:r>
        <w:rPr>
          <w:sz w:val="20"/>
        </w:rPr>
        <w:t>Led a study of TBI follow-up care analyzing 41 comorbid conditions via clustering (Python/R) that identified unnecessary benzodiazepine prescribing</w:t>
      </w:r>
    </w:p>
    <w:p w:rsidR="00DB635D" w:rsidRDefault="00BB3592">
      <w:pPr>
        <w:pStyle w:val="ListBullet"/>
        <w:ind w:left="317"/>
      </w:pPr>
      <w:r>
        <w:rPr>
          <w:sz w:val="20"/>
        </w:rPr>
        <w:t xml:space="preserve">Used time-series analysis to identify injury follow-up care patterns; </w:t>
      </w:r>
      <w:r>
        <w:rPr>
          <w:sz w:val="20"/>
        </w:rPr>
        <w:t>the study established an MHS-wide clinical operations metric for brain-injured patients</w:t>
      </w:r>
    </w:p>
    <w:p w:rsidR="00DB635D" w:rsidRDefault="00BB3592">
      <w:pPr>
        <w:pStyle w:val="ListBullet"/>
        <w:ind w:left="317"/>
      </w:pPr>
      <w:r>
        <w:rPr>
          <w:sz w:val="20"/>
        </w:rPr>
        <w:t xml:space="preserve">Trained clinicians on data-driven decision-making, improving documentation of mental health symptoms in EHRs; built Tableau dashboards and led statistical analyses for </w:t>
      </w:r>
      <w:r>
        <w:rPr>
          <w:sz w:val="20"/>
        </w:rPr>
        <w:t>clinical studies</w:t>
      </w:r>
    </w:p>
    <w:p w:rsidR="00DB635D" w:rsidRDefault="00BB3592">
      <w:pPr>
        <w:spacing w:before="120" w:after="20"/>
      </w:pPr>
      <w:r>
        <w:rPr>
          <w:b/>
        </w:rPr>
        <w:t xml:space="preserve">Senior Data Scientist </w:t>
      </w:r>
      <w:r>
        <w:rPr>
          <w:i/>
          <w:color w:val="52606D"/>
        </w:rPr>
        <w:t>— GovCIO</w:t>
      </w:r>
    </w:p>
    <w:p w:rsidR="00DB635D" w:rsidRDefault="00BB3592">
      <w:pPr>
        <w:spacing w:after="60"/>
      </w:pPr>
      <w:r>
        <w:rPr>
          <w:i/>
          <w:color w:val="52606D"/>
          <w:sz w:val="18"/>
        </w:rPr>
        <w:t>Silver Spring, MD  |  Oct 2014 – Mar 2019</w:t>
      </w:r>
    </w:p>
    <w:p w:rsidR="00DB635D" w:rsidRDefault="00BB3592">
      <w:pPr>
        <w:pStyle w:val="ListBullet"/>
        <w:ind w:left="317"/>
      </w:pPr>
      <w:r>
        <w:rPr>
          <w:sz w:val="20"/>
        </w:rPr>
        <w:t>Adapted a civilian long-term disability registry method (SCTBIFR) to build an ML-based risk model for 5,000 injured service members, finding 65.6% of severe and 12% o</w:t>
      </w:r>
      <w:r>
        <w:rPr>
          <w:sz w:val="20"/>
        </w:rPr>
        <w:t>f mild TBI cases predicted to develop disability, with high-risk subgroups identified (e.g., 61.1% disability rate at specific treatment facilities)</w:t>
      </w:r>
    </w:p>
    <w:p w:rsidR="00DB635D" w:rsidRDefault="00BB3592">
      <w:pPr>
        <w:pStyle w:val="ListBullet"/>
        <w:ind w:left="317"/>
      </w:pPr>
      <w:r>
        <w:rPr>
          <w:sz w:val="20"/>
        </w:rPr>
        <w:t>Led a retrospective cohort analysis of 46,000 deployed TBI cases, quantifying morbidity/mortality trends (0</w:t>
      </w:r>
      <w:r>
        <w:rPr>
          <w:sz w:val="20"/>
        </w:rPr>
        <w:t>.1% mortality for concussion vs. 18% for severe TBI) and system inefficiencies (54% vs. 6% return-to-duty rates), informing combat injury resource allocation</w:t>
      </w:r>
    </w:p>
    <w:p w:rsidR="00DB635D" w:rsidRDefault="00BB3592">
      <w:pPr>
        <w:pStyle w:val="ListBullet"/>
        <w:ind w:left="317"/>
      </w:pPr>
      <w:r>
        <w:rPr>
          <w:sz w:val="20"/>
        </w:rPr>
        <w:t>Conducted a population-level TBI incidence study across 1.9M person-years of surveillance data, de</w:t>
      </w:r>
      <w:r>
        <w:rPr>
          <w:sz w:val="20"/>
        </w:rPr>
        <w:t>veloping standardized incidence metrics via Mantel-Haenszel methods that informed targeted prevention programs</w:t>
      </w:r>
    </w:p>
    <w:p w:rsidR="00DB635D" w:rsidRDefault="00BB3592">
      <w:pPr>
        <w:pStyle w:val="ListBullet"/>
        <w:ind w:left="317"/>
      </w:pPr>
      <w:r>
        <w:rPr>
          <w:sz w:val="20"/>
        </w:rPr>
        <w:t>Supported the first TBI injury registry integrating EHR, claims, and survey data</w:t>
      </w:r>
    </w:p>
    <w:p w:rsidR="00DB635D" w:rsidRDefault="00BB3592">
      <w:pPr>
        <w:spacing w:before="120" w:after="20"/>
      </w:pPr>
      <w:r>
        <w:rPr>
          <w:b/>
        </w:rPr>
        <w:t xml:space="preserve">Lead Scientist </w:t>
      </w:r>
      <w:r>
        <w:rPr>
          <w:i/>
          <w:color w:val="52606D"/>
        </w:rPr>
        <w:t>— Booz Allen Hamilton</w:t>
      </w:r>
    </w:p>
    <w:p w:rsidR="00DB635D" w:rsidRDefault="00BB3592">
      <w:pPr>
        <w:spacing w:after="60"/>
      </w:pPr>
      <w:r>
        <w:rPr>
          <w:i/>
          <w:color w:val="52606D"/>
          <w:sz w:val="18"/>
        </w:rPr>
        <w:t>McLean, VA  |  Oct 2013 – O</w:t>
      </w:r>
      <w:r>
        <w:rPr>
          <w:i/>
          <w:color w:val="52606D"/>
          <w:sz w:val="18"/>
        </w:rPr>
        <w:t>ct 2014</w:t>
      </w:r>
    </w:p>
    <w:p w:rsidR="00DB635D" w:rsidRDefault="00BB3592">
      <w:pPr>
        <w:pStyle w:val="ListBullet"/>
        <w:ind w:left="317"/>
      </w:pPr>
      <w:r>
        <w:rPr>
          <w:sz w:val="20"/>
        </w:rPr>
        <w:t>Conducted a program evaluation of the Marine Corps Behavioral Health Program</w:t>
      </w:r>
    </w:p>
    <w:p w:rsidR="00DB635D" w:rsidRDefault="00BB3592">
      <w:pPr>
        <w:pStyle w:val="ListBullet"/>
        <w:ind w:left="317"/>
      </w:pPr>
      <w:r>
        <w:rPr>
          <w:sz w:val="20"/>
        </w:rPr>
        <w:t>Identified service-delivery requirements and quality standards, translating best practices from the National Quality Forum, NCQA, and HEDIS</w:t>
      </w:r>
    </w:p>
    <w:p w:rsidR="00DB635D" w:rsidRDefault="00BB3592">
      <w:pPr>
        <w:spacing w:before="120" w:after="20"/>
      </w:pPr>
      <w:r>
        <w:rPr>
          <w:b/>
        </w:rPr>
        <w:t xml:space="preserve">Health Science Researcher (Dual Appointment) </w:t>
      </w:r>
      <w:r>
        <w:rPr>
          <w:i/>
          <w:color w:val="52606D"/>
        </w:rPr>
        <w:t>— University of Pittsburgh &amp; AHRQ</w:t>
      </w:r>
    </w:p>
    <w:p w:rsidR="00DB635D" w:rsidRDefault="00BB3592">
      <w:pPr>
        <w:spacing w:after="60"/>
      </w:pPr>
      <w:r>
        <w:rPr>
          <w:i/>
          <w:color w:val="52606D"/>
          <w:sz w:val="18"/>
        </w:rPr>
        <w:t>Pittsburgh, PA  |  Sep 2009 – Nov 2011</w:t>
      </w:r>
    </w:p>
    <w:p w:rsidR="00DB635D" w:rsidRDefault="00BB3592">
      <w:pPr>
        <w:pStyle w:val="ListBullet"/>
        <w:ind w:left="317"/>
      </w:pPr>
      <w:r>
        <w:rPr>
          <w:sz w:val="20"/>
        </w:rPr>
        <w:t>Used time-series methods to measure state-level policy impact on dementia prevalence among 60K+ crash-hospitalized drivers (AHRQ State Inp</w:t>
      </w:r>
      <w:r>
        <w:rPr>
          <w:sz w:val="20"/>
        </w:rPr>
        <w:t>atient Databases), finding 37–38% lower dementia odds among older drivers in states with in-person license renewal laws</w:t>
      </w:r>
    </w:p>
    <w:p w:rsidR="00DB635D" w:rsidRDefault="00BB3592">
      <w:pPr>
        <w:pStyle w:val="ListBullet"/>
        <w:ind w:left="317"/>
      </w:pPr>
      <w:r>
        <w:rPr>
          <w:sz w:val="20"/>
        </w:rPr>
        <w:t>Developed multivariable negative binomial GEE, Poisson, and logistic regression models isolating policy effects from demographic/clinica</w:t>
      </w:r>
      <w:r>
        <w:rPr>
          <w:sz w:val="20"/>
        </w:rPr>
        <w:t>l confounders; findings informed state DMV policy reform and dementia-screening guidelines</w:t>
      </w:r>
    </w:p>
    <w:p w:rsidR="00DB635D" w:rsidRDefault="00BB3592">
      <w:pPr>
        <w:spacing w:before="120" w:after="20"/>
      </w:pPr>
      <w:r>
        <w:rPr>
          <w:b/>
        </w:rPr>
        <w:t xml:space="preserve">Public Health Fellow </w:t>
      </w:r>
      <w:r>
        <w:rPr>
          <w:i/>
          <w:color w:val="52606D"/>
        </w:rPr>
        <w:t>— U.S. Department of Transportation</w:t>
      </w:r>
    </w:p>
    <w:p w:rsidR="00DB635D" w:rsidRDefault="00BB3592">
      <w:pPr>
        <w:spacing w:after="60"/>
      </w:pPr>
      <w:r>
        <w:rPr>
          <w:i/>
          <w:color w:val="52606D"/>
          <w:sz w:val="18"/>
        </w:rPr>
        <w:t>Washington, DC  |  Dec 2007 – Sep 2009</w:t>
      </w:r>
    </w:p>
    <w:p w:rsidR="00DB635D" w:rsidRDefault="00BB3592">
      <w:pPr>
        <w:pStyle w:val="ListBullet"/>
        <w:ind w:left="317"/>
      </w:pPr>
      <w:r>
        <w:rPr>
          <w:sz w:val="20"/>
        </w:rPr>
        <w:t>Led a quasi-experimental evaluation linking state helmet laws to a 12</w:t>
      </w:r>
      <w:r>
        <w:rPr>
          <w:sz w:val="20"/>
        </w:rPr>
        <w:t>% reduction in brain-injury hospitalizations across 40 states</w:t>
      </w:r>
    </w:p>
    <w:p w:rsidR="00DB635D" w:rsidRDefault="00BB3592">
      <w:pPr>
        <w:pStyle w:val="ListBullet"/>
        <w:ind w:left="317"/>
      </w:pPr>
      <w:r>
        <w:rPr>
          <w:sz w:val="20"/>
        </w:rPr>
        <w:t>Led a national pediatric injury cost analysis (Kids' Inpatient Database) of 5,662+ youth motorcycle trauma cases, quantifying a 24% long-term disability risk and informing resource allocation</w:t>
      </w:r>
    </w:p>
    <w:p w:rsidR="00DB635D" w:rsidRDefault="00BB3592">
      <w:pPr>
        <w:pBdr>
          <w:bottom w:val="single" w:sz="6" w:space="1" w:color="1E3A5F"/>
        </w:pBdr>
        <w:spacing w:before="200" w:after="80"/>
      </w:pPr>
      <w:r>
        <w:rPr>
          <w:b/>
          <w:color w:val="1E3A5F"/>
          <w:sz w:val="23"/>
        </w:rPr>
        <w:lastRenderedPageBreak/>
        <w:t>ED</w:t>
      </w:r>
      <w:r>
        <w:rPr>
          <w:b/>
          <w:color w:val="1E3A5F"/>
          <w:sz w:val="23"/>
        </w:rPr>
        <w:t>UCATION</w:t>
      </w:r>
    </w:p>
    <w:p w:rsidR="00DB635D" w:rsidRDefault="00BB3592">
      <w:pPr>
        <w:spacing w:after="80"/>
      </w:pPr>
      <w:r>
        <w:t>Ph.D., Public Health — University of Pittsburgh, 2009–2012</w:t>
      </w:r>
      <w:r>
        <w:br/>
        <w:t>Dissertation: Role of State Licensing Policies &amp; Physician Reporting Laws on Older Driver Safety (negative binomial GEE, Poisson &amp; logistic regression modeling of injury hospitalizations, d</w:t>
      </w:r>
      <w:r>
        <w:t>eaths, and dementia among drivers)</w:t>
      </w:r>
    </w:p>
    <w:p w:rsidR="00DB635D" w:rsidRDefault="00BB3592">
      <w:pPr>
        <w:spacing w:after="80"/>
      </w:pPr>
      <w:r>
        <w:t>M.Sc., Epidemiology — University of Pittsburgh, 2009–2012</w:t>
      </w:r>
    </w:p>
    <w:p w:rsidR="00DB635D" w:rsidRDefault="00BB3592">
      <w:pPr>
        <w:spacing w:after="80"/>
      </w:pPr>
      <w:r>
        <w:t>MPH, Behavioral Sciences — University of Pittsburgh, 2005–2006</w:t>
      </w:r>
    </w:p>
    <w:p w:rsidR="00DB635D" w:rsidRDefault="00BB3592">
      <w:pPr>
        <w:spacing w:after="120"/>
      </w:pPr>
      <w:r>
        <w:t>B.A., Psychology (Research Track) — University of Prishtina, 2001–2004</w:t>
      </w:r>
    </w:p>
    <w:p w:rsidR="00DB635D" w:rsidRDefault="00BB3592">
      <w:pPr>
        <w:pBdr>
          <w:bottom w:val="single" w:sz="6" w:space="1" w:color="1E3A5F"/>
        </w:pBdr>
        <w:spacing w:before="200" w:after="80"/>
      </w:pPr>
      <w:r>
        <w:rPr>
          <w:b/>
          <w:color w:val="1E3A5F"/>
          <w:sz w:val="23"/>
        </w:rPr>
        <w:t xml:space="preserve">SELECTED PUBLICATIONS (14 </w:t>
      </w:r>
      <w:r>
        <w:rPr>
          <w:b/>
          <w:color w:val="1E3A5F"/>
          <w:sz w:val="23"/>
        </w:rPr>
        <w:t>PEER-REVIEWED; FULL LIST AT YLLAGIMI.COM/RESEARCH)</w:t>
      </w:r>
    </w:p>
    <w:p w:rsidR="00DB635D" w:rsidRDefault="00BB3592">
      <w:pPr>
        <w:pStyle w:val="ListBullet"/>
        <w:ind w:left="317"/>
      </w:pPr>
      <w:r>
        <w:rPr>
          <w:sz w:val="20"/>
        </w:rPr>
        <w:t>Agimi Y, et al. Clinical Trajectories of Comorbidity Associated With Military-Sustained Mild Traumatic Brain Injury. J Head Trauma Rehabil. 2024.</w:t>
      </w:r>
    </w:p>
    <w:p w:rsidR="00DB635D" w:rsidRDefault="00BB3592">
      <w:pPr>
        <w:pStyle w:val="ListBullet"/>
        <w:ind w:left="317"/>
      </w:pPr>
      <w:r>
        <w:rPr>
          <w:sz w:val="20"/>
        </w:rPr>
        <w:t>Hai T, Agimi Y, Stout K. Clusters of Conditions Among US Se</w:t>
      </w:r>
      <w:r>
        <w:rPr>
          <w:sz w:val="20"/>
        </w:rPr>
        <w:t>rvice Members Diagnosed with Mild TBI from 2017 through 2019. Front Neurol. 2022.</w:t>
      </w:r>
    </w:p>
    <w:p w:rsidR="00DB635D" w:rsidRDefault="00BB3592">
      <w:pPr>
        <w:pStyle w:val="ListBullet"/>
        <w:ind w:left="317"/>
      </w:pPr>
      <w:r>
        <w:rPr>
          <w:sz w:val="20"/>
        </w:rPr>
        <w:t>Agimi Y, Marion D, Schwab K, Stout K. Estimates of Long-Term Disability Among U.S. Service Members with Traumatic Brain Injuries. J Head Trauma Rehabil. 2019.</w:t>
      </w:r>
    </w:p>
    <w:p w:rsidR="00DB635D" w:rsidRDefault="00BB3592">
      <w:pPr>
        <w:pStyle w:val="ListBullet"/>
        <w:ind w:left="317"/>
      </w:pPr>
      <w:r>
        <w:rPr>
          <w:sz w:val="20"/>
        </w:rPr>
        <w:t>Agimi Y, Regasa</w:t>
      </w:r>
      <w:r>
        <w:rPr>
          <w:sz w:val="20"/>
        </w:rPr>
        <w:t xml:space="preserve"> LE, Stout KC. Incidence of Traumatic Brain Injury in the U.S. Military, 2010–2014. Mil Med. 2018.</w:t>
      </w:r>
    </w:p>
    <w:p w:rsidR="00DB635D" w:rsidRDefault="00BB3592">
      <w:pPr>
        <w:pStyle w:val="ListBullet"/>
        <w:ind w:left="317"/>
      </w:pPr>
      <w:r>
        <w:rPr>
          <w:sz w:val="20"/>
        </w:rPr>
        <w:t>Agimi Y, Regasa LE, Ivins B, Malik S, Helmick K, Marion D. Role of Department of Defense Policies in Identifying Traumatic Brain Injuries Among Deployed US S</w:t>
      </w:r>
      <w:r>
        <w:rPr>
          <w:sz w:val="20"/>
        </w:rPr>
        <w:t>ervice Members, 2001–2016. Am J Public Health. 2018.</w:t>
      </w:r>
    </w:p>
    <w:p w:rsidR="00DB635D" w:rsidRDefault="00BB3592">
      <w:pPr>
        <w:pStyle w:val="ListBullet"/>
        <w:ind w:left="317"/>
      </w:pPr>
      <w:r>
        <w:rPr>
          <w:sz w:val="20"/>
        </w:rPr>
        <w:t>Agimi Y, Albert S, Documet P, Youk A, Steiner C. Dementia and Motor Vehicle Crash Hospitalizations: Role of Physician Reporting Laws. Neurology. 2018.</w:t>
      </w:r>
    </w:p>
    <w:p w:rsidR="00DB635D" w:rsidRDefault="00BB3592">
      <w:pPr>
        <w:pStyle w:val="ListBullet"/>
        <w:ind w:left="317"/>
      </w:pPr>
      <w:r>
        <w:rPr>
          <w:sz w:val="20"/>
        </w:rPr>
        <w:t>Agimi Y, Albert S, Documet P, Youk A, Steiner C. Man</w:t>
      </w:r>
      <w:r>
        <w:rPr>
          <w:sz w:val="20"/>
        </w:rPr>
        <w:t>datory Physician Reporting of At-Risk Drivers: The Older Driver Example. The Gerontologist. 2017.</w:t>
      </w:r>
    </w:p>
    <w:p w:rsidR="00DB635D" w:rsidRDefault="00BB3592">
      <w:pPr>
        <w:pBdr>
          <w:bottom w:val="single" w:sz="6" w:space="1" w:color="1E3A5F"/>
        </w:pBdr>
        <w:spacing w:before="200" w:after="80"/>
      </w:pPr>
      <w:r>
        <w:rPr>
          <w:b/>
          <w:color w:val="1E3A5F"/>
          <w:sz w:val="23"/>
        </w:rPr>
        <w:t>AWARDS</w:t>
      </w:r>
    </w:p>
    <w:p w:rsidR="00DB635D" w:rsidRDefault="00BB3592">
      <w:pPr>
        <w:pStyle w:val="ListBullet"/>
        <w:ind w:left="317"/>
      </w:pPr>
      <w:r>
        <w:rPr>
          <w:sz w:val="20"/>
        </w:rPr>
        <w:t>Coin of Distinction — Director, Research and Development (J-9), Defense Health Agency</w:t>
      </w:r>
    </w:p>
    <w:p w:rsidR="00DB635D" w:rsidRDefault="00BB3592">
      <w:pPr>
        <w:pStyle w:val="ListBullet"/>
        <w:ind w:left="317"/>
      </w:pPr>
      <w:r>
        <w:rPr>
          <w:sz w:val="20"/>
        </w:rPr>
        <w:t>Special Achievement Award — Centers of Excellence for Traumatic B</w:t>
      </w:r>
      <w:r>
        <w:rPr>
          <w:sz w:val="20"/>
        </w:rPr>
        <w:t>rain Injury and Psychological Health</w:t>
      </w:r>
    </w:p>
    <w:p w:rsidR="00DB635D" w:rsidRDefault="00BB3592">
      <w:pPr>
        <w:pStyle w:val="ListBullet"/>
        <w:ind w:left="317"/>
      </w:pPr>
      <w:r>
        <w:rPr>
          <w:sz w:val="20"/>
        </w:rPr>
        <w:t>Certificate of Appreciation — Defense and Veterans Brain Injury Center (DVBIC)</w:t>
      </w:r>
    </w:p>
    <w:sectPr w:rsidR="00DB635D" w:rsidSect="00BB3592">
      <w:pgSz w:w="12240" w:h="15840"/>
      <w:pgMar w:top="90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54559F2"/>
    <w:multiLevelType w:val="hybridMultilevel"/>
    <w:tmpl w:val="C19E624E"/>
    <w:lvl w:ilvl="0" w:tplc="235287D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9F7"/>
    <w:rsid w:val="00AA1D8D"/>
    <w:rsid w:val="00B47730"/>
    <w:rsid w:val="00BB3592"/>
    <w:rsid w:val="00C915C0"/>
    <w:rsid w:val="00CB0664"/>
    <w:rsid w:val="00DB635D"/>
    <w:rsid w:val="00EC10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11131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5279F7"/>
    <w:pPr>
      <w:spacing w:after="0" w:line="240" w:lineRule="auto"/>
    </w:pPr>
    <w:rPr>
      <w:rFonts w:ascii="Consolas" w:eastAsiaTheme="minorHAnsi" w:hAnsi="Consolas"/>
      <w:color w:val="auto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279F7"/>
    <w:rPr>
      <w:rFonts w:ascii="Consolas" w:eastAsiaTheme="minorHAnsi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11131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5279F7"/>
    <w:pPr>
      <w:spacing w:after="0" w:line="240" w:lineRule="auto"/>
    </w:pPr>
    <w:rPr>
      <w:rFonts w:ascii="Consolas" w:eastAsiaTheme="minorHAnsi" w:hAnsi="Consolas"/>
      <w:color w:val="auto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279F7"/>
    <w:rPr>
      <w:rFonts w:ascii="Consolas" w:eastAsiaTheme="minorHAnsi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D064A8-771D-4080-9E80-DC3587F2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3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Yll Agimi</cp:lastModifiedBy>
  <cp:revision>3</cp:revision>
  <dcterms:created xsi:type="dcterms:W3CDTF">2013-12-23T23:15:00Z</dcterms:created>
  <dcterms:modified xsi:type="dcterms:W3CDTF">2026-07-15T12:04:00Z</dcterms:modified>
  <cp:category/>
</cp:coreProperties>
</file>