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3A5F"/>
          <w:sz w:val="40"/>
        </w:rPr>
        <w:t>Yll Agimi, PhD, MSc, MPH</w:t>
      </w:r>
    </w:p>
    <w:p>
      <w:pPr>
        <w:spacing w:after="80"/>
        <w:jc w:val="center"/>
      </w:pPr>
      <w:r>
        <w:rPr>
          <w:i/>
          <w:color w:val="52606D"/>
          <w:sz w:val="23"/>
        </w:rPr>
        <w:t>Health Data Scientist — Research Data Infrastructure, Causal Analysis &amp; Applied Science</w:t>
      </w:r>
    </w:p>
    <w:p>
      <w:pPr>
        <w:spacing w:after="160"/>
        <w:jc w:val="center"/>
        <w:pBdr>
          <w:bottom w:val="single" w:sz="6" w:space="1" w:color="1E3A5F"/>
        </w:pBdr>
      </w:pPr>
      <w:r>
        <w:rPr>
          <w:color w:val="52606D"/>
          <w:sz w:val="19"/>
        </w:rPr>
        <w:t>New York, NY (Hybrid) | yll.agimi@gmail.com | linkedin.com/in/yllagimi | www.yllagimi.com | github.com/yllagimi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SUMMARY</w:t>
      </w:r>
    </w:p>
    <w:p>
      <w:pPr>
        <w:spacing w:after="120"/>
      </w:pPr>
      <w:r>
        <w:rPr>
          <w:sz w:val="21"/>
        </w:rPr>
        <w:t>Health data scientist with 15+ years spanning data engineering, causal analysis, and applied research across large-scale, real-world healthcare data (EHR, claims, and patient registries). Hands-on experience building and maintaining the data infrastructure research depends on — standardizing raw clinical data streams into research-ready pipelines, building a centralized data warehouse, and leading the migration of an entire analytics stack from SAS to Python/R with automated testing. Equally comfortable running the causal and descriptive analyses that infrastructure enables: propensity-adjusted regression, cluster analysis, survival and multistate modeling, and quasi-experimental policy evaluation. Track record translating complex, messy data into findings clinicians, regulators, and executives can act on, and leading cross-functional teams — including a 10-engineer build — from raw data to production.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CORE EXPERTISE</w:t>
      </w:r>
    </w:p>
    <w:p>
      <w:pPr>
        <w:pStyle w:val="ListBullet"/>
        <w:spacing w:after="40"/>
        <w:ind w:left="317"/>
      </w:pPr>
      <w:r>
        <w:rPr>
          <w:sz w:val="20"/>
        </w:rPr>
        <w:t>Data Engineering &amp; Pipelines — 15+ years with SQL, Python (pandas, scikit-learn, PyTorch, NumPy), R (tidyr, lubridate, stringr, caret), and SAS; led a SAS-to-Python/R migration with automated testing (40% faster processing)</w:t>
      </w:r>
    </w:p>
    <w:p>
      <w:pPr>
        <w:pStyle w:val="ListBullet"/>
        <w:spacing w:after="40"/>
        <w:ind w:left="317"/>
      </w:pPr>
      <w:r>
        <w:rPr>
          <w:sz w:val="20"/>
        </w:rPr>
        <w:t>Research Data Infrastructure — built a centralized data warehouse (500% faster queries, expanded access for 5+ researchers); integrated EHR, claims, registry, and survey data streams; secured multi-institution Data Use Agreements</w:t>
      </w:r>
    </w:p>
    <w:p>
      <w:pPr>
        <w:pStyle w:val="ListBullet"/>
        <w:spacing w:after="40"/>
        <w:ind w:left="317"/>
      </w:pPr>
      <w:r>
        <w:rPr>
          <w:sz w:val="20"/>
        </w:rPr>
        <w:t>Causal &amp; Quasi-Experimental Analysis — propensity scoring, GEE, Poisson/logistic regression, Mantel-Haenszel standardization, survival &amp; multistate modeling</w:t>
      </w:r>
    </w:p>
    <w:p>
      <w:pPr>
        <w:pStyle w:val="ListBullet"/>
        <w:spacing w:after="40"/>
        <w:ind w:left="317"/>
      </w:pPr>
      <w:r>
        <w:rPr>
          <w:sz w:val="20"/>
        </w:rPr>
        <w:t>Cluster &amp; Segmentation Analysis — PCA and Hierarchical Cluster Analysis on 250K+ patient records</w:t>
      </w:r>
    </w:p>
    <w:p>
      <w:pPr>
        <w:pStyle w:val="ListBullet"/>
        <w:spacing w:after="40"/>
        <w:ind w:left="317"/>
      </w:pPr>
      <w:r>
        <w:rPr>
          <w:sz w:val="20"/>
        </w:rPr>
        <w:t>Code-Based Data Visualization — ggplot2, Plotly, Tableau</w:t>
      </w:r>
    </w:p>
    <w:p>
      <w:pPr>
        <w:pStyle w:val="ListBullet"/>
        <w:spacing w:after="40"/>
        <w:ind w:left="317"/>
      </w:pPr>
      <w:r>
        <w:rPr>
          <w:sz w:val="20"/>
        </w:rPr>
        <w:t>Cross-Functional Translation — presenting quantitative findings to clinicians, regulatory affairs, medical directors, and executive stakeholders</w:t>
      </w:r>
    </w:p>
    <w:p>
      <w:pPr>
        <w:pStyle w:val="ListBullet"/>
        <w:spacing w:after="40"/>
        <w:ind w:left="317"/>
      </w:pPr>
      <w:r>
        <w:rPr>
          <w:sz w:val="20"/>
        </w:rPr>
        <w:t>Claims, EHR/EMR, and Patient Registry Analysis (ICD, HCPCS, SNOMED); HIPAA- and IRB-compliant data handling</w:t>
      </w:r>
    </w:p>
    <w:p>
      <w:pPr>
        <w:pStyle w:val="ListBullet"/>
        <w:spacing w:after="40"/>
        <w:ind w:left="317"/>
      </w:pPr>
      <w:r>
        <w:rPr>
          <w:sz w:val="20"/>
        </w:rPr>
        <w:t>Gen AI integration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PROFESSIONAL EXPERIENCE</w:t>
      </w:r>
    </w:p>
    <w:p>
      <w:pPr>
        <w:spacing w:before="120" w:after="20"/>
      </w:pPr>
      <w:r>
        <w:rPr>
          <w:b/>
          <w:sz w:val="21"/>
        </w:rPr>
        <w:t xml:space="preserve">Senior Health Data Scientist | Presidential Innovation Fellow </w:t>
      </w:r>
      <w:r>
        <w:rPr>
          <w:i/>
          <w:color w:val="52606D"/>
          <w:sz w:val="21"/>
        </w:rPr>
        <w:t>— Military Health System</w:t>
      </w:r>
    </w:p>
    <w:p>
      <w:pPr>
        <w:spacing w:after="60"/>
      </w:pPr>
      <w:r>
        <w:rPr>
          <w:i/>
          <w:color w:val="52606D"/>
          <w:sz w:val="18"/>
        </w:rPr>
        <w:t>New York, NY  |  Apr 2023 – May 2025</w:t>
      </w:r>
    </w:p>
    <w:p>
      <w:pPr>
        <w:pStyle w:val="ListBullet"/>
        <w:spacing w:after="40"/>
        <w:ind w:left="317"/>
      </w:pPr>
      <w:r>
        <w:rPr>
          <w:sz w:val="20"/>
        </w:rPr>
        <w:t>Directed a 10-engineer team building a real-time executive health-services dashboard for the nation's 2nd-largest health system, accelerating deployment by 50% and expanding scope to track MHS workforce data</w:t>
      </w:r>
    </w:p>
    <w:p>
      <w:pPr>
        <w:pStyle w:val="ListBullet"/>
        <w:spacing w:after="40"/>
        <w:ind w:left="317"/>
      </w:pPr>
      <w:r>
        <w:rPr>
          <w:sz w:val="20"/>
        </w:rPr>
        <w:t>Applied PCA and Hierarchical Cluster Analysis across 250K+ TBI patient records to surface behavioral clusters and time-dependent treatment patterns</w:t>
      </w:r>
    </w:p>
    <w:p>
      <w:pPr>
        <w:pStyle w:val="ListBullet"/>
        <w:spacing w:after="40"/>
        <w:ind w:left="317"/>
      </w:pPr>
      <w:r>
        <w:rPr>
          <w:sz w:val="20"/>
        </w:rPr>
        <w:t>Pioneered NLP analysis of position descriptions to classify the MHS medical workforce, resulting in new data fields added to the HR data system</w:t>
      </w:r>
    </w:p>
    <w:p>
      <w:pPr>
        <w:pStyle w:val="ListBullet"/>
        <w:spacing w:after="40"/>
        <w:ind w:left="317"/>
      </w:pPr>
      <w:r>
        <w:rPr>
          <w:sz w:val="20"/>
        </w:rPr>
        <w:t>Developing multistate statistical models of behavioral health care utilization across 51 hospitals and 424 clinics in direct and network care</w:t>
      </w:r>
    </w:p>
    <w:p>
      <w:pPr>
        <w:pStyle w:val="ListBullet"/>
        <w:spacing w:after="40"/>
        <w:ind w:left="317"/>
      </w:pPr>
      <w:r>
        <w:rPr>
          <w:sz w:val="20"/>
        </w:rPr>
        <w:t>Partner daily with statistical programmers, data managers, medical writers, and regulatory affairs to design and analyze studies</w:t>
      </w:r>
    </w:p>
    <w:p>
      <w:pPr>
        <w:spacing w:before="120" w:after="20"/>
      </w:pPr>
      <w:r>
        <w:rPr>
          <w:b/>
          <w:sz w:val="21"/>
        </w:rPr>
        <w:t xml:space="preserve">Senior Data Scientist </w:t>
      </w:r>
      <w:r>
        <w:rPr>
          <w:i/>
          <w:color w:val="52606D"/>
          <w:sz w:val="21"/>
        </w:rPr>
        <w:t>— General Dynamics Information Technology</w:t>
      </w:r>
    </w:p>
    <w:p>
      <w:pPr>
        <w:spacing w:after="60"/>
      </w:pPr>
      <w:r>
        <w:rPr>
          <w:i/>
          <w:color w:val="52606D"/>
          <w:sz w:val="18"/>
        </w:rPr>
        <w:t>Silver Spring, MD  |  Apr 2019 – Mar 2023</w:t>
      </w:r>
    </w:p>
    <w:p>
      <w:pPr>
        <w:pStyle w:val="ListBullet"/>
        <w:spacing w:after="40"/>
        <w:ind w:left="317"/>
      </w:pPr>
      <w:r>
        <w:rPr>
          <w:sz w:val="20"/>
        </w:rPr>
        <w:t>Worked with administrative, claims, workload, and EHR data on 11.2M service members for population health studies</w:t>
      </w:r>
    </w:p>
    <w:p>
      <w:pPr>
        <w:pStyle w:val="ListBullet"/>
        <w:spacing w:after="40"/>
        <w:ind w:left="317"/>
      </w:pPr>
      <w:r>
        <w:rPr>
          <w:sz w:val="20"/>
        </w:rPr>
        <w:t>Analyzed 41 comorbid conditions via clustering (Python/R) in a TBI follow-up care study, identifying unnecessary benzodiazepine prescribing</w:t>
      </w:r>
    </w:p>
    <w:p>
      <w:pPr>
        <w:pStyle w:val="ListBullet"/>
        <w:spacing w:after="40"/>
        <w:ind w:left="317"/>
      </w:pPr>
      <w:r>
        <w:rPr>
          <w:sz w:val="20"/>
        </w:rPr>
        <w:t>Used time-series data to identify injury follow-up care patterns, establishing an MHS-wide clinical operations metric for brain-injured patients</w:t>
      </w:r>
    </w:p>
    <w:p>
      <w:pPr>
        <w:pStyle w:val="ListBullet"/>
        <w:spacing w:after="40"/>
        <w:ind w:left="317"/>
      </w:pPr>
      <w:r>
        <w:rPr>
          <w:sz w:val="20"/>
        </w:rPr>
        <w:t>Built Tableau dashboards and delivered statistical analyses for clinical studies; trained clinical staff on data-driven decision-making and analytics best practices</w:t>
      </w:r>
    </w:p>
    <w:p>
      <w:pPr>
        <w:spacing w:before="120" w:after="20"/>
      </w:pPr>
      <w:r>
        <w:rPr>
          <w:b/>
          <w:sz w:val="21"/>
        </w:rPr>
        <w:t xml:space="preserve">Senior Data Scientist </w:t>
      </w:r>
      <w:r>
        <w:rPr>
          <w:i/>
          <w:color w:val="52606D"/>
          <w:sz w:val="21"/>
        </w:rPr>
        <w:t>— GovCIO</w:t>
      </w:r>
    </w:p>
    <w:p>
      <w:pPr>
        <w:spacing w:after="60"/>
      </w:pPr>
      <w:r>
        <w:rPr>
          <w:i/>
          <w:color w:val="52606D"/>
          <w:sz w:val="18"/>
        </w:rPr>
        <w:t>Silver Spring, MD  |  Oct 2014 – Mar 2019</w:t>
      </w:r>
    </w:p>
    <w:p>
      <w:pPr>
        <w:pStyle w:val="ListBullet"/>
        <w:spacing w:after="40"/>
        <w:ind w:left="317"/>
      </w:pPr>
      <w:r>
        <w:rPr>
          <w:sz w:val="20"/>
        </w:rPr>
        <w:t>Supported the first TBI injury registry, integrating EHR, claims, and survey data into a unified research dataset</w:t>
      </w:r>
    </w:p>
    <w:p>
      <w:pPr>
        <w:pStyle w:val="ListBullet"/>
        <w:spacing w:after="40"/>
        <w:ind w:left="317"/>
      </w:pPr>
      <w:r>
        <w:rPr>
          <w:sz w:val="20"/>
        </w:rPr>
        <w:t>Led migration of the analytics stack from SAS to Python/R, introducing automated testing and reducing processing time by 40%</w:t>
      </w:r>
    </w:p>
    <w:p>
      <w:pPr>
        <w:pStyle w:val="ListBullet"/>
        <w:spacing w:after="40"/>
        <w:ind w:left="317"/>
      </w:pPr>
      <w:r>
        <w:rPr>
          <w:sz w:val="20"/>
        </w:rPr>
        <w:t>Adapted a civilian disability-registry method (SCTBIFR) into an ML risk model for 5,000 injured service members, identifying high-risk subgroups for targeted resource allocation</w:t>
      </w:r>
    </w:p>
    <w:p>
      <w:pPr>
        <w:pStyle w:val="ListBullet"/>
        <w:spacing w:after="40"/>
        <w:ind w:left="317"/>
      </w:pPr>
      <w:r>
        <w:rPr>
          <w:sz w:val="20"/>
        </w:rPr>
        <w:t>Conducted a population-level TBI incidence study across 1.9M person-years of surveillance data, building standardized incidence metrics via Mantel-Haenszel methods</w:t>
      </w:r>
    </w:p>
    <w:p>
      <w:pPr>
        <w:spacing w:before="120" w:after="20"/>
      </w:pPr>
      <w:r>
        <w:rPr>
          <w:b/>
          <w:sz w:val="21"/>
        </w:rPr>
        <w:t xml:space="preserve">Senior Health Data Analyst </w:t>
      </w:r>
      <w:r>
        <w:rPr>
          <w:i/>
          <w:color w:val="52606D"/>
          <w:sz w:val="21"/>
        </w:rPr>
        <w:t>— Altarum Institute</w:t>
      </w:r>
    </w:p>
    <w:p>
      <w:pPr>
        <w:spacing w:after="60"/>
      </w:pPr>
      <w:r>
        <w:rPr>
          <w:i/>
          <w:color w:val="52606D"/>
          <w:sz w:val="18"/>
        </w:rPr>
        <w:t>Alexandria, VA  |  Nov 2011 – Oct 2013</w:t>
      </w:r>
    </w:p>
    <w:p>
      <w:pPr>
        <w:pStyle w:val="ListBullet"/>
        <w:spacing w:after="40"/>
        <w:ind w:left="317"/>
      </w:pPr>
      <w:r>
        <w:rPr>
          <w:sz w:val="20"/>
        </w:rPr>
        <w:t>Standardized 10+ data streams (ICD-9, AHRQ CCS) into a unified EHR-based analytics pipeline for MHS TBI trend analysis</w:t>
      </w:r>
    </w:p>
    <w:p>
      <w:pPr>
        <w:pStyle w:val="ListBullet"/>
        <w:spacing w:after="40"/>
        <w:ind w:left="317"/>
      </w:pPr>
      <w:r>
        <w:rPr>
          <w:sz w:val="20"/>
        </w:rPr>
        <w:t>Built a centralized data warehouse, expanding data accessibility for 5+ researchers and reducing query time by 500%</w:t>
      </w:r>
    </w:p>
    <w:p>
      <w:pPr>
        <w:pStyle w:val="ListBullet"/>
        <w:spacing w:after="40"/>
        <w:ind w:left="317"/>
      </w:pPr>
      <w:r>
        <w:rPr>
          <w:sz w:val="20"/>
        </w:rPr>
        <w:t>Served as lead biostatistics SME, securing Data Use Agreements (DUAs) for 6+ military health databases (MDR, TMDS, etc.)</w:t>
      </w:r>
    </w:p>
    <w:p>
      <w:pPr>
        <w:spacing w:before="120" w:after="20"/>
      </w:pPr>
      <w:r>
        <w:rPr>
          <w:b/>
          <w:sz w:val="21"/>
        </w:rPr>
        <w:t xml:space="preserve">Health Science Researcher (Dual Appointment) </w:t>
      </w:r>
      <w:r>
        <w:rPr>
          <w:i/>
          <w:color w:val="52606D"/>
          <w:sz w:val="21"/>
        </w:rPr>
        <w:t>— University of Pittsburgh &amp; AHRQ</w:t>
      </w:r>
    </w:p>
    <w:p>
      <w:pPr>
        <w:spacing w:after="60"/>
      </w:pPr>
      <w:r>
        <w:rPr>
          <w:i/>
          <w:color w:val="52606D"/>
          <w:sz w:val="18"/>
        </w:rPr>
        <w:t>Pittsburgh, PA  |  Sep 2009 – Nov 2011</w:t>
      </w:r>
    </w:p>
    <w:p>
      <w:pPr>
        <w:pStyle w:val="ListBullet"/>
        <w:spacing w:after="40"/>
        <w:ind w:left="317"/>
      </w:pPr>
      <w:r>
        <w:rPr>
          <w:sz w:val="20"/>
        </w:rPr>
        <w:t>Directed a multi-site medication adherence study for low-income seniors, implementing AHFS drug coding and IRB-compliant data pipelines</w:t>
      </w:r>
    </w:p>
    <w:p>
      <w:pPr>
        <w:pStyle w:val="ListBullet"/>
        <w:spacing w:after="40"/>
        <w:ind w:left="317"/>
      </w:pPr>
      <w:r>
        <w:rPr>
          <w:sz w:val="20"/>
        </w:rPr>
        <w:t>Built multivariable negative binomial GEE, Poisson, and logistic regression models using AHRQ State Inpatient Databases to isolate policy effects on dementia prevalence among 60K+ crash-hospitalized drivers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EDUCATION</w:t>
      </w:r>
    </w:p>
    <w:p>
      <w:pPr>
        <w:spacing w:after="80"/>
      </w:pPr>
      <w:r>
        <w:rPr>
          <w:sz w:val="21"/>
        </w:rPr>
        <w:t>Ph.D., Public Health — University of Pittsburgh, 2009–2012 (quantitative dissertation: GEE, Poisson &amp; logistic regression modeling of injury and mortality outcomes)</w:t>
      </w:r>
    </w:p>
    <w:p>
      <w:pPr>
        <w:spacing w:after="80"/>
      </w:pPr>
      <w:r>
        <w:rPr>
          <w:sz w:val="21"/>
        </w:rPr>
        <w:t>M.Sc., Epidemiology — University of Pittsburgh, 2009–2012</w:t>
      </w:r>
    </w:p>
    <w:p>
      <w:pPr>
        <w:spacing w:after="80"/>
      </w:pPr>
      <w:r>
        <w:rPr>
          <w:sz w:val="21"/>
        </w:rPr>
        <w:t>MPH, Behavioral Sciences — University of Pittsburgh, 2005–2006</w:t>
      </w:r>
    </w:p>
    <w:p>
      <w:pPr>
        <w:spacing w:after="120"/>
      </w:pPr>
      <w:r>
        <w:rPr>
          <w:sz w:val="21"/>
        </w:rPr>
        <w:t>B.A., Psychology (Research Track) — University of Prishtina, 2001–2004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SELECTED PUBLICATIONS (14 PEER-REVIEWED; FULL LIST AT YLLAGIMI.COM/RESEARCH)</w:t>
      </w:r>
    </w:p>
    <w:p>
      <w:pPr>
        <w:pStyle w:val="ListBullet"/>
        <w:spacing w:after="40"/>
        <w:ind w:left="317"/>
      </w:pPr>
      <w:r>
        <w:rPr>
          <w:sz w:val="20"/>
        </w:rPr>
        <w:t>Earyes L, Agimi Y, Stout K. Benzodiazepine Prescription Patterns After Mild Traumatic Brain Injury in U.S. Military Service Members. Mil Med. 2024.</w:t>
      </w:r>
    </w:p>
    <w:p>
      <w:pPr>
        <w:pStyle w:val="ListBullet"/>
        <w:spacing w:after="40"/>
        <w:ind w:left="317"/>
      </w:pPr>
      <w:r>
        <w:rPr>
          <w:sz w:val="20"/>
        </w:rPr>
        <w:t>Hai T, Agimi Y, Stout K. Prevalence of Comorbidities in Active and Reserve Service Members Pre and Post Traumatic Brain Injury, 2017–2019. Mil Med. 2023.</w:t>
      </w:r>
    </w:p>
    <w:p>
      <w:pPr>
        <w:pStyle w:val="ListBullet"/>
        <w:spacing w:after="40"/>
        <w:ind w:left="317"/>
      </w:pPr>
      <w:r>
        <w:rPr>
          <w:sz w:val="20"/>
        </w:rPr>
        <w:t>Le TD, et al. Trends in Traumatic Brain Injury Among U.S. Service Members Deployed in Iraq and Afghanistan, 2002–2016. Am J Prev Med. 2023.</w:t>
      </w:r>
    </w:p>
    <w:p>
      <w:pPr>
        <w:pStyle w:val="ListBullet"/>
        <w:spacing w:after="40"/>
        <w:ind w:left="317"/>
      </w:pPr>
      <w:r>
        <w:rPr>
          <w:sz w:val="20"/>
        </w:rPr>
        <w:t>Agimi Y, Earyes L, Deressa T, Stout K. Estimating Repeat Traumatic Brain Injury in the U.S. Military, 2015–2017. Mil Med. 2022.</w:t>
      </w:r>
    </w:p>
    <w:p>
      <w:pPr>
        <w:pStyle w:val="ListBullet"/>
        <w:spacing w:after="40"/>
        <w:ind w:left="317"/>
      </w:pPr>
      <w:r>
        <w:rPr>
          <w:sz w:val="20"/>
        </w:rPr>
        <w:t>Agimi Y, Marion D, Schwab K, Stout K. Estimates of Long-Term Disability Among U.S. Service Members with Traumatic Brain Injuries. J Head Trauma Rehabil. 2019.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PERSONAL PROJECTS</w:t>
      </w:r>
    </w:p>
    <w:p>
      <w:pPr>
        <w:pStyle w:val="ListBullet"/>
        <w:spacing w:after="40"/>
        <w:ind w:left="317"/>
      </w:pPr>
      <w:r>
        <w:rPr>
          <w:sz w:val="20"/>
        </w:rPr>
        <w:t>TeleNovela — led design of a real-time messaging solution using ML (TensorFlow, Keras, OpenCV); winner, Universidad Adolfo Ibáñez Prototypes Challenge</w:t>
      </w:r>
    </w:p>
    <w:p>
      <w:pPr>
        <w:pStyle w:val="ListBullet"/>
        <w:spacing w:after="40"/>
        <w:ind w:left="317"/>
      </w:pPr>
      <w:r>
        <w:rPr>
          <w:sz w:val="20"/>
        </w:rPr>
        <w:t>Chronic Disease &amp; Healthcare Cost Predictor — developed a disability-risk predictor using BRFSS data</w:t>
      </w:r>
    </w:p>
    <w:p>
      <w:pPr>
        <w:spacing w:before="200" w:after="80"/>
        <w:pBdr>
          <w:bottom w:val="single" w:sz="6" w:space="1" w:color="1E3A5F"/>
        </w:pBdr>
      </w:pPr>
      <w:r>
        <w:rPr>
          <w:b/>
          <w:color w:val="1E3A5F"/>
          <w:sz w:val="23"/>
        </w:rPr>
        <w:t>AWARDS</w:t>
      </w:r>
    </w:p>
    <w:p>
      <w:pPr>
        <w:pStyle w:val="ListBullet"/>
        <w:spacing w:after="40"/>
        <w:ind w:left="317"/>
      </w:pPr>
      <w:r>
        <w:rPr>
          <w:sz w:val="20"/>
        </w:rPr>
        <w:t>Coin of Distinction — Director, Research and Development (J-9), Defense Health Agency</w:t>
      </w:r>
    </w:p>
    <w:p>
      <w:pPr>
        <w:pStyle w:val="ListBullet"/>
        <w:spacing w:after="40"/>
        <w:ind w:left="317"/>
      </w:pPr>
      <w:r>
        <w:rPr>
          <w:sz w:val="20"/>
        </w:rPr>
        <w:t>Special Achievement Award — Centers of Excellence for Traumatic Brain Injury and Psychological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113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