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TAFP-GraphRAG: An Empirical Topology-Aware Framework for Protecting Sensitive Relations in Graph Retrieval-Augmented Generation</w:t>
      </w:r>
    </w:p>
    <w:p>
      <w:pPr>
        <w:jc w:val="center"/>
      </w:pPr>
      <w:r>
        <w:rPr>
          <w:rFonts w:ascii="Times New Roman" w:hAnsi="Times New Roman"/>
          <w:b/>
          <w:sz w:val="22"/>
        </w:rPr>
        <w:t>Yılmaz Vural</w:t>
      </w:r>
    </w:p>
    <w:p>
      <w:pPr>
        <w:jc w:val="center"/>
      </w:pPr>
      <w:r>
        <w:rPr>
          <w:rFonts w:ascii="Times New Roman" w:hAnsi="Times New Roman"/>
          <w:b w:val="0"/>
          <w:sz w:val="22"/>
        </w:rPr>
        <w:t>College of Technology and Engineering, Westcliff University, Irvine, CA 92612, USA</w:t>
      </w:r>
    </w:p>
    <w:p>
      <w:pPr>
        <w:jc w:val="center"/>
      </w:pPr>
      <w:r>
        <w:rPr>
          <w:rFonts w:ascii="Times New Roman" w:hAnsi="Times New Roman"/>
          <w:b w:val="0"/>
          <w:sz w:val="22"/>
        </w:rPr>
        <w:t>Correspondence: yilmazvural@westcliff.edu</w:t>
      </w:r>
    </w:p>
    <w:p>
      <w:pPr>
        <w:pStyle w:val="Heading1"/>
      </w:pPr>
      <w:r>
        <w:t>Abstract</w:t>
      </w:r>
    </w:p>
    <w:p>
      <w:r>
        <w:rPr>
          <w:rFonts w:ascii="Times New Roman" w:hAnsi="Times New Roman" w:eastAsia="Times New Roman"/>
          <w:sz w:val="22"/>
        </w:rPr>
        <w:t>Graph Retrieval-Augmented Generation (GraphRAG) supports multi-hop evidence retrieval, but relation labels and graph structure can expose policy-restricted associations despite node masking. We introduce Topology-Aware Fine-grained Protection for GraphRAG (TAFP-GraphRAG), an offline, policy-conditioned framework that combines selective entity pseudonymization, concealment of designated sensitive-relation labels, constrained edge rewiring, exact per-node degree preservation in designated variants, and auditable execution. Across five dataset-derived graphs, the full configuration concealed 0.99993–1.00000 of designated sensitive relation labels while retaining 0.89935–0.92193 of non-sensitive relation semantics; every designated degree-preserving condition retained exact node degrees. Under a locked end-to-end relation-question-answering protocol, TAFP-GraphRAG retained 93.8% of baseline non-sensitive relation-token F1 and reduced sensitive-relation disclosure by 92.2%. It also achieved higher non-sensitive F1 and lower disclosure than both evaluated sensitivity-blind controls overall and in every dataset. Attack outcomes were dataset- and attacker-dependent: matched random perturbation remained competitive in several inference settings, original-edge existence could remain inferable, and the default protected marker did not conceal policy membership. TAFP-GraphRAG therefore provides a reproducible empirical mechanism for selective relation-semantic protection under the evaluated protocols, not a formal or universal privacy guarantee.</w:t>
      </w:r>
    </w:p>
    <w:p>
      <w:r>
        <w:rPr>
          <w:rFonts w:ascii="Times New Roman" w:hAnsi="Times New Roman"/>
          <w:b/>
          <w:sz w:val="22"/>
        </w:rPr>
        <w:t xml:space="preserve">Keywords: </w:t>
      </w:r>
      <w:r>
        <w:rPr>
          <w:rFonts w:ascii="Times New Roman" w:hAnsi="Times New Roman" w:eastAsia="Times New Roman"/>
          <w:sz w:val="22"/>
        </w:rPr>
        <w:t>Graph retrieval-augmented generation; Sensitive-relation protection; Graph perturbation; Relation-inference attacks; Privacy–utility evaluation; Auditable graph transformation</w:t>
      </w:r>
    </w:p>
    <w:p>
      <w:pPr>
        <w:pStyle w:val="Heading1"/>
      </w:pPr>
      <w:r>
        <w:t>1. Introduction</w:t>
      </w:r>
    </w:p>
    <w:p>
      <w:r>
        <w:rPr>
          <w:rFonts w:ascii="Times New Roman" w:hAnsi="Times New Roman" w:eastAsia="Times New Roman"/>
          <w:sz w:val="22"/>
        </w:rPr>
        <w:t>Retrieval-Augmented Generation (RAG) improves the factual grounding of large language models by drawing on external evidence at inference time. Graph Retrieval-Augmented Generation (GraphRAG) extends this approach by representing documents, entities, concepts, and their relations as connected graphs. These structures support neighborhood retrieval, multi-hop traversal, and relation-aware context construction (Hu et al., 2025a; Kim et al., 2026; Li et al., 2025; Osipjan et al., 2025; Peng et al., 2026; Wang et al., 2024; Wu et al., 2025; Yu et al., 2026). They also introduce a distinct information-security challenge. Sensitive information may reside not only in node attributes or source text, but also in relation labels, edge patterns, and local topology (Fu et al., 2025; He et al., 2021; Hu et al., 2024; Hu et al., 2025b; Qiu et al., 2023; Yuan et al., 2024; Zhang et al., 2022; Zhu et al., 2026).</w:t>
      </w:r>
    </w:p>
    <w:p>
      <w:r>
        <w:rPr>
          <w:rFonts w:ascii="Times New Roman" w:hAnsi="Times New Roman" w:eastAsia="Times New Roman"/>
          <w:sz w:val="22"/>
        </w:rPr>
        <w:t>Conventional de-identification methods mainly remove or pseudonymize explicit identifiers. In graph-based systems, however, masking node identities does not necessarily conceal the associations between them. Relations such as diagnosis, treatment, employment, affiliation, transaction, or communication may remain visible after entity pseudonymization. Concealing original relation labels may still be insufficient: neighboring relation distributions, endpoint types, path structures, and other released local features can support relation inference (Fu et al., 2025; He et al., 2021; Li et al., 2023; Yuan et al., 2024; Zhang et al., 2022; Zhang et al., 2023). Sensitive associations may therefore remain inferable through explicit relation semantics, original-edge evidence, topology-based inference, learned graph representations, or relational context supplied to a language model (Annamalai et al., 2024; Choi et al., 2025; He et al., 2025; Hu et al., 2022; Jia et al., 2026; Ning et al., 2026; Xiang et al., 2025; Zeng et al., 2025).</w:t>
      </w:r>
    </w:p>
    <w:p>
      <w:r>
        <w:rPr>
          <w:rFonts w:ascii="Times New Roman" w:hAnsi="Times New Roman" w:eastAsia="Times New Roman"/>
          <w:sz w:val="22"/>
        </w:rPr>
        <w:t>Graph-privacy research provides important foundations, including node anonymization, edge deletion, randomized response, differential privacy, degree-preserving rewiring, synthetic graph generation, and attack-based auditing (Annamalai et al., 2024; Casas-Roma, 2020; Chien et al., 2023; Hidano and Murakami, 2024; Hu et al., 2022; Jian et al., 2023; Li et al., 2023; Mannion et al., 2024; Mendonça et al., 2025; Mortazavi and Erfani, 2020; Mueller et al., 2023; Xiang and Ma, 2022; Xiang et al., 2025; Yang et al., 2021; Zhang et al., 2023). Many transformations, however, do not distinguish relations that require protection from relations that may remain available for retrieval. Uniform deletion or rewiring can reduce exposure while also removing useful non-sensitive evidence. Conversely, preserving aggregate graph statistics or node degrees does not by itself provide semantic selectivity. Previous work has examined anonymous-entity retrieval, privacy-aware graph prompting, graph-structure attacks, and privacy-preserving graph perturbation as separate problems. In the reviewed literature, we identified no GraphRAG framework that jointly integrates sensitivity-aware transformation of relation semantics, exact per-node degree preservation, auditable transformation records, and attack-specific privacy–utility evaluation.</w:t>
      </w:r>
    </w:p>
    <w:p>
      <w:r>
        <w:rPr>
          <w:rFonts w:ascii="Times New Roman" w:hAnsi="Times New Roman" w:eastAsia="Times New Roman"/>
          <w:sz w:val="22"/>
        </w:rPr>
        <w:t>We propose Topology-Aware Fine-grained Protection for GraphRAG (TAFP-GraphRAG), an offline transformation framework applied before indexing and retrieval. An explicit policy identifies sensitive relations. The framework then pseudonymizes policy-selected entities, conceals the original labels of designated sensitive relations, and rewires selected edges under predefined constraints. In designated degree-preserving variants, every node retains its original degree exactly. Reproducible seeds, transformation summaries, integrity checks, runtime records, exact runner identities, and hash-verified evidence manifests support auditable execution.</w:t>
      </w:r>
    </w:p>
    <w:p>
      <w:r>
        <w:rPr>
          <w:rFonts w:ascii="Times New Roman" w:hAnsi="Times New Roman" w:eastAsia="Times New Roman"/>
          <w:sz w:val="22"/>
        </w:rPr>
        <w:t>TAFP-GraphRAG is designed around semantic selectivity rather than undifferentiated perturbation. Protection is directed toward policy-designated relations, while non-sensitive relation semantics are retained whenever the policy permits. Indexing and retrieval operate on the protected graph, and the generator receives protected graph-derived context. Audit records remain with the graph owner and are excluded from the released adversarial view.</w:t>
      </w:r>
    </w:p>
    <w:p>
      <w:r>
        <w:rPr>
          <w:rFonts w:ascii="Times New Roman" w:hAnsi="Times New Roman" w:eastAsia="Times New Roman"/>
          <w:sz w:val="22"/>
        </w:rPr>
        <w:t>The study evaluates whether policy-guided transformation can conceal designated relation semantics while retaining non-sensitive relational utility under explicit attack surfaces and structural constraints. Five dataset-derived graphs are evaluated through a control hierarchy that separates sensitivity guidance from perturbation volume and structural preservation. The protocols cover semantic selectivity, structural invariants, original-edge inference, structure-only and embedding-based relation inference, release-marker leakage, policy misclassification, retrieval-grounded structural utility, and end-to-end relation-question answering. Paired multi-seed comparisons, exact executable sources, and hash-verified evidence records support reproducibility.</w:t>
      </w:r>
    </w:p>
    <w:p>
      <w:r>
        <w:rPr>
          <w:rFonts w:ascii="Times New Roman" w:hAnsi="Times New Roman" w:eastAsia="Times New Roman"/>
          <w:sz w:val="22"/>
        </w:rPr>
        <w:t>This study makes four contributions:</w:t>
      </w:r>
    </w:p>
    <w:p>
      <w:pPr>
        <w:ind w:left="317" w:hanging="317"/>
      </w:pPr>
      <w:r>
        <w:rPr>
          <w:rFonts w:ascii="Times New Roman" w:hAnsi="Times New Roman"/>
          <w:b w:val="0"/>
          <w:sz w:val="22"/>
        </w:rPr>
        <w:t xml:space="preserve">1. </w:t>
      </w:r>
      <w:r>
        <w:rPr>
          <w:rFonts w:ascii="Times New Roman" w:hAnsi="Times New Roman" w:eastAsia="Times New Roman"/>
          <w:b/>
          <w:sz w:val="22"/>
        </w:rPr>
        <w:t>Policy-conditioned selective relation protection.</w:t>
      </w:r>
      <w:r>
        <w:rPr>
          <w:rFonts w:ascii="Times New Roman" w:hAnsi="Times New Roman" w:eastAsia="Times New Roman"/>
          <w:sz w:val="22"/>
        </w:rPr>
        <w:t xml:space="preserve"> We introduce a GraphRAG preprocessing framework that combines selective entity pseudonymization, concealment of designated sensitive-relation labels, and constrained edge rewiring. The transformation allocates protection according to an explicit sensitivity policy rather than perturbing relation semantics uniformly.</w:t>
      </w:r>
    </w:p>
    <w:p>
      <w:pPr>
        <w:ind w:left="317" w:hanging="317"/>
      </w:pPr>
      <w:r>
        <w:rPr>
          <w:rFonts w:ascii="Times New Roman" w:hAnsi="Times New Roman"/>
          <w:b w:val="0"/>
          <w:sz w:val="22"/>
        </w:rPr>
        <w:t xml:space="preserve">2. </w:t>
      </w:r>
      <w:r>
        <w:rPr>
          <w:rFonts w:ascii="Times New Roman" w:hAnsi="Times New Roman" w:eastAsia="Times New Roman"/>
          <w:b/>
          <w:sz w:val="22"/>
        </w:rPr>
        <w:t>Verified structural invariants and auditable execution.</w:t>
      </w:r>
      <w:r>
        <w:rPr>
          <w:rFonts w:ascii="Times New Roman" w:hAnsi="Times New Roman" w:eastAsia="Times New Roman"/>
          <w:sz w:val="22"/>
        </w:rPr>
        <w:t xml:space="preserve"> We establish exact per-node degree preservation in every designated degree-preserving condition and distinguish this invariant from stronger 2K joint-degree preservation. Exact runner identities, transformation audits, integrity checks, runtime records, and hash-verified artifacts make the implementation traceable.</w:t>
      </w:r>
    </w:p>
    <w:p>
      <w:pPr>
        <w:ind w:left="317" w:hanging="317"/>
      </w:pPr>
      <w:r>
        <w:rPr>
          <w:rFonts w:ascii="Times New Roman" w:hAnsi="Times New Roman"/>
          <w:b w:val="0"/>
          <w:sz w:val="22"/>
        </w:rPr>
        <w:t xml:space="preserve">3. </w:t>
      </w:r>
      <w:r>
        <w:rPr>
          <w:rFonts w:ascii="Times New Roman" w:hAnsi="Times New Roman" w:eastAsia="Times New Roman"/>
          <w:b/>
          <w:sz w:val="22"/>
        </w:rPr>
        <w:t>Controls and attacks that separate distinct security questions.</w:t>
      </w:r>
      <w:r>
        <w:rPr>
          <w:rFonts w:ascii="Times New Roman" w:hAnsi="Times New Roman" w:eastAsia="Times New Roman"/>
          <w:sz w:val="22"/>
        </w:rPr>
        <w:t xml:space="preserve"> Deletion-only, perturbation-budget-matched random, and sensitivity-blind 2K controls isolate semantic guidance from perturbation volume and structural preservation. Separate protocols evaluate original-label concealment, edge-existence evidence, policy-membership leakage, policy error, topology-only inference, spectral inference, and a released-view GCN-GAE stress test.</w:t>
      </w:r>
    </w:p>
    <w:p>
      <w:pPr>
        <w:ind w:left="317" w:hanging="317"/>
      </w:pPr>
      <w:r>
        <w:rPr>
          <w:rFonts w:ascii="Times New Roman" w:hAnsi="Times New Roman"/>
          <w:b w:val="0"/>
          <w:sz w:val="22"/>
        </w:rPr>
        <w:t xml:space="preserve">4. </w:t>
      </w:r>
      <w:r>
        <w:rPr>
          <w:rFonts w:ascii="Times New Roman" w:hAnsi="Times New Roman" w:eastAsia="Times New Roman"/>
          <w:b/>
          <w:sz w:val="22"/>
        </w:rPr>
        <w:t>Task-grounded privacy–utility evidence.</w:t>
      </w:r>
      <w:r>
        <w:rPr>
          <w:rFonts w:ascii="Times New Roman" w:hAnsi="Times New Roman" w:eastAsia="Times New Roman"/>
          <w:sz w:val="22"/>
        </w:rPr>
        <w:t xml:space="preserve"> Structural retrieval metrics are reported separately from model-facing relation-question-answering outcomes. This separation shows where sensitivity guidance does and does not provide an advantage: it does not generally maximize structural overlap, but under the predefined downstream protocol it preserves more non-sensitive answering utility while disclosing fewer sensitive relations than the evaluated sensitivity-blind controls.</w:t>
      </w:r>
    </w:p>
    <w:p>
      <w:pPr>
        <w:pStyle w:val="Heading1"/>
      </w:pPr>
      <w:r>
        <w:t>2. Related Work</w:t>
      </w:r>
    </w:p>
    <w:p>
      <w:pPr>
        <w:pStyle w:val="Heading2"/>
      </w:pPr>
      <w:r>
        <w:t>2.1. GraphRAG and Relation-Level Exposure</w:t>
      </w:r>
    </w:p>
    <w:p>
      <w:r>
        <w:rPr>
          <w:rFonts w:ascii="Times New Roman" w:hAnsi="Times New Roman" w:eastAsia="Times New Roman"/>
          <w:sz w:val="22"/>
        </w:rPr>
        <w:t>Graph Retrieval-Augmented Generation (GraphRAG) organizes retrieval evidence as connected structures of documents, entities, concepts, and relations. Surveys commonly describe graph construction, indexing, structured retrieval, and graph-enhanced generation as the main stages of the pipeline (Peng et al., 2026). GRAG retrieves textual subgraphs to organize evidence more effectively (Hu et al., 2025a), while topology-aware retrieval uses graph connectivity directly during evidence selection (Wang et al., 2024). More recent systems use graph traversal, retrieval planning, hierarchical organization, and multi-level pruning to support multi-hop reasoning and limit irrelevant context (Li et al., 2025; Osipjan et al., 2025; Yu et al., 2026). Medical Graph RAG and MedSumGraph apply the same broad architecture to clinical retrieval and question-answering tasks (Kim et al., 2026; Wu et al., 2025).</w:t>
      </w:r>
    </w:p>
    <w:p>
      <w:r>
        <w:rPr>
          <w:rFonts w:ascii="Times New Roman" w:hAnsi="Times New Roman" w:eastAsia="Times New Roman"/>
          <w:sz w:val="22"/>
        </w:rPr>
        <w:t>These systems make relation labels and local topology part of the evidence available to retrieval and generation. That design can improve reasoning, but it also creates a distinct security and privacy exposure surface. Pseudonymizing an entity does not necessarily conceal whether it is linked to a diagnosis, treatment, employer, transaction, affiliation, communication partner, or another sensitive association. Even when the original relation label is hidden, neighborhood structure and other released local features may still support inference. Protecting GraphRAG data therefore requires attention to both relation semantics and the structural cues that accompany them.</w:t>
      </w:r>
    </w:p>
    <w:p>
      <w:r>
        <w:rPr>
          <w:rFonts w:ascii="Times New Roman" w:hAnsi="Times New Roman" w:eastAsia="Times New Roman"/>
          <w:sz w:val="22"/>
        </w:rPr>
        <w:t>Recent GraphRAG-specific security research has begun to examine this exposure directly. Early work shows that black-box queries can extract structured entity and relation information as well as raw text from GraphRAG systems (Liu et al., 2026). AGEA studies budget-constrained, adaptive agentic extraction of larger regions of a hidden entity–relation graph (Yang et al., 2026). GRASP considers targeted, multi-turn subgraph reconstruction against Graph RAG deployments protected by prompt-level safeguards (Song et al., 2026). GraphSteal treats the system as a structural oracle and reconstructs hidden graph structure through adaptive traversal (Gu et al., 2026). A separate integrity-focused line, represented by GraphRAG under Fire, shows that graph-based indexing and retrieval can also create new poisoning surfaces (Liang et al., 2026).</w:t>
      </w:r>
    </w:p>
    <w:p>
      <w:r>
        <w:rPr>
          <w:rFonts w:ascii="Times New Roman" w:hAnsi="Times New Roman" w:eastAsia="Times New Roman"/>
          <w:sz w:val="22"/>
        </w:rPr>
        <w:t>Complementary selective-disclosure research applies security constraints before retrieved information reaches the generator. SD-RAG enforces dynamic, policy-aware sanitization during retrieval and uses a graph-based data model to support fine-grained disclosure control (Al Masoud et al., 2026). Together, these studies distinguish query-driven graph extraction, runtime disclosure control, and pre-indexing graph transformation as related but separate security layers. Adaptive multi-turn reconstruction attacks target a broader system-extraction surface than the fixed released-view and relation-inference protocols evaluated in this study. They therefore represent complementary rather than equivalent threat models.</w:t>
      </w:r>
    </w:p>
    <w:p>
      <w:pPr>
        <w:pStyle w:val="Heading2"/>
      </w:pPr>
      <w:r>
        <w:t>2.2. Privacy in Retrieval and Graph-Based Systems</w:t>
      </w:r>
    </w:p>
    <w:p>
      <w:r>
        <w:rPr>
          <w:rFonts w:ascii="Times New Roman" w:hAnsi="Times New Roman" w:eastAsia="Times New Roman"/>
          <w:sz w:val="22"/>
        </w:rPr>
        <w:t>Privacy research on retrieval-augmented systems has focused on several distinct protected objects. Anonymous-entity retrieval removes explicit knowledge-graph identities (Ning et al., 2026). Locally private entity perturbation protects entity-level information in conventional RAG (He et al., 2025). Synthetic-corpus approaches replace or regenerate source records (Zeng et al., 2025), while membership-inference studies ask whether a particular record belongs to the retrieval collection (Choi et al., 2025; Hu et al., 2022).</w:t>
      </w:r>
    </w:p>
    <w:p>
      <w:r>
        <w:rPr>
          <w:rFonts w:ascii="Times New Roman" w:hAnsi="Times New Roman" w:eastAsia="Times New Roman"/>
          <w:sz w:val="22"/>
        </w:rPr>
        <w:t>These lines of work address important risks, but they do not directly resolve relation-semantic exposure. Removing an entity name may leave the type of association attached to that entity visible. Likewise, protecting document membership does not establish whether a retrieved graph context reveals a sensitive relation label or whether that relation can be inferred from neighboring structure.</w:t>
      </w:r>
    </w:p>
    <w:p>
      <w:r>
        <w:rPr>
          <w:rFonts w:ascii="Times New Roman" w:hAnsi="Times New Roman" w:eastAsia="Times New Roman"/>
          <w:sz w:val="22"/>
        </w:rPr>
        <w:t>Graph-specific research has identified a broader attack surface. Privacy-aware graph prompting has been studied through adaptive perturbation and topology-recovery mechanisms (Jia et al., 2026). Other work has demonstrated risks from graph prompting, link stealing, graph-property inference, topology inference, and practical edge-inference attacks (Fu et al., 2025; He et al., 2021; Li et al., 2023; Yuan et al., 2024; Zhang et al., 2022; Zhang et al., 2023; Zhu et al., 2026). Studies of graph databases, federated knowledge-graph embeddings, and vertical federated learning further show that query outputs, shared representations, and intermediate computations may expose entities, triples, adjacency information, or relation labels (Hu et al., 2024; Hu et al., 2025b; Qiu et al., 2023).</w:t>
      </w:r>
    </w:p>
    <w:p>
      <w:r>
        <w:rPr>
          <w:rFonts w:ascii="Times New Roman" w:hAnsi="Times New Roman" w:eastAsia="Times New Roman"/>
          <w:sz w:val="22"/>
        </w:rPr>
        <w:t>These studies point to distinct security outcomes: direct recovery of an original relation label, inference of original edge existence, topology-mediated relation classification, and disclosure through model-facing context. These outcomes should not be collapsed into a single leakage measure, and relation-label concealment should not be treated as equivalent to complete graph anonymization.</w:t>
      </w:r>
    </w:p>
    <w:p>
      <w:pPr>
        <w:pStyle w:val="Heading2"/>
      </w:pPr>
      <w:r>
        <w:t>2.3. Graph Perturbation, Differential Privacy, and Structural Constraints</w:t>
      </w:r>
    </w:p>
    <w:p>
      <w:r>
        <w:rPr>
          <w:rFonts w:ascii="Times New Roman" w:hAnsi="Times New Roman" w:eastAsia="Times New Roman"/>
          <w:sz w:val="22"/>
        </w:rPr>
        <w:t>Differentially private graph learning, private graph publication, private graph generation, and locally private edge or relation perturbation provide formal guarantees under explicitly defined neighboring-graph relations, trust models, and privacy budgets (Chien et al., 2023; Hidano and Murakami, 2024; Jian et al., 2023; Mendonça et al., 2025; Mueller et al., 2023; Yang et al., 2021). These approaches are particularly appropriate when a deployment requires a quantified and formally defined privacy guarantee.</w:t>
      </w:r>
    </w:p>
    <w:p>
      <w:r>
        <w:rPr>
          <w:rFonts w:ascii="Times New Roman" w:hAnsi="Times New Roman" w:eastAsia="Times New Roman"/>
          <w:sz w:val="22"/>
        </w:rPr>
        <w:t>TAFP-GraphRAG pursues a complementary systems objective. It transforms an existing GraphRAG graph according to an explicit sensitivity policy, preserves specified structural constraints, and seeks to retain non-sensitive relation semantics. Exact per-node degree preservation in the designated degree-preserving variants is a deterministic integrity property, not a differential privacy guarantee.</w:t>
      </w:r>
    </w:p>
    <w:p>
      <w:r>
        <w:rPr>
          <w:rFonts w:ascii="Times New Roman" w:hAnsi="Times New Roman" w:eastAsia="Times New Roman"/>
          <w:sz w:val="22"/>
        </w:rPr>
        <w:t>Direct numerical comparison across these paradigms requires careful alignment of the protected information object, neighboring-graph definition, released representation, and privacy or perturbation budget. They are therefore treated as complementary protection approaches rather than interchangeable baselines.</w:t>
      </w:r>
    </w:p>
    <w:p>
      <w:r>
        <w:rPr>
          <w:rFonts w:ascii="Times New Roman" w:hAnsi="Times New Roman" w:eastAsia="Times New Roman"/>
          <w:sz w:val="22"/>
        </w:rPr>
        <w:t>The framework uses degree-preserving double-edge switching, in which each accepted switch replaces two edges while preserving the degree of every participating node (Mannion et al., 2024). Degree-based and structural graph-anonymization methods provide broader context for understanding the privacy–utility effects of graph modification (Mortazavi and Erfani, 2020; Xiang and Ma, 2022). The evaluation also includes deletion-only dropout, perturbation-budget-matched random controls, and a sensitivity-blind 2K baseline that preserves individual node degrees and the complete undirected joint-degree distribution. These controls separate the amount of modification, the structural constraints placed on it, and the sensitivity policy that determines where it is applied.</w:t>
      </w:r>
    </w:p>
    <w:p>
      <w:pPr>
        <w:pStyle w:val="Heading2"/>
      </w:pPr>
      <w:r>
        <w:t>2.4. Privacy–Utility Evaluation and the Remaining Gap</w:t>
      </w:r>
    </w:p>
    <w:p>
      <w:r>
        <w:rPr>
          <w:rFonts w:ascii="Times New Roman" w:hAnsi="Times New Roman" w:eastAsia="Times New Roman"/>
          <w:sz w:val="22"/>
        </w:rPr>
        <w:t>Graph anonymization is commonly evaluated through aggregate graph statistics, downstream prediction tasks, or attack-specific privacy measures. DUEF-GA provides a general framework for examining graph privacy and utility together (Casas-Roma, 2020). Empirical privacy auditing places additional emphasis on clearly defined adversarial observations, reproducible attack construction, and measurable inference advantage (Annamalai et al., 2024; Xiang et al., 2025).</w:t>
      </w:r>
    </w:p>
    <w:p>
      <w:r>
        <w:rPr>
          <w:rFonts w:ascii="Times New Roman" w:hAnsi="Times New Roman" w:eastAsia="Times New Roman"/>
          <w:sz w:val="22"/>
        </w:rPr>
        <w:t>GraphRAG introduces an additional utility requirement. A transformed graph must continue to support useful evidence retrieval even when original paths, neighborhoods, or relation labels have changed. Global graph similarity alone cannot show whether predefined query endpoints remain reachable, relevant subgraphs are retained, or non-sensitive relational evidence remains available to the generator.</w:t>
      </w:r>
    </w:p>
    <w:p>
      <w:r>
        <w:rPr>
          <w:rFonts w:ascii="Times New Roman" w:hAnsi="Times New Roman" w:eastAsia="Times New Roman"/>
          <w:sz w:val="22"/>
        </w:rPr>
        <w:t>In the reviewed literature, we identified no prior GraphRAG framework that jointly integrates sensitivity-aware perturbation of relation semantics, exact per-node degree preservation, auditable transformation logging, and attack-specific evaluation of privacy–utility trade-offs.</w:t>
      </w:r>
    </w:p>
    <w:p>
      <w:r>
        <w:rPr>
          <w:rFonts w:ascii="Times New Roman" w:hAnsi="Times New Roman" w:eastAsia="Times New Roman"/>
          <w:sz w:val="22"/>
        </w:rPr>
        <w:t>TAFP-GraphRAG addresses this gap within a single pre-indexing GraphRAG protection and evaluation framework. Its novelty does not depend on presenting pseudonymization or edge switching as new primitives. The contribution lies in integrating sensitivity guidance, exact structural constraints, auditable execution, and attack-oriented evaluation. Conventional structural constraints determine how a graph may be modified; TAFP-GraphRAG also determines where those modifications should be concentrated under an explicit disclosure policy. It therefore targets selective concealment of original sensitive-relation labels while preserving non-sensitive relational utility under the evaluated conditions.</w:t>
      </w:r>
    </w:p>
    <w:p>
      <w:pPr>
        <w:pStyle w:val="Heading1"/>
      </w:pPr>
      <w:r>
        <w:t>3. System and Threat Model</w:t>
      </w:r>
    </w:p>
    <w:p>
      <w:pPr>
        <w:pStyle w:val="Heading2"/>
      </w:pPr>
      <w:r>
        <w:t>3.1. System Setting and Formalization</w:t>
      </w:r>
    </w:p>
    <w:p>
      <w:r>
        <w:rPr>
          <w:rFonts w:ascii="Times New Roman" w:hAnsi="Times New Roman" w:eastAsia="Times New Roman"/>
          <w:sz w:val="22"/>
        </w:rPr>
        <w:t>TAFP-GraphRAG is an offline graph-protection and audit framework applied before GraphRAG indexing and retrieval. It does not require language-model fine-tuning or changes to the downstream generator. Indexing and retrieval operate on the protected graph, while the generator uses retrieval context derived from that graph.</w:t>
      </w:r>
    </w:p>
    <w:p>
      <w:r>
        <w:rPr>
          <w:rFonts w:ascii="Times New Roman" w:hAnsi="Times New Roman" w:eastAsia="Times New Roman"/>
          <w:sz w:val="22"/>
        </w:rPr>
        <w:t>In the evaluated setting, the original graph is a simple undirected attributed graph:</w:t>
      </w:r>
    </w:p>
    <w:p>
      <w:pPr>
        <w:spacing w:before="80" w:after="120"/>
        <w:jc w:val="center"/>
      </w:pPr>
      <w:r>
        <w:rPr>
          <w:rFonts w:ascii="Cambria Math" w:hAnsi="Cambria Math" w:eastAsia="Cambria Math"/>
          <w:sz w:val="22"/>
        </w:rPr>
        <w:t>G = (V, E, X, R),    (1)</w:t>
      </w:r>
    </w:p>
    <w:p>
      <w:r>
        <w:rPr>
          <w:rFonts w:ascii="Times New Roman" w:hAnsi="Times New Roman" w:eastAsia="Times New Roman"/>
          <w:b w:val="0"/>
          <w:i w:val="0"/>
          <w:sz w:val="22"/>
        </w:rPr>
        <w:t>where V denotes the node set, E the undirected edge set, X the node attributes, and R the relation attributes. The edge set is defined as</w:t>
      </w:r>
    </w:p>
    <w:p>
      <w:pPr>
        <w:spacing w:before="80" w:after="120"/>
        <w:jc w:val="center"/>
      </w:pPr>
      <w:r>
        <w:rPr>
          <w:rFonts w:ascii="Cambria Math" w:hAnsi="Cambria Math" w:eastAsia="Cambria Math"/>
          <w:b w:val="0"/>
          <w:i w:val="0"/>
          <w:sz w:val="22"/>
        </w:rPr>
        <w:t>E ⊆ { {u, v} | u, v ∈ V, u ≠ v }.</w:t>
      </w:r>
    </w:p>
    <w:p>
      <w:r>
        <w:rPr>
          <w:rFonts w:ascii="Times New Roman" w:hAnsi="Times New Roman" w:eastAsia="Times New Roman"/>
          <w:sz w:val="22"/>
        </w:rPr>
        <w:t>Self-loops and parallel edges are not part of the evaluated setting. Directed, heterogeneous, and multigraph settings remain outside the experimental scope.</w:t>
      </w:r>
    </w:p>
    <w:p>
      <w:r>
        <w:rPr>
          <w:rFonts w:ascii="Times New Roman" w:hAnsi="Times New Roman" w:eastAsia="Times New Roman"/>
          <w:sz w:val="22"/>
        </w:rPr>
        <w:t>A node may carry an entity type, a textual label, a personally identifiable information indicator, and a semantic-sensitivity score. An edge carries an original relation label and may also include a policy-defined sensitivity indicator or relation-sensitivity score.</w:t>
      </w:r>
    </w:p>
    <w:p>
      <w:r>
        <w:rPr>
          <w:rFonts w:ascii="Times New Roman" w:hAnsi="Times New Roman" w:eastAsia="Times New Roman"/>
          <w:b w:val="0"/>
          <w:i w:val="0"/>
          <w:sz w:val="22"/>
        </w:rPr>
        <w:t>For transformation parameters θ and protection seed z, TAFP produces</w:t>
      </w:r>
    </w:p>
    <w:p>
      <w:pPr>
        <w:spacing w:before="80" w:after="120"/>
        <w:jc w:val="center"/>
      </w:pPr>
      <w:r>
        <w:rPr>
          <w:rFonts w:ascii="Cambria Math" w:hAnsi="Cambria Math" w:eastAsia="Cambria Math"/>
          <w:sz w:val="22"/>
        </w:rPr>
        <w:t>(G′, A) = T</w:t>
      </w:r>
      <w:r>
        <w:rPr>
          <w:rFonts w:ascii="Cambria Math" w:hAnsi="Cambria Math" w:eastAsia="Cambria Math"/>
          <w:sz w:val="22"/>
          <w:vertAlign w:val="subscript"/>
        </w:rPr>
        <w:t>θ,z</w:t>
      </w:r>
      <w:r>
        <w:rPr>
          <w:rFonts w:ascii="Cambria Math" w:hAnsi="Cambria Math" w:eastAsia="Cambria Math"/>
          <w:sz w:val="22"/>
        </w:rPr>
        <w:t>(G).    (2)</w:t>
      </w:r>
    </w:p>
    <w:p>
      <w:r>
        <w:rPr>
          <w:rFonts w:ascii="Times New Roman" w:hAnsi="Times New Roman" w:eastAsia="Times New Roman"/>
          <w:b w:val="0"/>
          <w:i w:val="0"/>
          <w:sz w:val="22"/>
        </w:rPr>
        <w:t>where G′ = (V, E′, X′, R′) is the protected graph and A is the transformation-audit record. The node set remains unchanged. Depending on the selected transformation variant, TAFP may change the labels of policy-selected nodes, the original labels of designated sensitive relations, and selected edge endpoints.</w:t>
      </w:r>
    </w:p>
    <w:p>
      <w:r>
        <w:rPr>
          <w:rFonts w:ascii="Times New Roman" w:hAnsi="Times New Roman" w:eastAsia="Times New Roman"/>
          <w:sz w:val="22"/>
        </w:rPr>
        <w:t>The protected graph is supplied to downstream indexing and retrieval components. The audit record remains with the graph owner and supports governance, integrity verification, and experimental auditing. It is neither included in retrieval or generation context nor exposed through the evaluated adversarial observation surfaces.</w:t>
      </w:r>
    </w:p>
    <w:p>
      <w:r>
        <w:rPr>
          <w:rFonts w:ascii="Times New Roman" w:hAnsi="Times New Roman" w:eastAsia="Times New Roman"/>
          <w:sz w:val="22"/>
        </w:rPr>
        <w:t>Figure 1 shows where TAFP-GraphRAG operates in the GraphRAG pipeline and how the protected graph is used downstream.</w:t>
      </w:r>
    </w:p>
    <w:p>
      <w:pPr>
        <w:keepNext/>
        <w:pageBreakBefore w:val="0"/>
        <w:jc w:val="center"/>
      </w:pPr>
      <w:r>
        <w:drawing>
          <wp:inline xmlns:a="http://schemas.openxmlformats.org/drawingml/2006/main" xmlns:pic="http://schemas.openxmlformats.org/drawingml/2006/picture">
            <wp:extent cx="6080760" cy="3424294"/>
            <wp:docPr id="1" name="Picture 1" title="Figure 1" descr="Figure 1. TAFP-GraphRAG offline protection and downstream GraphRAG workflow. An original attributed graph is first filtered by a policy-guided sensitivity selection stage that identifies protected entities and policy-designated sensitive relations. The graph is then processed by the offline TAFP protection layer, which applies deterministic entity pseudonymization, original sensitive relation-label replacement, and exact degree-preserving rewiring for designated degree-preserving variants. The resulting protected graph and audit log are then used in downstream GraphRAG indexing, retrieval, and retrieval-grounded relation-QA."/>
            <wp:cNvGraphicFramePr>
              <a:graphicFrameLocks noChangeAspect="1"/>
            </wp:cNvGraphicFramePr>
            <a:graphic>
              <a:graphicData uri="http://schemas.openxmlformats.org/drawingml/2006/picture">
                <pic:pic>
                  <pic:nvPicPr>
                    <pic:cNvPr id="0" name="Figure_1_TAFP_Framework_LOCKED.png"/>
                    <pic:cNvPicPr/>
                  </pic:nvPicPr>
                  <pic:blipFill>
                    <a:blip r:embed="rId10"/>
                    <a:stretch>
                      <a:fillRect/>
                    </a:stretch>
                  </pic:blipFill>
                  <pic:spPr>
                    <a:xfrm>
                      <a:off x="0" y="0"/>
                      <a:ext cx="6080760" cy="3424294"/>
                    </a:xfrm>
                    <a:prstGeom prst="rect"/>
                  </pic:spPr>
                </pic:pic>
              </a:graphicData>
            </a:graphic>
          </wp:inline>
        </w:drawing>
      </w:r>
    </w:p>
    <w:p>
      <w:pPr>
        <w:pStyle w:val="Caption"/>
      </w:pPr>
      <w:r>
        <w:rPr>
          <w:rFonts w:ascii="Times New Roman" w:hAnsi="Times New Roman" w:eastAsia="Times New Roman"/>
          <w:sz w:val="18"/>
        </w:rPr>
        <w:t>Figure 1. TAFP-GraphRAG offline protection and downstream GraphRAG workflow. The original attributed graph first passes through a policy-guided selection stage that identifies entities selected for pseudonymization and relations designated as sensitive. The offline TAFP layer then pseudonymizes the selected entities deterministically, conceals the original labels of designated sensitive relations, and applies rewiring that preserves every node degree exactly in the designated degree-preserving variants. The protected graph is subsequently used for indexing, retrieval, and retrieval-grounded relation question answering. The transformation-audit record remains with the graph owner and is not supplied as downstream context.</w:t>
      </w:r>
    </w:p>
    <w:p>
      <w:pPr>
        <w:pStyle w:val="Heading2"/>
      </w:pPr>
      <w:r>
        <w:t>3.2. Protection and Utility Objectives</w:t>
      </w:r>
    </w:p>
    <w:p>
      <w:r>
        <w:rPr>
          <w:rFonts w:ascii="Times New Roman" w:hAnsi="Times New Roman" w:eastAsia="Times New Roman"/>
          <w:sz w:val="22"/>
        </w:rPr>
        <w:t>TAFP-GraphRAG is evaluated against five distinct protection and utility objectives:</w:t>
      </w:r>
    </w:p>
    <w:p>
      <w:pPr>
        <w:ind w:left="317" w:hanging="317"/>
      </w:pPr>
      <w:r>
        <w:rPr>
          <w:rFonts w:ascii="Times New Roman" w:hAnsi="Times New Roman"/>
          <w:b w:val="0"/>
          <w:sz w:val="22"/>
        </w:rPr>
        <w:t xml:space="preserve">1. </w:t>
      </w:r>
      <w:r>
        <w:rPr>
          <w:rFonts w:ascii="Times New Roman" w:hAnsi="Times New Roman" w:eastAsia="Times New Roman"/>
          <w:sz w:val="22"/>
        </w:rPr>
        <w:t>Conceal the original labels of policy-designated sensitive relations.</w:t>
      </w:r>
    </w:p>
    <w:p>
      <w:pPr>
        <w:ind w:left="317" w:hanging="317"/>
      </w:pPr>
      <w:r>
        <w:rPr>
          <w:rFonts w:ascii="Times New Roman" w:hAnsi="Times New Roman"/>
          <w:b w:val="0"/>
          <w:sz w:val="22"/>
        </w:rPr>
        <w:t xml:space="preserve">2. </w:t>
      </w:r>
      <w:r>
        <w:rPr>
          <w:rFonts w:ascii="Times New Roman" w:hAnsi="Times New Roman" w:eastAsia="Times New Roman"/>
          <w:sz w:val="22"/>
        </w:rPr>
        <w:t>Retain non-sensitive relation semantics whenever the policy permits.</w:t>
      </w:r>
    </w:p>
    <w:p>
      <w:pPr>
        <w:ind w:left="317" w:hanging="317"/>
      </w:pPr>
      <w:r>
        <w:rPr>
          <w:rFonts w:ascii="Times New Roman" w:hAnsi="Times New Roman"/>
          <w:b w:val="0"/>
          <w:sz w:val="22"/>
        </w:rPr>
        <w:t xml:space="preserve">3. </w:t>
      </w:r>
      <w:r>
        <w:rPr>
          <w:rFonts w:ascii="Times New Roman" w:hAnsi="Times New Roman" w:eastAsia="Times New Roman"/>
          <w:sz w:val="22"/>
        </w:rPr>
        <w:t>Preserve every node degree exactly in the variants designed to enforce this constraint.</w:t>
      </w:r>
    </w:p>
    <w:p>
      <w:pPr>
        <w:ind w:left="317" w:hanging="317"/>
      </w:pPr>
      <w:r>
        <w:rPr>
          <w:rFonts w:ascii="Times New Roman" w:hAnsi="Times New Roman"/>
          <w:b w:val="0"/>
          <w:sz w:val="22"/>
        </w:rPr>
        <w:t xml:space="preserve">4. </w:t>
      </w:r>
      <w:r>
        <w:rPr>
          <w:rFonts w:ascii="Times New Roman" w:hAnsi="Times New Roman" w:eastAsia="Times New Roman"/>
          <w:sz w:val="22"/>
        </w:rPr>
        <w:t>Retain sufficient graph evidence to support predefined retrieval queries.</w:t>
      </w:r>
    </w:p>
    <w:p>
      <w:pPr>
        <w:ind w:left="317" w:hanging="317"/>
      </w:pPr>
      <w:r>
        <w:rPr>
          <w:rFonts w:ascii="Times New Roman" w:hAnsi="Times New Roman"/>
          <w:b w:val="0"/>
          <w:sz w:val="22"/>
        </w:rPr>
        <w:t xml:space="preserve">5. </w:t>
      </w:r>
      <w:r>
        <w:rPr>
          <w:rFonts w:ascii="Times New Roman" w:hAnsi="Times New Roman" w:eastAsia="Times New Roman"/>
          <w:sz w:val="22"/>
        </w:rPr>
        <w:t>Retain non-sensitive relation-answering utility while reducing sensitive-relation disclosure.</w:t>
      </w:r>
    </w:p>
    <w:p>
      <w:r>
        <w:rPr>
          <w:rFonts w:ascii="Times New Roman" w:hAnsi="Times New Roman" w:eastAsia="Times New Roman"/>
          <w:sz w:val="22"/>
        </w:rPr>
        <w:t>These objectives are not collapsed into a single privacy or utility score. Each is evaluated through separate measures and, where applicable, attack protocols. The implementation does not optimize a single global objective, nor does it claim that the selected operating point is universally optimal across datasets, policies, or adversarial settings.</w:t>
      </w:r>
    </w:p>
    <w:p>
      <w:pPr>
        <w:pStyle w:val="Heading2"/>
      </w:pPr>
      <w:r>
        <w:t>3.3. Adversary Model and Evaluation Scope</w:t>
      </w:r>
    </w:p>
    <w:p>
      <w:r>
        <w:rPr>
          <w:rFonts w:ascii="Times New Roman" w:hAnsi="Times New Roman" w:eastAsia="Times New Roman"/>
          <w:sz w:val="22"/>
        </w:rPr>
        <w:t>The graph owner is assumed to be trusted and to control the original graph before indexing. TAFP is applied before the graph or any graph-derived context becomes available to downstream components.</w:t>
      </w:r>
    </w:p>
    <w:p>
      <w:r>
        <w:rPr>
          <w:rFonts w:ascii="Times New Roman" w:hAnsi="Times New Roman" w:eastAsia="Times New Roman"/>
          <w:sz w:val="22"/>
        </w:rPr>
        <w:t>The adversary may know the transformation algorithm, the graph schema, and the general structure of the protection policy. Within the limits of each evaluation protocol, the adversary may inspect the released protected view, observe retrieved relational contexts, and train inference models. Where specified by an attack protocol, the adversary may also access protocol-defined labeled examples from the permitted training split.</w:t>
      </w:r>
    </w:p>
    <w:p>
      <w:r>
        <w:rPr>
          <w:rFonts w:ascii="Times New Roman" w:hAnsi="Times New Roman" w:eastAsia="Times New Roman"/>
          <w:sz w:val="22"/>
        </w:rPr>
        <w:t>The evaluated released view contains:</w:t>
      </w:r>
    </w:p>
    <w:p>
      <w:pPr>
        <w:ind w:left="346" w:hanging="216"/>
      </w:pPr>
      <w:r>
        <w:rPr>
          <w:rFonts w:ascii="Times New Roman" w:hAnsi="Times New Roman"/>
          <w:sz w:val="22"/>
        </w:rPr>
        <w:t xml:space="preserve">• </w:t>
      </w:r>
      <w:r>
        <w:rPr>
          <w:rFonts w:ascii="Times New Roman" w:hAnsi="Times New Roman" w:eastAsia="Times New Roman"/>
          <w:sz w:val="22"/>
        </w:rPr>
        <w:t>the transformed graph topology;</w:t>
      </w:r>
    </w:p>
    <w:p>
      <w:pPr>
        <w:ind w:left="346" w:hanging="216"/>
      </w:pPr>
      <w:r>
        <w:rPr>
          <w:rFonts w:ascii="Times New Roman" w:hAnsi="Times New Roman"/>
          <w:sz w:val="22"/>
        </w:rPr>
        <w:t xml:space="preserve">• </w:t>
      </w:r>
      <w:r>
        <w:rPr>
          <w:rFonts w:ascii="Times New Roman" w:hAnsi="Times New Roman" w:eastAsia="Times New Roman"/>
          <w:sz w:val="22"/>
        </w:rPr>
        <w:t>protected node labels or pseudonyms;</w:t>
      </w:r>
    </w:p>
    <w:p>
      <w:pPr>
        <w:ind w:left="346" w:hanging="216"/>
      </w:pPr>
      <w:r>
        <w:rPr>
          <w:rFonts w:ascii="Times New Roman" w:hAnsi="Times New Roman"/>
          <w:sz w:val="22"/>
        </w:rPr>
        <w:t xml:space="preserve">• </w:t>
      </w:r>
      <w:r>
        <w:rPr>
          <w:rFonts w:ascii="Times New Roman" w:hAnsi="Times New Roman" w:eastAsia="Times New Roman"/>
          <w:sz w:val="22"/>
        </w:rPr>
        <w:t>permitted entity types; and</w:t>
      </w:r>
    </w:p>
    <w:p>
      <w:pPr>
        <w:ind w:left="346" w:hanging="216"/>
      </w:pPr>
      <w:r>
        <w:rPr>
          <w:rFonts w:ascii="Times New Roman" w:hAnsi="Times New Roman"/>
          <w:sz w:val="22"/>
        </w:rPr>
        <w:t xml:space="preserve">• </w:t>
      </w:r>
      <w:r>
        <w:rPr>
          <w:rFonts w:ascii="Times New Roman" w:hAnsi="Times New Roman" w:eastAsia="Times New Roman"/>
          <w:sz w:val="22"/>
        </w:rPr>
        <w:t>protected relation labels.</w:t>
      </w:r>
    </w:p>
    <w:p>
      <w:r>
        <w:rPr>
          <w:rFonts w:ascii="Times New Roman" w:hAnsi="Times New Roman" w:eastAsia="Times New Roman"/>
          <w:sz w:val="22"/>
        </w:rPr>
        <w:t>By design, this view may retain the original labels of entities that were not selected for pseudonymization and the original labels of non-sensitive relations. It excludes:</w:t>
      </w:r>
    </w:p>
    <w:p>
      <w:pPr>
        <w:ind w:left="346" w:hanging="216"/>
      </w:pPr>
      <w:r>
        <w:rPr>
          <w:rFonts w:ascii="Times New Roman" w:hAnsi="Times New Roman"/>
          <w:sz w:val="22"/>
        </w:rPr>
        <w:t xml:space="preserve">• </w:t>
      </w:r>
      <w:r>
        <w:rPr>
          <w:rFonts w:ascii="Times New Roman" w:hAnsi="Times New Roman" w:eastAsia="Times New Roman"/>
          <w:sz w:val="22"/>
        </w:rPr>
        <w:t>the original identifiers and labels of policy-selected entities;</w:t>
      </w:r>
    </w:p>
    <w:p>
      <w:pPr>
        <w:ind w:left="346" w:hanging="216"/>
      </w:pPr>
      <w:r>
        <w:rPr>
          <w:rFonts w:ascii="Times New Roman" w:hAnsi="Times New Roman"/>
          <w:sz w:val="22"/>
        </w:rPr>
        <w:t xml:space="preserve">• </w:t>
      </w:r>
      <w:r>
        <w:rPr>
          <w:rFonts w:ascii="Times New Roman" w:hAnsi="Times New Roman" w:eastAsia="Times New Roman"/>
          <w:sz w:val="22"/>
        </w:rPr>
        <w:t>the original labels of designated sensitive relations;</w:t>
      </w:r>
    </w:p>
    <w:p>
      <w:pPr>
        <w:ind w:left="346" w:hanging="216"/>
      </w:pPr>
      <w:r>
        <w:rPr>
          <w:rFonts w:ascii="Times New Roman" w:hAnsi="Times New Roman"/>
          <w:sz w:val="22"/>
        </w:rPr>
        <w:t xml:space="preserve">• </w:t>
      </w:r>
      <w:r>
        <w:rPr>
          <w:rFonts w:ascii="Times New Roman" w:hAnsi="Times New Roman" w:eastAsia="Times New Roman"/>
          <w:sz w:val="22"/>
        </w:rPr>
        <w:t>raw source text;</w:t>
      </w:r>
    </w:p>
    <w:p>
      <w:pPr>
        <w:ind w:left="346" w:hanging="216"/>
      </w:pPr>
      <w:r>
        <w:rPr>
          <w:rFonts w:ascii="Times New Roman" w:hAnsi="Times New Roman"/>
          <w:sz w:val="22"/>
        </w:rPr>
        <w:t xml:space="preserve">• </w:t>
      </w:r>
      <w:r>
        <w:rPr>
          <w:rFonts w:ascii="Times New Roman" w:hAnsi="Times New Roman" w:eastAsia="Times New Roman"/>
          <w:sz w:val="22"/>
        </w:rPr>
        <w:t>personally identifiable information indicators;</w:t>
      </w:r>
    </w:p>
    <w:p>
      <w:pPr>
        <w:ind w:left="346" w:hanging="216"/>
      </w:pPr>
      <w:r>
        <w:rPr>
          <w:rFonts w:ascii="Times New Roman" w:hAnsi="Times New Roman"/>
          <w:sz w:val="22"/>
        </w:rPr>
        <w:t xml:space="preserve">• </w:t>
      </w:r>
      <w:r>
        <w:rPr>
          <w:rFonts w:ascii="Times New Roman" w:hAnsi="Times New Roman" w:eastAsia="Times New Roman"/>
          <w:sz w:val="22"/>
        </w:rPr>
        <w:t>semantic-sensitivity scores;</w:t>
      </w:r>
    </w:p>
    <w:p>
      <w:pPr>
        <w:ind w:left="346" w:hanging="216"/>
      </w:pPr>
      <w:r>
        <w:rPr>
          <w:rFonts w:ascii="Times New Roman" w:hAnsi="Times New Roman"/>
          <w:sz w:val="22"/>
        </w:rPr>
        <w:t xml:space="preserve">• </w:t>
      </w:r>
      <w:r>
        <w:rPr>
          <w:rFonts w:ascii="Times New Roman" w:hAnsi="Times New Roman" w:eastAsia="Times New Roman"/>
          <w:sz w:val="22"/>
        </w:rPr>
        <w:t>explicit sensitivity-policy flags; and</w:t>
      </w:r>
    </w:p>
    <w:p>
      <w:pPr>
        <w:ind w:left="346" w:hanging="216"/>
      </w:pPr>
      <w:r>
        <w:rPr>
          <w:rFonts w:ascii="Times New Roman" w:hAnsi="Times New Roman"/>
          <w:sz w:val="22"/>
        </w:rPr>
        <w:t xml:space="preserve">• </w:t>
      </w:r>
      <w:r>
        <w:rPr>
          <w:rFonts w:ascii="Times New Roman" w:hAnsi="Times New Roman" w:eastAsia="Times New Roman"/>
          <w:sz w:val="22"/>
        </w:rPr>
        <w:t>transformation-audit records.</w:t>
      </w:r>
    </w:p>
    <w:p>
      <w:r>
        <w:rPr>
          <w:rFonts w:ascii="Times New Roman" w:hAnsi="Times New Roman" w:eastAsia="Times New Roman"/>
          <w:sz w:val="22"/>
        </w:rPr>
        <w:t>The adversary is also assumed not to possess the complete original graph, the private transformation seed, or the graph owner's internal audit records.</w:t>
      </w:r>
    </w:p>
    <w:p>
      <w:r>
        <w:rPr>
          <w:rFonts w:ascii="Times New Roman" w:hAnsi="Times New Roman" w:eastAsia="Times New Roman"/>
          <w:sz w:val="22"/>
        </w:rPr>
        <w:t>The study evaluates six primary exposure channels:</w:t>
      </w:r>
    </w:p>
    <w:p>
      <w:pPr>
        <w:ind w:left="317" w:hanging="317"/>
      </w:pPr>
      <w:r>
        <w:rPr>
          <w:rFonts w:ascii="Times New Roman" w:hAnsi="Times New Roman"/>
          <w:b w:val="0"/>
          <w:sz w:val="22"/>
        </w:rPr>
        <w:t xml:space="preserve">1. </w:t>
      </w:r>
      <w:r>
        <w:rPr>
          <w:rFonts w:ascii="Times New Roman" w:hAnsi="Times New Roman" w:eastAsia="Times New Roman"/>
          <w:sz w:val="22"/>
        </w:rPr>
        <w:t>Direct exposure of original sensitive-relation labels.</w:t>
      </w:r>
    </w:p>
    <w:p>
      <w:pPr>
        <w:ind w:left="317" w:hanging="317"/>
      </w:pPr>
      <w:r>
        <w:rPr>
          <w:rFonts w:ascii="Times New Roman" w:hAnsi="Times New Roman"/>
          <w:b w:val="0"/>
          <w:sz w:val="22"/>
        </w:rPr>
        <w:t xml:space="preserve">2. </w:t>
      </w:r>
      <w:r>
        <w:rPr>
          <w:rFonts w:ascii="Times New Roman" w:hAnsi="Times New Roman" w:eastAsia="Times New Roman"/>
          <w:sz w:val="22"/>
        </w:rPr>
        <w:t>Inference of whether a candidate node pair was connected by an edge in the original graph.</w:t>
      </w:r>
    </w:p>
    <w:p>
      <w:pPr>
        <w:ind w:left="317" w:hanging="317"/>
      </w:pPr>
      <w:r>
        <w:rPr>
          <w:rFonts w:ascii="Times New Roman" w:hAnsi="Times New Roman"/>
          <w:b w:val="0"/>
          <w:sz w:val="22"/>
        </w:rPr>
        <w:t xml:space="preserve">3. </w:t>
      </w:r>
      <w:r>
        <w:rPr>
          <w:rFonts w:ascii="Times New Roman" w:hAnsi="Times New Roman" w:eastAsia="Times New Roman"/>
          <w:sz w:val="22"/>
        </w:rPr>
        <w:t>Relation inference based only on structural features.</w:t>
      </w:r>
    </w:p>
    <w:p>
      <w:pPr>
        <w:ind w:left="317" w:hanging="317"/>
      </w:pPr>
      <w:r>
        <w:rPr>
          <w:rFonts w:ascii="Times New Roman" w:hAnsi="Times New Roman"/>
          <w:b w:val="0"/>
          <w:sz w:val="22"/>
        </w:rPr>
        <w:t xml:space="preserve">4. </w:t>
      </w:r>
      <w:r>
        <w:rPr>
          <w:rFonts w:ascii="Times New Roman" w:hAnsi="Times New Roman" w:eastAsia="Times New Roman"/>
          <w:sz w:val="22"/>
        </w:rPr>
        <w:t>Relation inference using attributes permitted in the released protected view.</w:t>
      </w:r>
    </w:p>
    <w:p>
      <w:pPr>
        <w:ind w:left="317" w:hanging="317"/>
      </w:pPr>
      <w:r>
        <w:rPr>
          <w:rFonts w:ascii="Times New Roman" w:hAnsi="Times New Roman"/>
          <w:b w:val="0"/>
          <w:sz w:val="22"/>
        </w:rPr>
        <w:t xml:space="preserve">5. </w:t>
      </w:r>
      <w:r>
        <w:rPr>
          <w:rFonts w:ascii="Times New Roman" w:hAnsi="Times New Roman" w:eastAsia="Times New Roman"/>
          <w:sz w:val="22"/>
        </w:rPr>
        <w:t>Transmission of sensitive relation tokens through controlled model-facing context.</w:t>
      </w:r>
    </w:p>
    <w:p>
      <w:pPr>
        <w:ind w:left="317" w:hanging="317"/>
      </w:pPr>
      <w:r>
        <w:rPr>
          <w:rFonts w:ascii="Times New Roman" w:hAnsi="Times New Roman"/>
          <w:b w:val="0"/>
          <w:sz w:val="22"/>
        </w:rPr>
        <w:t xml:space="preserve">6. </w:t>
      </w:r>
      <w:r>
        <w:rPr>
          <w:rFonts w:ascii="Times New Roman" w:hAnsi="Times New Roman" w:eastAsia="Times New Roman"/>
          <w:sz w:val="22"/>
        </w:rPr>
        <w:t>Disclosure through retrieval-grounded end-to-end relation question answering.</w:t>
      </w:r>
    </w:p>
    <w:p>
      <w:r>
        <w:rPr>
          <w:rFonts w:ascii="Times New Roman" w:hAnsi="Times New Roman" w:eastAsia="Times New Roman"/>
          <w:sz w:val="22"/>
        </w:rPr>
        <w:t>A separate marker-leakage audit evaluates whether released protected-label patterns act as an observable proxy for policy membership. The explicit internal sensitivity-policy flag is not included in the released view.</w:t>
      </w:r>
    </w:p>
    <w:p>
      <w:r>
        <w:rPr>
          <w:rFonts w:ascii="Times New Roman" w:hAnsi="Times New Roman" w:eastAsia="Times New Roman"/>
          <w:sz w:val="22"/>
        </w:rPr>
        <w:t>The fixed-edge, structure-only, spectral, and GCN-GAE attacks are motivated by prior evidence that adjacency, relation classes, graph properties, and permitted released attributes may remain inferable from local topology and learned representations (Fu et al., 2025; He et al., 2021; Li et al., 2023; Yuan et al., 2024; Zhang et al., 2022; Zhang et al., 2023). The local-topology and spectral protocols isolate structural signals. The released-view stress test additionally uses entity types and neighboring protected-relation distributions after the target edge has been excluded.</w:t>
      </w:r>
    </w:p>
    <w:p>
      <w:r>
        <w:rPr>
          <w:rFonts w:ascii="Times New Roman" w:hAnsi="Times New Roman" w:eastAsia="Times New Roman"/>
          <w:sz w:val="22"/>
        </w:rPr>
        <w:t>In the end-to-end experiments, the graph-derived portion of each prompt contains only protected labels or pseudonyms, permitted entity types, protected relations, and transformed connectivity. The complete prompt also includes task instructions and query text. Raw source text, the original labels of protected entities and designated sensitive relations, sensitivity fields, and audit metadata are excluded.</w:t>
      </w:r>
    </w:p>
    <w:p>
      <w:r>
        <w:rPr>
          <w:rFonts w:ascii="Times New Roman" w:hAnsi="Times New Roman" w:eastAsia="Times New Roman"/>
          <w:sz w:val="22"/>
        </w:rPr>
        <w:t>TAFP-GraphRAG provides empirical exposure control under these explicitly defined protocols. It does not provide differential privacy, local differential privacy, indistinguishability across all neighboring graphs, or a worst-case information-theoretic privacy guarantee. Formal graph-privacy mechanisms address different protection goals under different assumptions (Chien et al., 2023; Hidano and Murakami, 2024; Jian et al., 2023; Mendonça et al., 2025; Mueller et al., 2023; Yang et al., 2021).</w:t>
      </w:r>
    </w:p>
    <w:p>
      <w:r>
        <w:rPr>
          <w:rFonts w:ascii="Times New Roman" w:hAnsi="Times New Roman" w:eastAsia="Times New Roman"/>
          <w:sz w:val="22"/>
        </w:rPr>
        <w:t>Leakage from raw text, from source-graph attributes not included in the released view, from external auxiliary graphs, from unrestricted corpus-membership inference, and from free-form open-ended answers remains outside the evaluated scope. Adaptive multi-turn graph extraction and subgraph-reconstruction attacks are also not evaluated. Such attacks target a broader query-driven system-extraction surface than the fixed released-view and relation-inference protocols considered here.</w:t>
      </w:r>
    </w:p>
    <w:p>
      <w:r>
        <w:rPr>
          <w:rFonts w:ascii="Times New Roman" w:hAnsi="Times New Roman" w:eastAsia="Times New Roman"/>
          <w:sz w:val="22"/>
        </w:rPr>
        <w:t>The end-to-end evaluation is restricted to predefined relation-sequence questions and structured relation-label outputs produced under deterministic decoding.</w:t>
      </w:r>
    </w:p>
    <w:p>
      <w:r>
        <w:rPr>
          <w:rFonts w:ascii="Times New Roman" w:hAnsi="Times New Roman" w:eastAsia="Times New Roman"/>
          <w:sz w:val="22"/>
        </w:rPr>
        <w:t>Figure 2 summarizes the evaluated observation surfaces, attack families, and security scope.</w:t>
      </w:r>
    </w:p>
    <w:p>
      <w:pPr>
        <w:keepNext/>
        <w:pageBreakBefore w:val="0"/>
        <w:jc w:val="center"/>
      </w:pPr>
      <w:r>
        <w:drawing>
          <wp:inline xmlns:a="http://schemas.openxmlformats.org/drawingml/2006/main" xmlns:pic="http://schemas.openxmlformats.org/drawingml/2006/picture">
            <wp:extent cx="6080760" cy="3342262"/>
            <wp:docPr id="2" name="Picture 2" title="Figure 2" descr="Figure 2. Threat model and attack-evaluation scope. The adversary is evaluated across three observation surfaces: the released protected graph, retrieved path or subgraph context, and retrieval-grounded relation-QA output. The locked evaluation protocol includes fixed-edge original-label inference, structure-only relation inference, sensitive-set membership inference, embedding-based relation inference, and retrieval-grounded end-to-end relation exposure. These attacks measure three corresponding privacy risks: recovery of original sensitive relation labels, inference supported by structural signals, and downstream exposure through retrieval and generation. Evaluation is conducted using fixed dataset splits, protection seeds, attack-specific metrics, and auditable experimental artifacts."/>
            <wp:cNvGraphicFramePr>
              <a:graphicFrameLocks noChangeAspect="1"/>
            </wp:cNvGraphicFramePr>
            <a:graphic>
              <a:graphicData uri="http://schemas.openxmlformats.org/drawingml/2006/picture">
                <pic:pic>
                  <pic:nvPicPr>
                    <pic:cNvPr id="0" name="Figure_2_Threat_Model_LOCKED.png"/>
                    <pic:cNvPicPr/>
                  </pic:nvPicPr>
                  <pic:blipFill>
                    <a:blip r:embed="rId11"/>
                    <a:stretch>
                      <a:fillRect/>
                    </a:stretch>
                  </pic:blipFill>
                  <pic:spPr>
                    <a:xfrm>
                      <a:off x="0" y="0"/>
                      <a:ext cx="6080760" cy="3342262"/>
                    </a:xfrm>
                    <a:prstGeom prst="rect"/>
                  </pic:spPr>
                </pic:pic>
              </a:graphicData>
            </a:graphic>
          </wp:inline>
        </w:drawing>
      </w:r>
    </w:p>
    <w:p>
      <w:pPr>
        <w:pStyle w:val="Caption"/>
      </w:pPr>
      <w:r>
        <w:rPr>
          <w:rFonts w:ascii="Times New Roman" w:hAnsi="Times New Roman" w:eastAsia="Times New Roman"/>
          <w:sz w:val="18"/>
        </w:rPr>
        <w:t>Figure 2. Threat model and attack-evaluation scope. The adversary is evaluated across three observation surfaces: the released protected graph, retrieved path or subgraph context, and retrieval-grounded relation-question-answering output. The primary analyses cover direct original-sensitive-label exposure, original-edge-existence inference, structure-only and released-view relation inference, embedding-based relation inference, and end-to-end relation exposure. A separate marker-leakage audit tests whether released protected-label patterns reveal policy membership. The explicit internal sensitivity-policy flag and transformation-audit records are not part of the released view.</w:t>
      </w:r>
    </w:p>
    <w:p>
      <w:pPr>
        <w:pStyle w:val="Heading1"/>
      </w:pPr>
      <w:r>
        <w:t>4. TAFP-GraphRAG Protection Framework</w:t>
      </w:r>
    </w:p>
    <w:p>
      <w:r>
        <w:rPr>
          <w:rFonts w:ascii="Times New Roman" w:hAnsi="Times New Roman" w:eastAsia="Times New Roman"/>
          <w:sz w:val="22"/>
        </w:rPr>
        <w:t>Building on the graph definition in Eq. (1) and the transformation interface in Eq. (2), TAFP-GraphRAG is implemented as an offline, policy-guided transformation applied before GraphRAG indexing and retrieval.</w:t>
      </w:r>
    </w:p>
    <w:p>
      <w:r>
        <w:rPr>
          <w:rFonts w:ascii="Times New Roman" w:hAnsi="Times New Roman" w:eastAsia="Times New Roman"/>
          <w:sz w:val="22"/>
        </w:rPr>
        <w:t>The implementation decomposes the transformation into four ordered operations:</w:t>
      </w:r>
    </w:p>
    <w:p>
      <w:pPr>
        <w:spacing w:before="80" w:after="120"/>
        <w:jc w:val="center"/>
      </w:pPr>
      <w:r>
        <w:rPr>
          <w:rFonts w:ascii="Cambria Math" w:hAnsi="Cambria Math" w:eastAsia="Cambria Math"/>
          <w:sz w:val="22"/>
        </w:rPr>
        <w:t>T</w:t>
      </w:r>
      <w:r>
        <w:rPr>
          <w:rFonts w:ascii="Cambria Math" w:hAnsi="Cambria Math" w:eastAsia="Cambria Math"/>
          <w:sz w:val="22"/>
          <w:vertAlign w:val="subscript"/>
        </w:rPr>
        <w:t>θ,z</w:t>
      </w:r>
      <w:r>
        <w:rPr>
          <w:rFonts w:ascii="Cambria Math" w:hAnsi="Cambria Math" w:eastAsia="Cambria Math"/>
          <w:sz w:val="22"/>
        </w:rPr>
        <w:t xml:space="preserve"> = W</w:t>
      </w:r>
      <w:r>
        <w:rPr>
          <w:rFonts w:ascii="Cambria Math" w:hAnsi="Cambria Math" w:eastAsia="Cambria Math"/>
          <w:sz w:val="22"/>
          <w:vertAlign w:val="subscript"/>
        </w:rPr>
        <w:t>T</w:t>
      </w:r>
      <w:r>
        <w:rPr>
          <w:rFonts w:ascii="Cambria Math" w:hAnsi="Cambria Math" w:eastAsia="Cambria Math"/>
          <w:sz w:val="22"/>
          <w:vertAlign w:val="superscript"/>
        </w:rPr>
        <w:t>ρT</w:t>
      </w:r>
      <w:r>
        <w:rPr>
          <w:rFonts w:ascii="Cambria Math" w:hAnsi="Cambria Math" w:eastAsia="Cambria Math"/>
          <w:sz w:val="22"/>
        </w:rPr>
        <w:t xml:space="preserve"> ∘ W</w:t>
      </w:r>
      <w:r>
        <w:rPr>
          <w:rFonts w:ascii="Cambria Math" w:hAnsi="Cambria Math" w:eastAsia="Cambria Math"/>
          <w:sz w:val="22"/>
          <w:vertAlign w:val="subscript"/>
        </w:rPr>
        <w:t>R</w:t>
      </w:r>
      <w:r>
        <w:rPr>
          <w:rFonts w:ascii="Cambria Math" w:hAnsi="Cambria Math" w:eastAsia="Cambria Math"/>
          <w:sz w:val="22"/>
          <w:vertAlign w:val="superscript"/>
        </w:rPr>
        <w:t>ρR</w:t>
      </w:r>
      <w:r>
        <w:rPr>
          <w:rFonts w:ascii="Cambria Math" w:hAnsi="Cambria Math" w:eastAsia="Cambria Math"/>
          <w:sz w:val="22"/>
        </w:rPr>
        <w:t xml:space="preserve"> ∘ S</w:t>
      </w:r>
      <w:r>
        <w:rPr>
          <w:rFonts w:ascii="Cambria Math" w:hAnsi="Cambria Math" w:eastAsia="Cambria Math"/>
          <w:sz w:val="22"/>
          <w:vertAlign w:val="subscript"/>
        </w:rPr>
        <w:t>E</w:t>
      </w:r>
      <w:r>
        <w:rPr>
          <w:rFonts w:ascii="Cambria Math" w:hAnsi="Cambria Math" w:eastAsia="Cambria Math"/>
          <w:sz w:val="22"/>
        </w:rPr>
        <w:t xml:space="preserve"> ∘ P</w:t>
      </w:r>
      <w:r>
        <w:rPr>
          <w:rFonts w:ascii="Cambria Math" w:hAnsi="Cambria Math" w:eastAsia="Cambria Math"/>
          <w:sz w:val="22"/>
          <w:vertAlign w:val="subscript"/>
        </w:rPr>
        <w:t>V</w:t>
      </w:r>
      <w:r>
        <w:rPr>
          <w:rFonts w:ascii="Cambria Math" w:hAnsi="Cambria Math" w:eastAsia="Cambria Math"/>
          <w:sz w:val="22"/>
        </w:rPr>
        <w:t>.    (3)</w:t>
      </w:r>
    </w:p>
    <w:p>
      <w:r>
        <w:rPr>
          <w:rFonts w:ascii="Times New Roman" w:hAnsi="Times New Roman" w:eastAsia="Times New Roman"/>
          <w:sz w:val="22"/>
        </w:rPr>
        <w:t>Here, P_V pseudonymizes policy-selected entity labels, S_E conceals the exposed labels of policy-designated sensitive relations, W_R applies relation-level rewiring at rate ρ_R, and W_T applies topology-level rewiring at rate ρ_T.</w:t>
      </w:r>
    </w:p>
    <w:p>
      <w:r>
        <w:rPr>
          <w:rFonts w:ascii="Times New Roman" w:hAnsi="Times New Roman" w:eastAsia="Times New Roman"/>
          <w:sz w:val="22"/>
        </w:rPr>
        <w:t>The composition is read from right to left; relation-semantic concealment therefore precedes both structural phases.</w:t>
      </w:r>
    </w:p>
    <w:p>
      <w:r>
        <w:rPr>
          <w:rFonts w:ascii="Times New Roman" w:hAnsi="Times New Roman" w:eastAsia="Times New Roman"/>
          <w:sz w:val="22"/>
        </w:rPr>
        <w:t>The transformation returns the protected graph G′ and an implementation-level transformation-audit record A.</w:t>
      </w:r>
    </w:p>
    <w:p>
      <w:r>
        <w:rPr>
          <w:rFonts w:ascii="Times New Roman" w:hAnsi="Times New Roman" w:eastAsia="Times New Roman"/>
          <w:sz w:val="22"/>
        </w:rPr>
        <w:t>In the designated degree-preserving variants, the structural operations satisfy the first-order invariant</w:t>
      </w:r>
    </w:p>
    <w:p>
      <w:pPr>
        <w:spacing w:before="80" w:after="120"/>
        <w:jc w:val="center"/>
      </w:pPr>
      <w:r>
        <w:rPr>
          <w:rFonts w:ascii="Cambria Math" w:hAnsi="Cambria Math" w:eastAsia="Cambria Math"/>
          <w:sz w:val="22"/>
        </w:rPr>
        <w:t>d</w:t>
      </w:r>
      <w:r>
        <w:rPr>
          <w:rFonts w:ascii="Cambria Math" w:hAnsi="Cambria Math" w:eastAsia="Cambria Math"/>
          <w:sz w:val="22"/>
          <w:vertAlign w:val="subscript"/>
        </w:rPr>
        <w:t>G′</w:t>
      </w:r>
      <w:r>
        <w:rPr>
          <w:rFonts w:ascii="Cambria Math" w:hAnsi="Cambria Math" w:eastAsia="Cambria Math"/>
          <w:sz w:val="22"/>
        </w:rPr>
        <w:t>(v) = d</w:t>
      </w:r>
      <w:r>
        <w:rPr>
          <w:rFonts w:ascii="Cambria Math" w:hAnsi="Cambria Math" w:eastAsia="Cambria Math"/>
          <w:sz w:val="22"/>
          <w:vertAlign w:val="subscript"/>
        </w:rPr>
        <w:t>G</w:t>
      </w:r>
      <w:r>
        <w:rPr>
          <w:rFonts w:ascii="Cambria Math" w:hAnsi="Cambria Math" w:eastAsia="Cambria Math"/>
          <w:sz w:val="22"/>
        </w:rPr>
        <w:t>(v), ∀ v ∈ V.    (4)</w:t>
      </w:r>
    </w:p>
    <w:p>
      <w:r>
        <w:rPr>
          <w:rFonts w:ascii="Times New Roman" w:hAnsi="Times New Roman" w:eastAsia="Times New Roman"/>
          <w:sz w:val="22"/>
        </w:rPr>
        <w:t>This invariant applies to node degrees only; it does not imply preservation of connected components, paths, clustering, motifs, communities, spectral properties, or retrieval neighborhoods.</w:t>
      </w:r>
    </w:p>
    <w:p>
      <w:pPr>
        <w:pStyle w:val="Heading2"/>
      </w:pPr>
      <w:r>
        <w:t>4.1. Policy-Guided Selection and Deterministic Pseudonymization</w:t>
      </w:r>
    </w:p>
    <w:p>
      <w:r>
        <w:rPr>
          <w:rFonts w:ascii="Times New Roman" w:hAnsi="Times New Roman" w:eastAsia="Times New Roman"/>
          <w:sz w:val="22"/>
        </w:rPr>
        <w:t>A node is eligible for policy-guided pseudonymization when its PII indicator is true or its semantic-sensitivity value is at least the policy threshold.</w:t>
      </w:r>
    </w:p>
    <w:p>
      <w:r>
        <w:rPr>
          <w:rFonts w:ascii="Times New Roman" w:hAnsi="Times New Roman" w:eastAsia="Times New Roman"/>
          <w:sz w:val="22"/>
        </w:rPr>
        <w:t>The implementation ranks eligible nodes by the score 2 × PII + sensitivity, where the Boolean PII indicator is interpreted numerically.</w:t>
      </w:r>
    </w:p>
    <w:p>
      <w:r>
        <w:rPr>
          <w:rFonts w:ascii="Times New Roman" w:hAnsi="Times New Roman" w:eastAsia="Times New Roman"/>
          <w:sz w:val="22"/>
        </w:rPr>
        <w:t>Equal scores are ordered deterministically by a hash-derived tie value computed from the node identifier and protection seed z.</w:t>
      </w:r>
    </w:p>
    <w:p>
      <w:r>
        <w:rPr>
          <w:rFonts w:ascii="Times New Roman" w:hAnsi="Times New Roman" w:eastAsia="Times New Roman"/>
          <w:sz w:val="22"/>
        </w:rPr>
        <w:t>The default node-sensitivity threshold is 0.45 and the default entity-selection rate is 0.75.</w:t>
      </w:r>
    </w:p>
    <w:p>
      <w:r>
        <w:rPr>
          <w:rFonts w:ascii="Times New Roman" w:hAnsi="Times New Roman" w:eastAsia="Times New Roman"/>
          <w:sz w:val="22"/>
        </w:rPr>
        <w:t>The selected-node target is obtained by applying Python's built-in rounding to the eligible-candidate count multiplied by the selection rate; for a positive rate and a non-empty candidate set, the target is raised to at least one and capped at the candidate count.</w:t>
      </w:r>
    </w:p>
    <w:p>
      <w:r>
        <w:rPr>
          <w:rFonts w:ascii="Times New Roman" w:hAnsi="Times New Roman" w:eastAsia="Times New Roman"/>
          <w:sz w:val="22"/>
        </w:rPr>
        <w:t>Each selected entity receives an exposed alias of the form ENT_&lt;LEVEL&gt;_&lt;HASH&gt;.</w:t>
      </w:r>
    </w:p>
    <w:p>
      <w:r>
        <w:rPr>
          <w:rFonts w:ascii="Times New Roman" w:hAnsi="Times New Roman" w:eastAsia="Times New Roman"/>
          <w:sz w:val="22"/>
        </w:rPr>
        <w:t>The implemented level function assigns HIGH when PII is true or sensitivity is at least 0.70, MED when PII is false and sensitivity is at least 0.45, and LOW otherwise.</w:t>
      </w:r>
    </w:p>
    <w:p>
      <w:r>
        <w:rPr>
          <w:rFonts w:ascii="Times New Roman" w:hAnsi="Times New Roman" w:eastAsia="Times New Roman"/>
          <w:sz w:val="22"/>
        </w:rPr>
        <w:t>The suffix is the first eight hexadecimal characters of md5(f"{node}-{z}").</w:t>
      </w:r>
    </w:p>
    <w:p>
      <w:r>
        <w:rPr>
          <w:rFonts w:ascii="Times New Roman" w:hAnsi="Times New Roman" w:eastAsia="Times New Roman"/>
          <w:sz w:val="22"/>
        </w:rPr>
        <w:t>This MD5-derived suffix is used only to obtain deterministic experimental aliases; it is not encryption, keyed hashing, or a claim of irreversible anonymization.</w:t>
      </w:r>
    </w:p>
    <w:p>
      <w:r>
        <w:rPr>
          <w:rFonts w:ascii="Times New Roman" w:hAnsi="Times New Roman" w:eastAsia="Times New Roman"/>
          <w:sz w:val="22"/>
        </w:rPr>
        <w:t>The implementation contains no separate alias-collision detection or collision-resolution mechanism, and no global alias-uniqueness guarantee is made.</w:t>
      </w:r>
    </w:p>
    <w:p>
      <w:pPr/>
      <w:r>
        <w:t>Because the alias suffix is deterministic, reuse of the same node identifier and protection seed can make aliases linkable across releases. For production deployment, a keyed HMAC with tenant- or release-specific secret material, secret rotation across releases, collision detection, and access-controlled alias mapping are recommended. These are deployment-hardening recommendations; the reported experiments retain the MD5-derived scheme described above to preserve exact reproducibility.</w:t>
      </w:r>
    </w:p>
    <w:p>
      <w:pPr>
        <w:pStyle w:val="Heading2"/>
      </w:pPr>
      <w:r>
        <w:t>4.2. Relation-Semantic Concealment and Structural Transformation</w:t>
      </w:r>
    </w:p>
    <w:p>
      <w:r>
        <w:rPr>
          <w:rFonts w:ascii="Times New Roman" w:hAnsi="Times New Roman" w:eastAsia="Times New Roman"/>
          <w:sz w:val="22"/>
        </w:rPr>
        <w:t>The relation policy designates sensitive edges using an explicit internal indicator and/or a relation-sensitivity score, with a default score threshold of 0.45.</w:t>
      </w:r>
    </w:p>
    <w:p>
      <w:r>
        <w:rPr>
          <w:rFonts w:ascii="Times New Roman" w:hAnsi="Times New Roman" w:eastAsia="Times New Roman"/>
          <w:sz w:val="22"/>
        </w:rPr>
        <w:t>These values are operational policy inputs rather than calibrated probabilities or differential-privacy parameters.</w:t>
      </w:r>
    </w:p>
    <w:p>
      <w:r>
        <w:rPr>
          <w:rFonts w:ascii="Times New Roman" w:hAnsi="Times New Roman" w:eastAsia="Times New Roman"/>
          <w:sz w:val="22"/>
        </w:rPr>
        <w:t>Before structural rewiring, the exposed protected relation label of every policy-designated sensitive edge is replaced by PRIVATE_RELATION.</w:t>
      </w:r>
    </w:p>
    <w:p>
      <w:r>
        <w:rPr>
          <w:rFonts w:ascii="Times New Roman" w:hAnsi="Times New Roman" w:eastAsia="Times New Roman"/>
          <w:sz w:val="22"/>
        </w:rPr>
        <w:t>This replacement conceals the original relation type through the released label field, but the marker can reveal latent membership in the policy-protected set; original-label concealment and marker-membership concealment are therefore evaluated as distinct objectives.</w:t>
      </w:r>
    </w:p>
    <w:p>
      <w:r>
        <w:rPr>
          <w:rFonts w:ascii="Times New Roman" w:hAnsi="Times New Roman" w:eastAsia="Times New Roman"/>
          <w:sz w:val="22"/>
        </w:rPr>
        <w:t>The relation phase operates on the current edges that satisfy the internal sensitivity rule, whereas the topology phase operates on the complete current edge set after the relation phase.</w:t>
      </w:r>
    </w:p>
    <w:p>
      <w:r>
        <w:rPr>
          <w:rFonts w:ascii="Times New Roman" w:hAnsi="Times New Roman" w:eastAsia="Times New Roman"/>
          <w:sz w:val="22"/>
        </w:rPr>
        <w:t>For every accepted double-edge switch, the current attribute dictionary of the first source edge is copied to the first inserted edge, and the current attribute dictionary of the second source edge is copied to the second inserted edge.</w:t>
      </w:r>
    </w:p>
    <w:p>
      <w:r>
        <w:rPr>
          <w:rFonts w:ascii="Times New Roman" w:hAnsi="Times New Roman" w:eastAsia="Times New Roman"/>
          <w:sz w:val="22"/>
        </w:rPr>
        <w:t>During relation-level rewiring, each copied dictionary is sanitized before insertion by setting relation_type and protected_relation_type to PRIVATE_RELATION, sensitive to 0, and relation_sensitivity to 0.0.</w:t>
      </w:r>
    </w:p>
    <w:p>
      <w:r>
        <w:rPr>
          <w:rFonts w:ascii="Times New Roman" w:hAnsi="Times New Roman" w:eastAsia="Times New Roman"/>
          <w:sz w:val="22"/>
        </w:rPr>
        <w:t>During topology-level rewiring, the corresponding current source-edge dictionaries are transferred unchanged, with no additional topology-phase sanitization.</w:t>
      </w:r>
    </w:p>
    <w:p>
      <w:r>
        <w:rPr>
          <w:rFonts w:ascii="Times New Roman" w:hAnsi="Times New Roman" w:eastAsia="Times New Roman"/>
          <w:sz w:val="22"/>
        </w:rPr>
        <w:t>The implementation therefore uses an order-specific transfer rule; source attributes are neither randomly assigned to inserted edges nor merged.</w:t>
      </w:r>
    </w:p>
    <w:p>
      <w:pPr/>
      <w:r>
        <w:t>Because topology rewiring is executed after the relation phase, it transfers the current post-sanitization source-edge dictionaries and does not restore the pre-sanitization original relation labels. However, any released attribute retained in those current dictionaries can remain observable or be redistributed with its source edge. A production implementation should therefore enforce an explicit released-edge attribute allowlist before topology rewiring and exclude original relation labels, policy indicators and scores, and audit fields. The experiments retain the fixed released schema defined in Sections 3 and 5.4; the allowlist recommendation is not an additional evaluated defense.</w:t>
      </w:r>
    </w:p>
    <w:p>
      <w:pPr>
        <w:pStyle w:val="Heading2"/>
      </w:pPr>
      <w:r>
        <w:t>4.3. Exact Per-Node Degree-Preserving Rewiring</w:t>
      </w:r>
    </w:p>
    <w:p>
      <w:r>
        <w:rPr>
          <w:rFonts w:ascii="Times New Roman" w:hAnsi="Times New Roman" w:eastAsia="Times New Roman"/>
          <w:sz w:val="22"/>
        </w:rPr>
        <w:t>For a phase with m candidate edges and rate ρ, the target rewired-edge count is zero when m &lt; 2 or ρ ≤ 0.</w:t>
      </w:r>
    </w:p>
    <w:p>
      <w:r>
        <w:rPr>
          <w:rFonts w:ascii="Times New Roman" w:hAnsi="Times New Roman" w:eastAsia="Times New Roman"/>
          <w:sz w:val="22"/>
        </w:rPr>
        <w:t>Otherwise, the implementation computes int(round(m × ρ)), raises the result to at least two, caps it at m, and subtracts one when the capped value is odd.</w:t>
      </w:r>
    </w:p>
    <w:p>
      <w:r>
        <w:rPr>
          <w:rFonts w:ascii="Times New Roman" w:hAnsi="Times New Roman" w:eastAsia="Times New Roman"/>
          <w:sz w:val="22"/>
        </w:rPr>
        <w:t>The resulting value is the target number of rewired edges, not the target number of accepted switches, because each accepted switch rewires two edges.</w:t>
      </w:r>
    </w:p>
    <w:p>
      <w:r>
        <w:rPr>
          <w:rFonts w:ascii="Times New Roman" w:hAnsi="Times New Roman" w:eastAsia="Times New Roman"/>
          <w:sz w:val="22"/>
        </w:rPr>
        <w:t>The proposal limit is max(2000, 300n), where n is the target rewired-edge count.</w:t>
      </w:r>
    </w:p>
    <w:p>
      <w:r>
        <w:rPr>
          <w:rFonts w:ascii="Times New Roman" w:hAnsi="Times New Roman" w:eastAsia="Times New Roman"/>
          <w:sz w:val="22"/>
        </w:rPr>
        <w:t>If this limit is exhausted before n edges are rewired, execution completes without an exception and returns the target and realized counts separately; convergence to the target is not guaranteed.</w:t>
      </w:r>
    </w:p>
    <w:p>
      <w:r>
        <w:rPr>
          <w:rFonts w:ascii="Times New Roman" w:hAnsi="Times New Roman" w:eastAsia="Times New Roman"/>
          <w:sz w:val="22"/>
        </w:rPr>
        <w:t>Given source edges {u,v} and {x,y}, a proposal is considered only when both source edges still exist and the four endpoints are distinct.</w:t>
      </w:r>
    </w:p>
    <w:p>
      <w:r>
        <w:rPr>
          <w:rFonts w:ascii="Times New Roman" w:hAnsi="Times New Roman" w:eastAsia="Times New Roman"/>
          <w:sz w:val="22"/>
        </w:rPr>
        <w:t>A proposed reconnection is accepted only when it creates no self-loop, the two inserted edges are distinct, and neither inserted edge already exists.</w:t>
      </w:r>
    </w:p>
    <w:p>
      <w:r>
        <w:rPr>
          <w:rFonts w:ascii="Times New Roman" w:hAnsi="Times New Roman" w:eastAsia="Times New Roman"/>
          <w:sz w:val="22"/>
        </w:rPr>
        <w:t>Each accepted switch removes one incident edge and adds one incident edge for every participating endpoint.</w:t>
      </w:r>
    </w:p>
    <w:p>
      <w:r>
        <w:rPr>
          <w:rFonts w:ascii="Times New Roman" w:hAnsi="Times New Roman" w:eastAsia="Times New Roman"/>
          <w:sz w:val="22"/>
        </w:rPr>
        <w:t>Consequently, variants composed of these accepted switches preserve every node's degree exactly, as stated in Eq. (4).</w:t>
      </w:r>
    </w:p>
    <w:p>
      <w:r>
        <w:rPr>
          <w:rFonts w:ascii="Times New Roman" w:hAnsi="Times New Roman" w:eastAsia="Times New Roman"/>
          <w:sz w:val="22"/>
        </w:rPr>
        <w:t>This guarantee is restricted to the designated degree-preserving variants and is not extended to higher-order graph properties.</w:t>
      </w:r>
    </w:p>
    <w:p>
      <w:pPr>
        <w:keepNext/>
        <w:pageBreakBefore w:val="0"/>
        <w:jc w:val="center"/>
      </w:pPr>
      <w:r>
        <w:drawing>
          <wp:inline xmlns:a="http://schemas.openxmlformats.org/drawingml/2006/main" xmlns:pic="http://schemas.openxmlformats.org/drawingml/2006/picture">
            <wp:extent cx="6080760" cy="3422246"/>
            <wp:docPr id="3" name="Picture 3" title="Figure 3" descr="Figure 3. Conceptual example of TAFP-protected graph release. A schematic graph is shown before and after protection to illustrate the main effects of the TAFP layer. In the protected graph, entity identifiers are pseudonymized, policy-designated sensitive relation labels are replaced with the shared marker PRIVATE_RELATION, and the released graph preserves structural degree integrity for designated degree-preserving variants. The protected release is accompanied by an audit record, consistent with the framework’s auditable transformation design."/>
            <wp:cNvGraphicFramePr>
              <a:graphicFrameLocks noChangeAspect="1"/>
            </wp:cNvGraphicFramePr>
            <a:graphic>
              <a:graphicData uri="http://schemas.openxmlformats.org/drawingml/2006/picture">
                <pic:pic>
                  <pic:nvPicPr>
                    <pic:cNvPr id="0" name="Figure_3_Conceptual_Transformation_LOCKED.png"/>
                    <pic:cNvPicPr/>
                  </pic:nvPicPr>
                  <pic:blipFill>
                    <a:blip r:embed="rId12"/>
                    <a:stretch>
                      <a:fillRect/>
                    </a:stretch>
                  </pic:blipFill>
                  <pic:spPr>
                    <a:xfrm>
                      <a:off x="0" y="0"/>
                      <a:ext cx="6080760" cy="3422246"/>
                    </a:xfrm>
                    <a:prstGeom prst="rect"/>
                  </pic:spPr>
                </pic:pic>
              </a:graphicData>
            </a:graphic>
          </wp:inline>
        </w:drawing>
      </w:r>
    </w:p>
    <w:p>
      <w:pPr>
        <w:pStyle w:val="Caption"/>
      </w:pPr>
      <w:r>
        <w:rPr>
          <w:rFonts w:ascii="Times New Roman" w:hAnsi="Times New Roman" w:eastAsia="Times New Roman"/>
          <w:sz w:val="18"/>
        </w:rPr>
        <w:t xml:space="preserve">Figure 3. Conceptual relation-phase example of an accepted degree-preserving double-edge switch in TAFP-GraphRAG. The original sensitive edges (A,D) and (C,E) are removed and replaced by (A,E) and (C,D). In this illustration, both source relations have already been assigned the protected label </w:t>
      </w:r>
      <w:r>
        <w:rPr>
          <w:rFonts w:ascii="Courier New" w:hAnsi="Courier New" w:eastAsia="Courier New"/>
          <w:sz w:val="17"/>
        </w:rPr>
        <w:t>PRIVATE_RELATION</w:t>
      </w:r>
      <w:r>
        <w:rPr>
          <w:rFonts w:ascii="Times New Roman" w:hAnsi="Times New Roman" w:eastAsia="Times New Roman"/>
          <w:sz w:val="18"/>
        </w:rPr>
        <w:t>; therefore, both inserted edges are released with that protected label. Because each of A, C, D, and E loses one incident edge and gains one, every node degree remains unchanged. The example illustrates the relation-focused case and the degree invariant only; higher-order paths, motifs, and communities may change.</w:t>
      </w:r>
    </w:p>
    <w:p>
      <w:pPr>
        <w:pStyle w:val="Heading2"/>
      </w:pPr>
      <w:r>
        <w:t>4.4. Auditable Execution and Operating-Point Selection</w:t>
      </w:r>
    </w:p>
    <w:p>
      <w:r>
        <w:rPr>
          <w:rFonts w:ascii="Times New Roman" w:hAnsi="Times New Roman" w:eastAsia="Times New Roman"/>
          <w:sz w:val="22"/>
        </w:rPr>
        <w:t>The in-application protection_audit record stores implementation-level summaries rather than a complete event-by-event transformation history.</w:t>
      </w:r>
    </w:p>
    <w:p>
      <w:r>
        <w:rPr>
          <w:rFonts w:ascii="Times New Roman" w:hAnsi="Times New Roman" w:eastAsia="Times New Roman"/>
          <w:sz w:val="22"/>
        </w:rPr>
        <w:t>Its verified fields are sensitive_node_candidates, masked_nodes, entity_mask_rate, sensitive_edges, relation_rewired_edges, relation_target_edges, topology_rewired_edges, topology_target_edges, degree_changed_nodes, and degree_preserved_exactly.</w:t>
      </w:r>
    </w:p>
    <w:p>
      <w:r>
        <w:rPr>
          <w:rFonts w:ascii="Times New Roman" w:hAnsi="Times New Roman" w:eastAsia="Times New Roman"/>
          <w:sz w:val="22"/>
        </w:rPr>
        <w:t>The record is not described as containing complete removed-edge lists, added-edge lists, or pseudonymized-node lists.</w:t>
      </w:r>
    </w:p>
    <w:p>
      <w:r>
        <w:rPr>
          <w:rFonts w:ascii="Times New Roman" w:hAnsi="Times New Roman" w:eastAsia="Times New Roman"/>
          <w:sz w:val="22"/>
        </w:rPr>
        <w:t>Protection seeds, runtime measurements, and artifact hashes are maintained in separate run-level tables and hash-verified manifests rather than being assumed to reside inside protection_audit.</w:t>
      </w:r>
    </w:p>
    <w:p>
      <w:pPr/>
      <w:r>
        <w:t>For high-assurance deployments, an optional access-controlled full-provenance mode could additionally record edge-level before/after events and accepted or rejected rewiring proposals. Such a mode was not implemented or evaluated here and would introduce storage, access-control, and potentially additional privacy costs.</w:t>
      </w:r>
    </w:p>
    <w:p>
      <w:r>
        <w:rPr>
          <w:rFonts w:ascii="Times New Roman" w:hAnsi="Times New Roman" w:eastAsia="Times New Roman"/>
          <w:sz w:val="22"/>
        </w:rPr>
        <w:t>The study's default parameter values are pre-specified operating points and are examined through the reported ablations; they were not selected through held-out deployment calibration.</w:t>
      </w:r>
    </w:p>
    <w:p>
      <w:r>
        <w:rPr>
          <w:rFonts w:ascii="Times New Roman" w:hAnsi="Times New Roman" w:eastAsia="Times New Roman"/>
          <w:sz w:val="22"/>
        </w:rPr>
        <w:t>For deployment, an operator may define acceptable concealment, non-sensitive retention, and structural requirements on held-out policy-calibration data, select the least disruptive configuration that satisfies those requirements, and confirm it on a separate audit set.</w:t>
      </w:r>
    </w:p>
    <w:p>
      <w:r>
        <w:rPr>
          <w:rFonts w:ascii="Times New Roman" w:hAnsi="Times New Roman" w:eastAsia="Times New Roman"/>
          <w:sz w:val="22"/>
        </w:rPr>
        <w:t>This is an empirical configuration procedure, not formal privacy accounting.</w:t>
      </w:r>
    </w:p>
    <w:p>
      <w:r>
        <w:rPr>
          <w:rFonts w:ascii="Times New Roman" w:hAnsi="Times New Roman" w:eastAsia="Times New Roman"/>
          <w:b/>
          <w:sz w:val="22"/>
        </w:rPr>
        <w:t>Algorithm 1. Policy-guided TAFP-GraphRAG transformation</w:t>
      </w:r>
    </w:p>
    <w:p>
      <w:r>
        <w:rPr>
          <w:rFonts w:ascii="Times New Roman" w:hAnsi="Times New Roman" w:eastAsia="Times New Roman"/>
          <w:sz w:val="22"/>
        </w:rPr>
        <w:t>Input: original simple undirected attributed graph G; protection policy π; transformation parameters θ, including the entity-selection rate, ρ_R, and ρ_T; protection seed z.</w:t>
      </w:r>
    </w:p>
    <w:p>
      <w:r>
        <w:rPr>
          <w:rFonts w:ascii="Times New Roman" w:hAnsi="Times New Roman" w:eastAsia="Times New Roman"/>
          <w:sz w:val="22"/>
        </w:rPr>
        <w:t>Output: protected graph G′; implementation-level transformation-audit record A.</w:t>
      </w:r>
    </w:p>
    <w:p>
      <w:pPr>
        <w:ind w:left="317" w:hanging="317"/>
      </w:pPr>
      <w:r>
        <w:rPr>
          <w:rFonts w:ascii="Times New Roman" w:hAnsi="Times New Roman"/>
          <w:b w:val="0"/>
          <w:sz w:val="22"/>
        </w:rPr>
        <w:t xml:space="preserve">1. </w:t>
      </w:r>
      <w:r>
        <w:rPr>
          <w:rFonts w:ascii="Times New Roman" w:hAnsi="Times New Roman" w:eastAsia="Times New Roman"/>
          <w:sz w:val="22"/>
        </w:rPr>
        <w:t>Copy G to G′ and initialize A.</w:t>
      </w:r>
    </w:p>
    <w:p>
      <w:pPr>
        <w:ind w:left="317" w:hanging="317"/>
      </w:pPr>
      <w:r>
        <w:rPr>
          <w:rFonts w:ascii="Times New Roman" w:hAnsi="Times New Roman"/>
          <w:b w:val="0"/>
          <w:sz w:val="22"/>
        </w:rPr>
        <w:t xml:space="preserve">2. </w:t>
      </w:r>
      <w:r>
        <w:rPr>
          <w:rFonts w:ascii="Times New Roman" w:hAnsi="Times New Roman" w:eastAsia="Times New Roman"/>
          <w:sz w:val="22"/>
        </w:rPr>
        <w:t>Identify the policy-eligible entity candidates in G′.</w:t>
      </w:r>
    </w:p>
    <w:p>
      <w:pPr>
        <w:ind w:left="317" w:hanging="317"/>
      </w:pPr>
      <w:r>
        <w:rPr>
          <w:rFonts w:ascii="Times New Roman" w:hAnsi="Times New Roman"/>
          <w:b w:val="0"/>
          <w:sz w:val="22"/>
        </w:rPr>
        <w:t xml:space="preserve">3. </w:t>
      </w:r>
      <w:r>
        <w:rPr>
          <w:rFonts w:ascii="Times New Roman" w:hAnsi="Times New Roman" w:eastAsia="Times New Roman"/>
          <w:sz w:val="22"/>
        </w:rPr>
        <w:t>Rank candidates by 2 × PII + sensitivity; resolve equal scores deterministically from the node identifier and z.</w:t>
      </w:r>
    </w:p>
    <w:p>
      <w:pPr>
        <w:ind w:left="317" w:hanging="317"/>
      </w:pPr>
      <w:r>
        <w:rPr>
          <w:rFonts w:ascii="Times New Roman" w:hAnsi="Times New Roman"/>
          <w:b w:val="0"/>
          <w:sz w:val="22"/>
        </w:rPr>
        <w:t xml:space="preserve">4. </w:t>
      </w:r>
      <w:r>
        <w:rPr>
          <w:rFonts w:ascii="Times New Roman" w:hAnsi="Times New Roman" w:eastAsia="Times New Roman"/>
          <w:sz w:val="22"/>
        </w:rPr>
        <w:t>Compute the entity-selection target using Python rounding, the positive-rate minimum of one, and the candidate-count cap.</w:t>
      </w:r>
    </w:p>
    <w:p>
      <w:pPr>
        <w:ind w:left="317" w:hanging="317"/>
      </w:pPr>
      <w:r>
        <w:rPr>
          <w:rFonts w:ascii="Times New Roman" w:hAnsi="Times New Roman"/>
          <w:b w:val="0"/>
          <w:sz w:val="22"/>
        </w:rPr>
        <w:t xml:space="preserve">5. </w:t>
      </w:r>
      <w:r>
        <w:rPr>
          <w:rFonts w:ascii="Times New Roman" w:hAnsi="Times New Roman" w:eastAsia="Times New Roman"/>
          <w:sz w:val="22"/>
        </w:rPr>
        <w:t>For each selected entity, assign HIGH, MED, or LOW and replace its exposed label with ENT_&lt;LEVEL&gt;_&lt;HASH&gt;.</w:t>
      </w:r>
    </w:p>
    <w:p>
      <w:pPr>
        <w:ind w:left="317" w:hanging="317"/>
      </w:pPr>
      <w:r>
        <w:rPr>
          <w:rFonts w:ascii="Times New Roman" w:hAnsi="Times New Roman"/>
          <w:b w:val="0"/>
          <w:sz w:val="22"/>
        </w:rPr>
        <w:t xml:space="preserve">6. </w:t>
      </w:r>
      <w:r>
        <w:rPr>
          <w:rFonts w:ascii="Times New Roman" w:hAnsi="Times New Roman" w:eastAsia="Times New Roman"/>
          <w:sz w:val="22"/>
        </w:rPr>
        <w:t>Replace the exposed labels of policy-designated sensitive relations with PRIVATE_RELATION.</w:t>
      </w:r>
    </w:p>
    <w:p>
      <w:pPr>
        <w:ind w:left="317" w:hanging="317"/>
      </w:pPr>
      <w:r>
        <w:rPr>
          <w:rFonts w:ascii="Times New Roman" w:hAnsi="Times New Roman"/>
          <w:b w:val="0"/>
          <w:sz w:val="22"/>
        </w:rPr>
        <w:t xml:space="preserve">7. </w:t>
      </w:r>
      <w:r>
        <w:rPr>
          <w:rFonts w:ascii="Times New Roman" w:hAnsi="Times New Roman" w:eastAsia="Times New Roman"/>
          <w:sz w:val="22"/>
        </w:rPr>
        <w:t>Relation phase: form the current sensitive-edge candidate set; compute n using the verified rounding, minimum, cap, and even-parity rules; set the proposal limit to max(2000, 300n); apply the switch-acceptance checks; copy first-source attributes to the first inserted edge and second-source attributes to the second; sanitize the copied relation attributes before insertion; increase the realized rewired-edge count by two for each accepted switch.</w:t>
      </w:r>
    </w:p>
    <w:p>
      <w:pPr>
        <w:ind w:left="317" w:hanging="317"/>
      </w:pPr>
      <w:r>
        <w:rPr>
          <w:rFonts w:ascii="Times New Roman" w:hAnsi="Times New Roman"/>
          <w:b w:val="0"/>
          <w:sz w:val="22"/>
        </w:rPr>
        <w:t xml:space="preserve">8. </w:t>
      </w:r>
      <w:r>
        <w:rPr>
          <w:rFonts w:ascii="Times New Roman" w:hAnsi="Times New Roman" w:eastAsia="Times New Roman"/>
          <w:sz w:val="22"/>
        </w:rPr>
        <w:t>Topology phase: use the complete current edge set; compute the target and proposal limit with ρ_T; apply the same acceptance checks; transfer corresponding current source-edge attributes unchanged; increase the realized rewired-edge count by two for each accepted switch.</w:t>
      </w:r>
    </w:p>
    <w:p>
      <w:pPr>
        <w:ind w:left="317" w:hanging="317"/>
      </w:pPr>
      <w:r>
        <w:rPr>
          <w:rFonts w:ascii="Times New Roman" w:hAnsi="Times New Roman"/>
          <w:b w:val="0"/>
          <w:sz w:val="22"/>
        </w:rPr>
        <w:t xml:space="preserve">9. </w:t>
      </w:r>
      <w:r>
        <w:rPr>
          <w:rFonts w:ascii="Times New Roman" w:hAnsi="Times New Roman" w:eastAsia="Times New Roman"/>
          <w:sz w:val="22"/>
        </w:rPr>
        <w:t>Compare the degree of every node in G′ with its degree in G.</w:t>
      </w:r>
    </w:p>
    <w:p>
      <w:pPr>
        <w:ind w:left="317" w:hanging="317"/>
      </w:pPr>
      <w:r>
        <w:rPr>
          <w:rFonts w:ascii="Times New Roman" w:hAnsi="Times New Roman"/>
          <w:b w:val="0"/>
          <w:sz w:val="22"/>
        </w:rPr>
        <w:t xml:space="preserve">10. </w:t>
      </w:r>
      <w:r>
        <w:rPr>
          <w:rFonts w:ascii="Times New Roman" w:hAnsi="Times New Roman" w:eastAsia="Times New Roman"/>
          <w:sz w:val="22"/>
        </w:rPr>
        <w:t>Record the verified implementation-level audit summaries in A.</w:t>
      </w:r>
    </w:p>
    <w:p>
      <w:pPr>
        <w:ind w:left="317" w:hanging="317"/>
      </w:pPr>
      <w:r>
        <w:rPr>
          <w:rFonts w:ascii="Times New Roman" w:hAnsi="Times New Roman"/>
          <w:b w:val="0"/>
          <w:sz w:val="22"/>
        </w:rPr>
        <w:t xml:space="preserve">11. </w:t>
      </w:r>
      <w:r>
        <w:rPr>
          <w:rFonts w:ascii="Times New Roman" w:hAnsi="Times New Roman" w:eastAsia="Times New Roman"/>
          <w:sz w:val="22"/>
        </w:rPr>
        <w:t>Return G′ and A.</w:t>
      </w:r>
    </w:p>
    <w:p>
      <w:pPr>
        <w:pStyle w:val="Heading1"/>
      </w:pPr>
      <w:r>
        <w:t>5. Experimental Design and Evaluation Methodology</w:t>
      </w:r>
    </w:p>
    <w:p>
      <w:pPr>
        <w:pStyle w:val="Heading2"/>
      </w:pPr>
      <w:r>
        <w:t>5.1. Dataset-Derived Graphs and Fixed Evaluation Protocol</w:t>
      </w:r>
    </w:p>
    <w:p>
      <w:r>
        <w:rPr>
          <w:rFonts w:ascii="Times New Roman" w:hAnsi="Times New Roman" w:eastAsia="Times New Roman"/>
          <w:sz w:val="22"/>
        </w:rPr>
        <w:t>The evaluation used five dataset-derived graphs: AGNews (Zhang et al., 2015), CNN/DailyMail (Nallapati et al., 2016), IMDB (Maas et al., 2011), PubMed (Cohan et al., 2018), and SynthPII, which was generated specifically for this study. AGNews was based on a four-class news-classification corpus, IMDB on the Large Movie Review Dataset, CNN/DailyMail on article–summary pairs, and PubMed on biomedical articles and abstracts from a long-document summarization collection. SynthPII was constructed to represent synthetic personally identifiable entities and sensitive workflow relations.</w:t>
      </w:r>
    </w:p>
    <w:p>
      <w:r>
        <w:rPr>
          <w:rFonts w:ascii="Times New Roman" w:hAnsi="Times New Roman" w:eastAsia="Times New Roman"/>
          <w:sz w:val="22"/>
        </w:rPr>
        <w:t>Dataset-specific adapters converted each source into a simple undirected attributed NetworkX graph. Depending on the dataset, nodes represented documents, summaries, reviews, topics, entities, biomedical concepts, or synthetic organizational records. Edges represented typed semantic relationships between node pairs. Self-loops and duplicate undirected edges were excluded during graph construction.</w:t>
      </w:r>
    </w:p>
    <w:p>
      <w:r>
        <w:rPr>
          <w:rFonts w:ascii="Times New Roman" w:hAnsi="Times New Roman" w:eastAsia="Times New Roman"/>
          <w:sz w:val="22"/>
        </w:rPr>
        <w:t>The resulting graphs contained 2,614 nodes and 6,542 edges for AGNews; 4,953 nodes and 15,248 edges for CNN/DailyMail; 3,119 nodes and 8,102 edges for IMDB; 1,070 nodes and 4,254 edges for PubMed; and 800 nodes and 2,400 edges for SynthPII.</w:t>
      </w:r>
    </w:p>
    <w:p>
      <w:r>
        <w:rPr>
          <w:rFonts w:ascii="Times New Roman" w:hAnsi="Times New Roman" w:eastAsia="Times New Roman"/>
          <w:sz w:val="22"/>
        </w:rPr>
        <w:t>Graph-construction rules, node and edge ordering, evaluation candidates, and query definitions were held constant across all protection variants and protection seeds. The structural-utility protocol comprised 2,208 fixed paths and 750 source–hop contexts defined before protection. The same source nodes, target nodes, original paths, and hop radii were reused across conditions. Table 1 reports the dataset and fixed-protocol characteristics.</w:t>
      </w:r>
    </w:p>
    <w:p>
      <w:pPr>
        <w:pStyle w:val="Caption"/>
        <w:keepNext/>
        <w:widowControl/>
        <w:spacing w:after="80"/>
        <w:jc w:val="both"/>
      </w:pPr>
      <w:r>
        <w:rPr>
          <w:rFonts w:ascii="Times New Roman" w:hAnsi="Times New Roman"/>
          <w:b/>
          <w:color w:val="000000"/>
          <w:sz w:val="18"/>
        </w:rPr>
        <w:t>Table 1.</w:t>
      </w:r>
      <w:r>
        <w:rPr>
          <w:rFonts w:ascii="Times New Roman" w:hAnsi="Times New Roman"/>
          <w:color w:val="000000"/>
          <w:sz w:val="18"/>
        </w:rPr>
        <w:t xml:space="preserve"> Dataset and experimental-protocol characteristics. Fixed paths and source-hop contexts were defined before protection and reused across all variants and seeds.</w:t>
      </w:r>
    </w:p>
    <w:tbl>
      <w:tblPr>
        <w:tblStyle w:val="TableGrid"/>
        <w:tblW w:type="dxa" w:w="9144"/>
        <w:jc w:val="center"/>
        <w:tblLayout w:type="fixed"/>
        <w:tblLook w:firstColumn="1" w:firstRow="1" w:lastColumn="0" w:lastRow="0" w:noHBand="0" w:noVBand="1" w:val="04A0"/>
      </w:tblPr>
      <w:tblGrid>
        <w:gridCol w:w="1944"/>
        <w:gridCol w:w="1584"/>
        <w:gridCol w:w="1584"/>
        <w:gridCol w:w="1800"/>
        <w:gridCol w:w="2232"/>
      </w:tblGrid>
      <w:tr>
        <w:trPr>
          <w:tblHeader w:val="true"/>
          <w:cantSplit/>
          <w:tblHeader w:val="true"/>
        </w:trPr>
        <w:tc>
          <w:tcPr>
            <w:tcW w:type="dxa" w:w="1944"/>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5"/>
              </w:rPr>
            </w:r>
            <w:r>
              <w:rPr>
                <w:rFonts w:ascii="Times New Roman" w:hAnsi="Times New Roman" w:eastAsia="Times New Roman"/>
                <w:b/>
                <w:sz w:val="15"/>
              </w:rPr>
              <w:t>Dataset</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5"/>
              </w:rPr>
            </w:r>
            <w:r>
              <w:rPr>
                <w:rFonts w:ascii="Times New Roman" w:hAnsi="Times New Roman" w:eastAsia="Times New Roman"/>
                <w:b/>
                <w:sz w:val="15"/>
              </w:rPr>
              <w:t>Nodes</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5"/>
              </w:rPr>
            </w:r>
            <w:r>
              <w:rPr>
                <w:rFonts w:ascii="Times New Roman" w:hAnsi="Times New Roman" w:eastAsia="Times New Roman"/>
                <w:b/>
                <w:sz w:val="15"/>
              </w:rPr>
              <w:t>Edges</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5"/>
              </w:rPr>
            </w:r>
            <w:r>
              <w:rPr>
                <w:rFonts w:ascii="Times New Roman" w:hAnsi="Times New Roman" w:eastAsia="Times New Roman"/>
                <w:b/>
                <w:sz w:val="15"/>
              </w:rPr>
              <w:t>Fixed paths</w:t>
            </w:r>
          </w:p>
        </w:tc>
        <w:tc>
          <w:tcPr>
            <w:tcW w:type="dxa" w:w="223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5"/>
              </w:rPr>
            </w:r>
            <w:r>
              <w:rPr>
                <w:rFonts w:ascii="Times New Roman" w:hAnsi="Times New Roman" w:eastAsia="Times New Roman"/>
                <w:b/>
                <w:sz w:val="15"/>
              </w:rPr>
              <w:t>Source-hop contexts</w:t>
            </w:r>
          </w:p>
        </w:tc>
      </w:tr>
      <w:tr>
        <w:trPr>
          <w:cantSplit/>
        </w:trPr>
        <w:tc>
          <w:tcPr>
            <w:tcW w:type="dxa" w:w="194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AGNews</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2,614</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6,542</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438</w:t>
            </w:r>
          </w:p>
        </w:tc>
        <w:tc>
          <w:tcPr>
            <w:tcW w:type="dxa" w:w="223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150</w:t>
            </w:r>
          </w:p>
        </w:tc>
      </w:tr>
      <w:tr>
        <w:trPr>
          <w:cantSplit/>
        </w:trPr>
        <w:tc>
          <w:tcPr>
            <w:tcW w:type="dxa" w:w="194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CNN_DM</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4,953</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15,248</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448</w:t>
            </w:r>
          </w:p>
        </w:tc>
        <w:tc>
          <w:tcPr>
            <w:tcW w:type="dxa" w:w="223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150</w:t>
            </w:r>
          </w:p>
        </w:tc>
      </w:tr>
      <w:tr>
        <w:trPr>
          <w:cantSplit/>
        </w:trPr>
        <w:tc>
          <w:tcPr>
            <w:tcW w:type="dxa" w:w="194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IMDB</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3,119</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8,102</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436</w:t>
            </w:r>
          </w:p>
        </w:tc>
        <w:tc>
          <w:tcPr>
            <w:tcW w:type="dxa" w:w="223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150</w:t>
            </w:r>
          </w:p>
        </w:tc>
      </w:tr>
      <w:tr>
        <w:trPr>
          <w:cantSplit/>
        </w:trPr>
        <w:tc>
          <w:tcPr>
            <w:tcW w:type="dxa" w:w="194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PubMed</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1,070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4,254</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442</w:t>
            </w:r>
          </w:p>
        </w:tc>
        <w:tc>
          <w:tcPr>
            <w:tcW w:type="dxa" w:w="223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150</w:t>
            </w:r>
          </w:p>
        </w:tc>
      </w:tr>
      <w:tr>
        <w:trPr>
          <w:cantSplit/>
        </w:trPr>
        <w:tc>
          <w:tcPr>
            <w:tcW w:type="dxa" w:w="194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SynthPII</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sz w:val="15"/>
              </w:rPr>
            </w:r>
            <w:r>
              <w:rPr>
                <w:rFonts w:ascii="Times New Roman" w:hAnsi="Times New Roman" w:eastAsia="Times New Roman"/>
                <w:b w:val="0"/>
                <w:sz w:val="15"/>
              </w:rPr>
              <w:t>800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2,400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444</w:t>
            </w:r>
          </w:p>
        </w:tc>
        <w:tc>
          <w:tcPr>
            <w:tcW w:type="dxa" w:w="223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5"/>
              </w:rPr>
            </w:r>
            <w:r>
              <w:rPr>
                <w:rFonts w:ascii="Times New Roman" w:hAnsi="Times New Roman" w:eastAsia="Times New Roman"/>
                <w:b w:val="0"/>
                <w:sz w:val="15"/>
              </w:rPr>
              <w:t>150</w:t>
            </w:r>
          </w:p>
        </w:tc>
      </w:tr>
    </w:tbl>
    <w:p/>
    <w:p>
      <w:pPr>
        <w:pStyle w:val="Heading2"/>
      </w:pPr>
      <w:r>
        <w:t>5.2. Sensitivity Policies and Experimental Operating Points</w:t>
      </w:r>
    </w:p>
    <w:p>
      <w:r>
        <w:rPr>
          <w:rFonts w:ascii="Times New Roman" w:hAnsi="Times New Roman" w:eastAsia="Times New Roman"/>
          <w:sz w:val="22"/>
        </w:rPr>
        <w:t>The experiments used the pre-specified policy and transformation settings defined in Section 4. A node was eligible for entity protection when its personally identifiable information indicator was active or its node-sensitivity score was at least 0.45. Eligible nodes were ranked using the implemented risk score. At the default operating point, the selection target was computed by applying the implementation's integer-rounding and bounding rules to 0.75 times the eligible-candidate count; the highest-ranked nodes were selected until that target was reached. An edge was designated as sensitive when its supplied sensitivity indicator was active or its relation-sensitivity score was at least 0.45. The default relation- and topology-level rewiring rates were 0.12 and 0.08, respectively. These values were pre-specified operational settings rather than test-derived probability thresholds or formal privacy parameters.</w:t>
      </w:r>
    </w:p>
    <w:p>
      <w:r>
        <w:rPr>
          <w:rFonts w:ascii="Times New Roman" w:hAnsi="Times New Roman" w:eastAsia="Times New Roman"/>
          <w:sz w:val="22"/>
        </w:rPr>
        <w:t>Sensitivity assignments for the public datasets should not be interpreted as claims that the source records contain confidential labels. They served as dataset-specific experimental policy proxies for controlled evaluation. The AGNews policy was based on topic and relation context; the CNN/DailyMail policy on sensitive news topics and summary exposure; the IMDB policy on opinion, negative sentiment, and spoiler context; and the PubMed policy on medical-relation classes. The PubMed assignments do not constitute a claim of patient-level confidentiality. The SynthPII policy directly represented synthetic personally identifiable entities and sensitive workflow relations.</w:t>
      </w:r>
    </w:p>
    <w:p>
      <w:r>
        <w:rPr>
          <w:rFonts w:ascii="Times New Roman" w:hAnsi="Times New Roman" w:eastAsia="Times New Roman"/>
          <w:sz w:val="22"/>
        </w:rPr>
        <w:t>After self-loops and duplicate undirected edges had been excluded, the policy designated 3,552 of 6,542 edges as sensitive for AGNews (54.30%), 13,996 of 15,248 for CNN/DailyMail (91.79%), 5,680 of 8,102 for IMDB (70.11%), 4,101 of 4,254 for PubMed (96.40%), and 2,207 of 2,400 for SynthPII (91.96%). Supplementary Table S11 reports the dataset-specific assignment bases, relation-type counts, and realized sensitive-edge prevalence.</w:t>
      </w:r>
    </w:p>
    <w:p>
      <w:r>
        <w:rPr>
          <w:rFonts w:ascii="Times New Roman" w:hAnsi="Times New Roman" w:eastAsia="Times New Roman"/>
          <w:sz w:val="22"/>
        </w:rPr>
        <w:t xml:space="preserve">A separate minority-sensitive ablation examined whether the protection–utility profile persisted at lower sensitive-edge prevalence. For each dataset, the node file was copied unchanged, while the edge-row structure and relation information were retained. The original </w:t>
      </w:r>
      <w:r>
        <w:rPr>
          <w:rFonts w:ascii="Courier New" w:hAnsi="Courier New" w:eastAsia="Courier New"/>
          <w:sz w:val="19"/>
        </w:rPr>
        <w:t>sensitive</w:t>
      </w:r>
      <w:r>
        <w:rPr>
          <w:rFonts w:ascii="Times New Roman" w:hAnsi="Times New Roman" w:eastAsia="Times New Roman"/>
          <w:sz w:val="22"/>
        </w:rPr>
        <w:t xml:space="preserve"> values were copied to a new </w:t>
      </w:r>
      <w:r>
        <w:rPr>
          <w:rFonts w:ascii="Courier New" w:hAnsi="Courier New" w:eastAsia="Courier New"/>
          <w:sz w:val="19"/>
        </w:rPr>
        <w:t>original_sensitive</w:t>
      </w:r>
      <w:r>
        <w:rPr>
          <w:rFonts w:ascii="Times New Roman" w:hAnsi="Times New Roman" w:eastAsia="Times New Roman"/>
          <w:sz w:val="22"/>
        </w:rPr>
        <w:t xml:space="preserve"> field for traceability; the </w:t>
      </w:r>
      <w:r>
        <w:rPr>
          <w:rFonts w:ascii="Courier New" w:hAnsi="Courier New" w:eastAsia="Courier New"/>
          <w:sz w:val="19"/>
        </w:rPr>
        <w:t>sensitive</w:t>
      </w:r>
      <w:r>
        <w:rPr>
          <w:rFonts w:ascii="Times New Roman" w:hAnsi="Times New Roman" w:eastAsia="Times New Roman"/>
          <w:sz w:val="22"/>
        </w:rPr>
        <w:t xml:space="preserve"> field was then reset and reassigned to a deterministically selected subset of rows drawn from the original policy-positive candidate set. Sensitive subsets targeted 5%, 10%, 20%, and 30% of the source edge rows. Selection was deterministic, using policy seed 20260621 together with local seeds derived from the dataset and prevalence label. Final evaluation was performed on the graphs produced by applying the standard graph-loading procedure to these inputs.</w:t>
      </w:r>
    </w:p>
    <w:p>
      <w:r>
        <w:t>This ablation evaluates prevalence within the original policy-positive candidate set and does not generate policy false positives or false negatives. Those risks were evaluated separately through nested false-negative, false-positive, and symmetric policy-error scenarios at 5%, 10%, and 20% (Section 5.4; Supplementary Table S21).</w:t>
      </w:r>
    </w:p>
    <w:p>
      <w:r>
        <w:rPr>
          <w:rFonts w:ascii="Times New Roman" w:hAnsi="Times New Roman" w:eastAsia="Times New Roman"/>
          <w:sz w:val="22"/>
        </w:rPr>
        <w:t xml:space="preserve">The minority-sensitive design covered five datasets, four target prevalence levels, 15 protection seeds, and four conditions: the unprotected baseline, full TAFP-GraphRAG, </w:t>
      </w:r>
      <w:r>
        <w:rPr>
          <w:rFonts w:ascii="Courier New" w:hAnsi="Courier New" w:eastAsia="Courier New"/>
          <w:sz w:val="19"/>
        </w:rPr>
        <w:t>random_full_budget</w:t>
      </w:r>
      <w:r>
        <w:rPr>
          <w:rFonts w:ascii="Times New Roman" w:hAnsi="Times New Roman" w:eastAsia="Times New Roman"/>
          <w:sz w:val="22"/>
        </w:rPr>
        <w:t xml:space="preserve">, and </w:t>
      </w:r>
      <w:r>
        <w:rPr>
          <w:rFonts w:ascii="Courier New" w:hAnsi="Courier New" w:eastAsia="Courier New"/>
          <w:sz w:val="19"/>
        </w:rPr>
        <w:t>random_relation_budget</w:t>
      </w:r>
      <w:r>
        <w:rPr>
          <w:rFonts w:ascii="Times New Roman" w:hAnsi="Times New Roman" w:eastAsia="Times New Roman"/>
          <w:sz w:val="22"/>
        </w:rPr>
        <w:t>. The factorial design specified 1,200 experimental conditions. The evaluated outcomes were original sensitive-relation label concealment, non-sensitive semantic retention, original-edge retention, and exact per-node degree preservation.</w:t>
      </w:r>
    </w:p>
    <w:p>
      <w:pPr/>
      <w:r>
        <w:t>Graph-level non-sensitive semantic retention was computed over all original edges classified as non-sensitive by the supplied policy. An original edge contributed one only when the transformed graph still contained the same unordered endpoint pair and its exposed relation label equaled the original relation_type; a removed or rewired-away original edge contributed zero. The per-condition score was the number of such preserved original non-sensitive relations divided by the total number of original policy-non-sensitive edges. Table 2 reports the arithmetic mean and standard deviation of this edge-level ratio across 15 protection seeds for each dataset and variant; the reported cross-dataset range is not a pooled micro-average.</w:t>
      </w:r>
    </w:p>
    <w:p>
      <w:r>
        <w:rPr>
          <w:rFonts w:ascii="Times New Roman" w:hAnsi="Times New Roman" w:eastAsia="Times New Roman"/>
          <w:sz w:val="22"/>
        </w:rPr>
        <w:t>Parameter sensitivity around the default operating point was evaluated through a one-factor-at-a-time design. The entity-selection rate was examined at 0.50, 0.75, and 1.00; the relation-level rewiring rate at 0.06, 0.12, and 0.18; and the topology-level rewiring rate at 0.04, 0.08, and 0.12. In each sweep, the remaining two parameters were held at their default values, and every setting was evaluated over the same 15 protection seeds. This design isolated the effect of each transformation parameter without simultaneously changing multiple perturbation quantities.</w:t>
      </w:r>
    </w:p>
    <w:p>
      <w:pPr>
        <w:pStyle w:val="Heading2"/>
      </w:pPr>
      <w:r>
        <w:t>5.3. Protection Variants and Matched Controls</w:t>
      </w:r>
    </w:p>
    <w:p>
      <w:r>
        <w:rPr>
          <w:rFonts w:ascii="Times New Roman" w:hAnsi="Times New Roman" w:eastAsia="Times New Roman"/>
          <w:sz w:val="22"/>
        </w:rPr>
        <w:t>The same 15 protection seeds were used throughout the primary graph experiments: 1, 7, 21, 42, 99, 123, 202, 303, 404, 505, 606, 707, 808, 909, and 1001. The primary matrix combined five datasets, 15 seeds, and seven variants, yielding 525 graph conditions.</w:t>
      </w:r>
    </w:p>
    <w:p>
      <w:r>
        <w:rPr>
          <w:rFonts w:ascii="Times New Roman" w:hAnsi="Times New Roman" w:eastAsia="Times New Roman"/>
          <w:sz w:val="22"/>
        </w:rPr>
        <w:t xml:space="preserve">The </w:t>
      </w:r>
      <w:r>
        <w:rPr>
          <w:rFonts w:ascii="Courier New" w:hAnsi="Courier New" w:eastAsia="Courier New"/>
          <w:sz w:val="19"/>
        </w:rPr>
        <w:t>baseline</w:t>
      </w:r>
      <w:r>
        <w:rPr>
          <w:rFonts w:ascii="Times New Roman" w:hAnsi="Times New Roman" w:eastAsia="Times New Roman"/>
          <w:sz w:val="22"/>
        </w:rPr>
        <w:t xml:space="preserve"> condition was a copy of the original graph with no pseudonymization, relation-label concealment, rewiring, or edge deletion.</w:t>
      </w:r>
    </w:p>
    <w:p>
      <w:r>
        <w:rPr>
          <w:rFonts w:ascii="Times New Roman" w:hAnsi="Times New Roman" w:eastAsia="Times New Roman"/>
          <w:sz w:val="22"/>
        </w:rPr>
        <w:t xml:space="preserve">The </w:t>
      </w:r>
      <w:r>
        <w:rPr>
          <w:rFonts w:ascii="Courier New" w:hAnsi="Courier New" w:eastAsia="Courier New"/>
          <w:sz w:val="19"/>
        </w:rPr>
        <w:t>relation_only</w:t>
      </w:r>
      <w:r>
        <w:rPr>
          <w:rFonts w:ascii="Times New Roman" w:hAnsi="Times New Roman" w:eastAsia="Times New Roman"/>
          <w:sz w:val="22"/>
        </w:rPr>
        <w:t xml:space="preserve"> variant replaced the exposed labels of policy-designated sensitive relations with </w:t>
      </w:r>
      <w:r>
        <w:rPr>
          <w:rFonts w:ascii="Courier New" w:hAnsi="Courier New" w:eastAsia="Courier New"/>
          <w:sz w:val="19"/>
        </w:rPr>
        <w:t>PRIVATE_RELATION</w:t>
      </w:r>
      <w:r>
        <w:rPr>
          <w:rFonts w:ascii="Times New Roman" w:hAnsi="Times New Roman" w:eastAsia="Times New Roman"/>
          <w:sz w:val="22"/>
        </w:rPr>
        <w:t xml:space="preserve"> and applied relation-level degree-preserving rewiring only to the sensitive-edge candidate set. It did not apply entity pseudonymization or topology-level rewiring.</w:t>
      </w:r>
    </w:p>
    <w:p>
      <w:r>
        <w:rPr>
          <w:rFonts w:ascii="Times New Roman" w:hAnsi="Times New Roman" w:eastAsia="Times New Roman"/>
          <w:sz w:val="22"/>
        </w:rPr>
        <w:t xml:space="preserve">The </w:t>
      </w:r>
      <w:r>
        <w:rPr>
          <w:rFonts w:ascii="Courier New" w:hAnsi="Courier New" w:eastAsia="Courier New"/>
          <w:sz w:val="19"/>
        </w:rPr>
        <w:t>topology_only</w:t>
      </w:r>
      <w:r>
        <w:rPr>
          <w:rFonts w:ascii="Times New Roman" w:hAnsi="Times New Roman" w:eastAsia="Times New Roman"/>
          <w:sz w:val="22"/>
        </w:rPr>
        <w:t xml:space="preserve"> variant applied topology-level degree-preserving rewiring to the complete current edge set. It did not pseudonymize entity labels or systematically replace sensitive-relation labels.</w:t>
      </w:r>
    </w:p>
    <w:p>
      <w:r>
        <w:rPr>
          <w:rFonts w:ascii="Times New Roman" w:hAnsi="Times New Roman" w:eastAsia="Times New Roman"/>
          <w:sz w:val="22"/>
        </w:rPr>
        <w:t xml:space="preserve">The </w:t>
      </w:r>
      <w:r>
        <w:rPr>
          <w:rFonts w:ascii="Courier New" w:hAnsi="Courier New" w:eastAsia="Courier New"/>
          <w:sz w:val="19"/>
        </w:rPr>
        <w:t>full</w:t>
      </w:r>
      <w:r>
        <w:rPr>
          <w:rFonts w:ascii="Times New Roman" w:hAnsi="Times New Roman" w:eastAsia="Times New Roman"/>
          <w:sz w:val="22"/>
        </w:rPr>
        <w:t xml:space="preserve"> variant sequentially applied pseudonymization of policy-selected entities, concealment of designated sensitive-relation labels, relation-level rewiring over sensitive edges, and topology-level rewiring over the complete current edge set.</w:t>
      </w:r>
    </w:p>
    <w:p>
      <w:r>
        <w:rPr>
          <w:rFonts w:ascii="Times New Roman" w:hAnsi="Times New Roman" w:eastAsia="Times New Roman"/>
          <w:sz w:val="22"/>
        </w:rPr>
        <w:t xml:space="preserve">The </w:t>
      </w:r>
      <w:r>
        <w:rPr>
          <w:rFonts w:ascii="Courier New" w:hAnsi="Courier New" w:eastAsia="Courier New"/>
          <w:sz w:val="19"/>
        </w:rPr>
        <w:t>random_relation_budget</w:t>
      </w:r>
      <w:r>
        <w:rPr>
          <w:rFonts w:ascii="Times New Roman" w:hAnsi="Times New Roman" w:eastAsia="Times New Roman"/>
          <w:sz w:val="22"/>
        </w:rPr>
        <w:t xml:space="preserve"> control was used to separate sensitivity guidance from transformation quantity. It sampled, uniformly from the complete edge set, the same number of edges as the number designated sensitive by the policy. The exposed labels of the sampled edges were replaced with the protected marker, and the relation-level rewiring target was computed using the same rate and integer-target rules as in </w:t>
      </w:r>
      <w:r>
        <w:rPr>
          <w:rFonts w:ascii="Courier New" w:hAnsi="Courier New" w:eastAsia="Courier New"/>
          <w:sz w:val="19"/>
        </w:rPr>
        <w:t>relation_only</w:t>
      </w:r>
      <w:r>
        <w:rPr>
          <w:rFonts w:ascii="Times New Roman" w:hAnsi="Times New Roman" w:eastAsia="Times New Roman"/>
          <w:sz w:val="22"/>
        </w:rPr>
        <w:t>. The two conditions were therefore matched by selected-edge count and target transformation quantity; they differed in whether edge selection was policy guided or random.</w:t>
      </w:r>
    </w:p>
    <w:p>
      <w:r>
        <w:rPr>
          <w:rFonts w:ascii="Times New Roman" w:hAnsi="Times New Roman" w:eastAsia="Times New Roman"/>
          <w:sz w:val="22"/>
        </w:rPr>
        <w:t xml:space="preserve">The </w:t>
      </w:r>
      <w:r>
        <w:rPr>
          <w:rFonts w:ascii="Courier New" w:hAnsi="Courier New" w:eastAsia="Courier New"/>
          <w:sz w:val="19"/>
        </w:rPr>
        <w:t>random_edge_dropout</w:t>
      </w:r>
      <w:r>
        <w:rPr>
          <w:rFonts w:ascii="Times New Roman" w:hAnsi="Times New Roman" w:eastAsia="Times New Roman"/>
          <w:sz w:val="22"/>
        </w:rPr>
        <w:t xml:space="preserve"> control uniformly selected an even number of edges derived from the topology-rewiring rate and removed them without replacement edges. It was therefore an intentionally non-degree-preserving deletion control that changed both edge count and node degrees.</w:t>
      </w:r>
    </w:p>
    <w:p>
      <w:r>
        <w:rPr>
          <w:rFonts w:ascii="Times New Roman" w:hAnsi="Times New Roman" w:eastAsia="Times New Roman"/>
          <w:sz w:val="22"/>
        </w:rPr>
        <w:t xml:space="preserve">The </w:t>
      </w:r>
      <w:r>
        <w:rPr>
          <w:rFonts w:ascii="Courier New" w:hAnsi="Courier New" w:eastAsia="Courier New"/>
          <w:sz w:val="19"/>
        </w:rPr>
        <w:t>random_full_budget</w:t>
      </w:r>
      <w:r>
        <w:rPr>
          <w:rFonts w:ascii="Times New Roman" w:hAnsi="Times New Roman" w:eastAsia="Times New Roman"/>
          <w:sz w:val="22"/>
        </w:rPr>
        <w:t xml:space="preserve"> condition was the sensitivity-blind, budget-matched control for the full variant. It selected from the complete node set the same target number of entities computed for the full condition. It then sampled from the complete edge set the same number of edges as the policy-sensitive edge count and applied the same relation-rewiring rate. Finally, it applied the same topology-rewiring rate as the full variant. This control retained the target entity and edge transformation quantities while removing the policy guidance that determined which items were protected.</w:t>
      </w:r>
    </w:p>
    <w:p>
      <w:r>
        <w:rPr>
          <w:rFonts w:ascii="Times New Roman" w:hAnsi="Times New Roman" w:eastAsia="Times New Roman"/>
          <w:sz w:val="22"/>
        </w:rPr>
        <w:t xml:space="preserve">The pre-specified semantic-selectivity comparisons were </w:t>
      </w:r>
      <w:r>
        <w:rPr>
          <w:rFonts w:ascii="Courier New" w:hAnsi="Courier New" w:eastAsia="Courier New"/>
          <w:sz w:val="19"/>
        </w:rPr>
        <w:t>relation_only</w:t>
      </w:r>
      <w:r>
        <w:rPr>
          <w:rFonts w:ascii="Times New Roman" w:hAnsi="Times New Roman" w:eastAsia="Times New Roman"/>
          <w:sz w:val="22"/>
        </w:rPr>
        <w:t xml:space="preserve"> versus </w:t>
      </w:r>
      <w:r>
        <w:rPr>
          <w:rFonts w:ascii="Courier New" w:hAnsi="Courier New" w:eastAsia="Courier New"/>
          <w:sz w:val="19"/>
        </w:rPr>
        <w:t>random_relation_budget</w:t>
      </w:r>
      <w:r>
        <w:rPr>
          <w:rFonts w:ascii="Times New Roman" w:hAnsi="Times New Roman" w:eastAsia="Times New Roman"/>
          <w:sz w:val="22"/>
        </w:rPr>
        <w:t xml:space="preserve"> and </w:t>
      </w:r>
      <w:r>
        <w:rPr>
          <w:rFonts w:ascii="Courier New" w:hAnsi="Courier New" w:eastAsia="Courier New"/>
          <w:sz w:val="19"/>
        </w:rPr>
        <w:t>full</w:t>
      </w:r>
      <w:r>
        <w:rPr>
          <w:rFonts w:ascii="Times New Roman" w:hAnsi="Times New Roman" w:eastAsia="Times New Roman"/>
          <w:sz w:val="22"/>
        </w:rPr>
        <w:t xml:space="preserve"> versus </w:t>
      </w:r>
      <w:r>
        <w:rPr>
          <w:rFonts w:ascii="Courier New" w:hAnsi="Courier New" w:eastAsia="Courier New"/>
          <w:sz w:val="19"/>
        </w:rPr>
        <w:t>random_full_budget</w:t>
      </w:r>
      <w:r>
        <w:rPr>
          <w:rFonts w:ascii="Times New Roman" w:hAnsi="Times New Roman" w:eastAsia="Times New Roman"/>
          <w:sz w:val="22"/>
        </w:rPr>
        <w:t xml:space="preserve">. These pairings were designed to separate sensitivity guidance from differences in approximate transformation volume. </w:t>
      </w:r>
      <w:r>
        <w:rPr>
          <w:rFonts w:ascii="Courier New" w:hAnsi="Courier New" w:eastAsia="Courier New"/>
          <w:sz w:val="19"/>
        </w:rPr>
        <w:t>random_edge_dropout</w:t>
      </w:r>
      <w:r>
        <w:rPr>
          <w:rFonts w:ascii="Times New Roman" w:hAnsi="Times New Roman" w:eastAsia="Times New Roman"/>
          <w:sz w:val="22"/>
        </w:rPr>
        <w:t xml:space="preserve"> served instead as a deletion-based structural reference and was not treated as a matched sensitivity-guidance control.</w:t>
      </w:r>
    </w:p>
    <w:p>
      <w:r>
        <w:rPr>
          <w:rFonts w:ascii="Times New Roman" w:hAnsi="Times New Roman" w:eastAsia="Times New Roman"/>
          <w:sz w:val="22"/>
        </w:rPr>
        <w:t xml:space="preserve">In addition to the seven primary variants, a separate sensitivity-blind 2K full-budget control was evaluated. The internal </w:t>
      </w:r>
      <w:r>
        <w:rPr>
          <w:rFonts w:ascii="Courier New" w:hAnsi="Courier New" w:eastAsia="Courier New"/>
          <w:sz w:val="19"/>
        </w:rPr>
        <w:t>dk2_full_budget</w:t>
      </w:r>
      <w:r>
        <w:rPr>
          <w:rFonts w:ascii="Times New Roman" w:hAnsi="Times New Roman" w:eastAsia="Times New Roman"/>
          <w:sz w:val="22"/>
        </w:rPr>
        <w:t xml:space="preserve"> condition used the same entity, relation, and topology targets as the full-budget conditions while preserving each node's original degree and the complete undirected joint-degree distribution. This control added 75 unique transformations across five datasets and 15 seeds. The three-way matched analysis of full TAFP-GraphRAG, </w:t>
      </w:r>
      <w:r>
        <w:rPr>
          <w:rFonts w:ascii="Courier New" w:hAnsi="Courier New" w:eastAsia="Courier New"/>
          <w:sz w:val="19"/>
        </w:rPr>
        <w:t>random_full_budget</w:t>
      </w:r>
      <w:r>
        <w:rPr>
          <w:rFonts w:ascii="Times New Roman" w:hAnsi="Times New Roman" w:eastAsia="Times New Roman"/>
          <w:sz w:val="22"/>
        </w:rPr>
        <w:t xml:space="preserve">, and 2K contained 225 condition records; the full and </w:t>
      </w:r>
      <w:r>
        <w:rPr>
          <w:rFonts w:ascii="Courier New" w:hAnsi="Courier New" w:eastAsia="Courier New"/>
          <w:sz w:val="19"/>
        </w:rPr>
        <w:t>random_full_budget</w:t>
      </w:r>
      <w:r>
        <w:rPr>
          <w:rFonts w:ascii="Times New Roman" w:hAnsi="Times New Roman" w:eastAsia="Times New Roman"/>
          <w:sz w:val="22"/>
        </w:rPr>
        <w:t xml:space="preserve"> records were reused from the primary matrix.</w:t>
      </w:r>
    </w:p>
    <w:p>
      <w:pPr/>
      <w:r>
        <w:t>The exact 2K implementation and controlled telemetry are hash-identified. Supplementary Table S17 reports the matched relation and topology targets, realized rewiring counts, exact degree and joint-degree checks, component metrics, and runtime; Supplementary Table S18 reports the paired semantic-selectivity and structural-fidelity comparisons.</w:t>
      </w:r>
    </w:p>
    <w:p>
      <w:pPr>
        <w:pStyle w:val="Heading2"/>
      </w:pPr>
      <w:r>
        <w:t>5.4. Security and Privacy Evaluation Protocols</w:t>
      </w:r>
    </w:p>
    <w:p>
      <w:r>
        <w:rPr>
          <w:rFonts w:ascii="Times New Roman" w:hAnsi="Times New Roman" w:eastAsia="Times New Roman"/>
          <w:sz w:val="22"/>
        </w:rPr>
        <w:t>Protection was evaluated under distinct adversarial observation surfaces rather than being reduced to a single privacy score. The protocols separately examined inference of original edge existence, recovery of original relation types after explicit labels had been excluded, inference of supplied-policy membership from released protection markers, robustness to incorrect sensitivity assignments, and relation inference from learned graph representations.</w:t>
      </w:r>
    </w:p>
    <w:p>
      <w:r>
        <w:rPr>
          <w:rFonts w:ascii="Times New Roman" w:hAnsi="Times New Roman" w:eastAsia="Times New Roman"/>
          <w:sz w:val="22"/>
        </w:rPr>
        <w:t>The fixed-edge protocol measured residual evidence that a node pair had been connected in the original graph. Sensitive and non-sensitive positive edges were evaluated as separate target groups. For each positive edge, a unique negative pair absent from the original graph was generated and matched to the positive pair by endpoint-degree classes. Across five datasets, 15 protection seeds, seven primary variants, and two target groups, the protocol contained 1,050 condition summaries and 210,000 candidate-level records. Reported outcomes were local structural AUC, hybrid edge-inference AUC, positive-edge retention, original relation-label recovery, conditional relation recovery among retained edges, and the negative false-edge rate.</w:t>
      </w:r>
    </w:p>
    <w:p>
      <w:r>
        <w:rPr>
          <w:rFonts w:ascii="Times New Roman" w:hAnsi="Times New Roman" w:eastAsia="Times New Roman"/>
          <w:sz w:val="22"/>
        </w:rPr>
        <w:t>The structure-only relation-inference protocol tested whether an edge's original relation type could be predicted from local topology after explicit relation labels and released node attributes had been excluded. PubMed and SynthPII were evaluated under ten stratified train-test partitions, 15 protection seeds, and seven primary variants, yielding 2,100 attack conditions. Endpoint-pair features comprised endpoint-degree summaries, common-neighbor measures, Jaccard and resource-allocation scores, endpoint clustering statistics, shortest-path distance after removal of the target edge, and an indicator for disconnected endpoint pairs. Entity types and neighboring released relation-label distributions were excluded. Feature dictionaries were vectorized, scaled without mean centering, and classified using L2-regularized multinomial logistic regression. Macro-F1 was the primary outcome and balanced accuracy the secondary outcome.</w:t>
      </w:r>
    </w:p>
    <w:p>
      <w:r>
        <w:rPr>
          <w:rFonts w:ascii="Times New Roman" w:hAnsi="Times New Roman" w:eastAsia="Times New Roman"/>
          <w:sz w:val="22"/>
        </w:rPr>
        <w:t>A separate sensitivity-marker protocol tested whether released protected-label patterns disclosed whether an original edge belonged to the supplied sensitive-policy set. Before transformation, each original edge was assigned provenance fields containing its original endpoint pair, original relation label, original policy-sensitivity class, and a deterministic cover-set score. Five datasets and 15 protection seeds were evaluated under seven release modes: the default private marker, relation-label omission, and shared coarse-cover settings applied to 10%, 25%, 50%, 75%, or 100% of non-sensitive relations, yielding 525 conditions. The protocol separately measured provenance-level policy-membership AUC, marker precision, provenance-level sensitive-relation concealment, endpoint-conditioned concealment, global non-sensitive semantic retention, original-edge retention, retained-endpoint collisions, and exact degree preservation. Comparisons between each shared-cover mode and the default private marker used paired exact sign-flip tests, 20,000-replicate bootstrap confidence intervals for mean differences, and Holm adjustment within each tested metric.</w:t>
      </w:r>
    </w:p>
    <w:p>
      <w:r>
        <w:rPr>
          <w:rFonts w:ascii="Times New Roman" w:hAnsi="Times New Roman" w:eastAsia="Times New Roman"/>
          <w:sz w:val="22"/>
        </w:rPr>
        <w:t>Sensitivity-policy quality was evaluated through a separate misclassification-robustness protocol. For every dataset and protection seed, the clean oracle policy was perturbed using deterministic edge-level scores. False-negative scenarios removed supplied-policy labels only from oracle-sensitive edges, false-positive scenarios added labels only to oracle-non-sensitive edges, and symmetric scenarios allowed both error types. Error rates of 5%, 10%, and 20% were defined from common deterministic scores, making the perturbation sets nested within each error family. Five datasets, 15 protection seeds, and ten policy scenarios produced 750 conditions. Supplied-policy fidelity measures were reported separately from oracle-grounded concealment and preservation measures so that faithful execution of an incorrect supplied policy was not interpreted as protection under the original policy. The protocol also audited exact degree and edge-count preservation. Each noisy-policy condition was compared with the clean-policy condition using paired exact sign-flip tests, 20,000-replicate bootstrap confidence intervals, and Holm adjustment within each metric.</w:t>
      </w:r>
    </w:p>
    <w:p>
      <w:r>
        <w:rPr>
          <w:rFonts w:ascii="Times New Roman" w:hAnsi="Times New Roman" w:eastAsia="Times New Roman"/>
          <w:sz w:val="22"/>
        </w:rPr>
        <w:t>Embedding-based relation inference was evaluated from deterministic 16-dimensional spectral node representations. For each protected graph, the adjacency matrix was symmetrically normalized as D⁻¹⁄² A D⁻¹⁄². The largest 17 eigenvectors were computed, the leading eigenvector was excluded, and the remaining 16 dimensions were row normalized. For each evaluated endpoint pair, the attack representation concatenated the absolute embedding difference, Hadamard product, vector sum, dot product, and Euclidean distance; no relation label was included as an input feature. PubMed and SynthPII were evaluated over 15 protection seeds, ten edge-disjoint split seeds, five graph variants, and two attack models, yielding 3,000 model evaluations. The first attacker used standardized multinomial logistic regression with balanced class weights. The second used standardized features, deterministic class-balanced resampling of the training set, and a multilayer perceptron with hidden layers of 64 and 32 units. Macro-F1, balanced accuracy, and accuracy were recorded, together with degree-preservation, edge-count, convergence, and split-integrity audits.</w:t>
      </w:r>
    </w:p>
    <w:p>
      <w:r>
        <w:rPr>
          <w:rFonts w:ascii="Times New Roman" w:hAnsi="Times New Roman" w:eastAsia="Times New Roman"/>
          <w:sz w:val="22"/>
        </w:rPr>
        <w:t>The spectral results were analyzed with a locked paired post-analysis. The 3,000-row source file was hash-verified before and after analysis. For each dataset, attack model, metric, and predefined variant comparison, observations were paired by protection seed and split seed. Statistical inference used a Wilcoxon signed-rank test on protection-seed cluster means, deterministic 5,000-replicate hierarchical-bootstrap confidence intervals that resampled protection-seed clusters and then split-level observations within clusters, and Holm adjustment both globally and within metric. The post-analysis generated 20 summary rows, 48 paired-test rows across Macro-F1, balanced accuracy, and accuracy, and a 16-row Macro-F1 subset.</w:t>
      </w:r>
    </w:p>
    <w:p>
      <w:r>
        <w:rPr>
          <w:rFonts w:ascii="Times New Roman" w:hAnsi="Times New Roman" w:eastAsia="Times New Roman"/>
          <w:sz w:val="22"/>
        </w:rPr>
        <w:t xml:space="preserve">For the broadest released-view attack, an explicit </w:t>
      </w:r>
      <w:r>
        <w:rPr>
          <w:rFonts w:ascii="Courier New" w:hAnsi="Courier New" w:eastAsia="Courier New"/>
          <w:sz w:val="19"/>
        </w:rPr>
        <w:t>TAFP_RELEASE_VIEW_V1</w:t>
      </w:r>
      <w:r>
        <w:rPr>
          <w:rFonts w:ascii="Times New Roman" w:hAnsi="Times New Roman" w:eastAsia="Times New Roman"/>
          <w:sz w:val="22"/>
        </w:rPr>
        <w:t xml:space="preserve"> projection was applied before model training. Node keys were replaced with protected labels or pseudonyms; only </w:t>
      </w:r>
      <w:r>
        <w:rPr>
          <w:rFonts w:ascii="Courier New" w:hAnsi="Courier New" w:eastAsia="Courier New"/>
          <w:sz w:val="19"/>
        </w:rPr>
        <w:t>entity_type</w:t>
      </w:r>
      <w:r>
        <w:rPr>
          <w:rFonts w:ascii="Times New Roman" w:hAnsi="Times New Roman" w:eastAsia="Times New Roman"/>
          <w:sz w:val="22"/>
        </w:rPr>
        <w:t xml:space="preserve"> was retained on nodes and the released protected relation type on edges. Raw text, original node and relation labels, sensitivity indicators and scores, and audit metadata were removed. A two-layer GCN graph autoencoder with 64 hidden units, a 32-dimensional output, and 160 training epochs generated node representations. Endpoint-pair classification used a class-balanced </w:t>
      </w:r>
      <w:r>
        <w:rPr>
          <w:rFonts w:ascii="Courier New" w:hAnsi="Courier New" w:eastAsia="Courier New"/>
          <w:sz w:val="19"/>
        </w:rPr>
        <w:t>(64, 32)</w:t>
      </w:r>
      <w:r>
        <w:rPr>
          <w:rFonts w:ascii="Times New Roman" w:hAnsi="Times New Roman" w:eastAsia="Times New Roman"/>
          <w:sz w:val="22"/>
        </w:rPr>
        <w:t xml:space="preserve"> multilayer perceptron under three feature modes: topology only; topology plus entity type; and topology plus entity type together with target-edge-excluded distributions of neighboring released protected relation labels.</w:t>
      </w:r>
    </w:p>
    <w:p>
      <w:r>
        <w:rPr>
          <w:rFonts w:ascii="Times New Roman" w:hAnsi="Times New Roman" w:eastAsia="Times New Roman"/>
          <w:sz w:val="22"/>
        </w:rPr>
        <w:t xml:space="preserve">The released-view GCN-GAE protocol evaluated PubMed and SynthPII under the baseline, full TAFP-GraphRAG, and </w:t>
      </w:r>
      <w:r>
        <w:rPr>
          <w:rFonts w:ascii="Courier New" w:hAnsi="Courier New" w:eastAsia="Courier New"/>
          <w:sz w:val="19"/>
        </w:rPr>
        <w:t>random_full_budget</w:t>
      </w:r>
      <w:r>
        <w:rPr>
          <w:rFonts w:ascii="Times New Roman" w:hAnsi="Times New Roman" w:eastAsia="Times New Roman"/>
          <w:sz w:val="22"/>
        </w:rPr>
        <w:t xml:space="preserve"> conditions across 15 protection seeds, ten locked split seeds, and three feature modes, yielding 2,700 model evaluations. GCN representations were learned transductively from the complete released topology, so target-edge existence remained observable. Relation-classifier training and test edges were disjoint, and the target edge's own protected relation label was excluded from all pair-specific released-attribute features. Macro-F1, balanced accuracy, and accuracy were reported.</w:t>
      </w:r>
    </w:p>
    <w:p>
      <w:pPr>
        <w:pStyle w:val="Heading2"/>
      </w:pPr>
      <w:r>
        <w:t>5.5. Structural and Retrieval-Grounded Utility Evaluation</w:t>
      </w:r>
    </w:p>
    <w:p>
      <w:r>
        <w:rPr>
          <w:rFonts w:ascii="Times New Roman" w:hAnsi="Times New Roman" w:eastAsia="Times New Roman"/>
          <w:sz w:val="22"/>
        </w:rPr>
        <w:t>Structural retrieval support was evaluated using query definitions fixed on each original graph before protection. A deterministic protocol seed of 20260618 was used to order candidate nodes. For each dataset, 50 source nodes were selected, and up to three targets were sampled at each original shortest-path distance of one, two, and three hops. The resulting protocol contained 2,208 fixed source–target paths and 750 unique source–hop contexts across the five datasets. The same paths, sources, targets, and hop radii were reused for all 15 protection seeds and seven primary variants, yielding 231,840 path-level records and 78,750 relevant-subgraph records.</w:t>
      </w:r>
    </w:p>
    <w:p>
      <w:r>
        <w:rPr>
          <w:rFonts w:ascii="Times New Roman" w:hAnsi="Times New Roman" w:eastAsia="Times New Roman"/>
          <w:sz w:val="22"/>
        </w:rPr>
        <w:t>For each fixed path, query-support edge retention was defined as the fraction of original path edges that remained between the same endpoints after transformation. The protocol also recorded whether the complete original path was preserved, whether the endpoints remained reachable, whether they remained reachable within the original hop count or within three hops, the protected shortest-path length, and path stretch relative to the original hop count. Original-path records additionally measured retained sensitive- and non-sensitive-edge rates, concealment of original sensitive-relation labels, and retention of original non-sensitive relation semantics.</w:t>
      </w:r>
    </w:p>
    <w:p>
      <w:r>
        <w:rPr>
          <w:rFonts w:ascii="Times New Roman" w:hAnsi="Times New Roman" w:eastAsia="Times New Roman"/>
          <w:sz w:val="22"/>
        </w:rPr>
        <w:t>Relevant-subgraph utility was evaluated separately for every fixed source and hop radius. The original context contained nodes reachable from the source at distances from one through the specified hop radius and the edges induced by those nodes together with the source. The corresponding context was reconstructed on each transformed graph. Original and transformed contexts were compared using relevant-node recall, precision, and Jaccard similarity, together with relevant-edge recall and Jaccard similarity. These measures quantify structural support for the fixed retrieval tasks; they do not by themselves establish generated-answer correctness, completeness, or semantic equivalence.</w:t>
      </w:r>
    </w:p>
    <w:p>
      <w:r>
        <w:rPr>
          <w:rFonts w:ascii="Times New Roman" w:hAnsi="Times New Roman" w:eastAsia="Times New Roman"/>
          <w:sz w:val="22"/>
        </w:rPr>
        <w:t xml:space="preserve">A controlled model-facing relation-token protocol evaluated whether an instruction-tuned generator propagated the relation label already exposed in transformed graph context. The protocol contained 200 fixed endpoint pairs, with 40 queries from each dataset, and evaluated </w:t>
      </w:r>
      <w:r>
        <w:rPr>
          <w:rFonts w:ascii="Courier New" w:hAnsi="Courier New" w:eastAsia="Courier New"/>
          <w:sz w:val="19"/>
        </w:rPr>
        <w:t>baseline</w:t>
      </w:r>
      <w:r>
        <w:rPr>
          <w:rFonts w:ascii="Times New Roman" w:hAnsi="Times New Roman" w:eastAsia="Times New Roman"/>
          <w:sz w:val="22"/>
        </w:rPr>
        <w:t xml:space="preserve">, </w:t>
      </w:r>
      <w:r>
        <w:rPr>
          <w:rFonts w:ascii="Courier New" w:hAnsi="Courier New" w:eastAsia="Courier New"/>
          <w:sz w:val="19"/>
        </w:rPr>
        <w:t>relation_only</w:t>
      </w:r>
      <w:r>
        <w:rPr>
          <w:rFonts w:ascii="Times New Roman" w:hAnsi="Times New Roman" w:eastAsia="Times New Roman"/>
          <w:sz w:val="22"/>
        </w:rPr>
        <w:t xml:space="preserve">, </w:t>
      </w:r>
      <w:r>
        <w:rPr>
          <w:rFonts w:ascii="Courier New" w:hAnsi="Courier New" w:eastAsia="Courier New"/>
          <w:sz w:val="19"/>
        </w:rPr>
        <w:t>full</w:t>
      </w:r>
      <w:r>
        <w:rPr>
          <w:rFonts w:ascii="Times New Roman" w:hAnsi="Times New Roman" w:eastAsia="Times New Roman"/>
          <w:sz w:val="22"/>
        </w:rPr>
        <w:t xml:space="preserve">, </w:t>
      </w:r>
      <w:r>
        <w:rPr>
          <w:rFonts w:ascii="Courier New" w:hAnsi="Courier New" w:eastAsia="Courier New"/>
          <w:sz w:val="19"/>
        </w:rPr>
        <w:t>random_relation_budget</w:t>
      </w:r>
      <w:r>
        <w:rPr>
          <w:rFonts w:ascii="Times New Roman" w:hAnsi="Times New Roman" w:eastAsia="Times New Roman"/>
          <w:sz w:val="22"/>
        </w:rPr>
        <w:t xml:space="preserve">, and </w:t>
      </w:r>
      <w:r>
        <w:rPr>
          <w:rFonts w:ascii="Courier New" w:hAnsi="Courier New" w:eastAsia="Courier New"/>
          <w:sz w:val="19"/>
        </w:rPr>
        <w:t>random_full_budget</w:t>
      </w:r>
      <w:r>
        <w:rPr>
          <w:rFonts w:ascii="Times New Roman" w:hAnsi="Times New Roman" w:eastAsia="Times New Roman"/>
          <w:sz w:val="22"/>
        </w:rPr>
        <w:t xml:space="preserve">. The seed-42 generation run used </w:t>
      </w:r>
      <w:r>
        <w:rPr>
          <w:rFonts w:ascii="Courier New" w:hAnsi="Courier New" w:eastAsia="Courier New"/>
          <w:sz w:val="19"/>
        </w:rPr>
        <w:t>Qwen/Qwen2.5-3B-Instruct</w:t>
      </w:r>
      <w:r>
        <w:rPr>
          <w:rFonts w:ascii="Times New Roman" w:hAnsi="Times New Roman" w:eastAsia="Times New Roman"/>
          <w:sz w:val="22"/>
        </w:rPr>
        <w:t xml:space="preserve"> with deterministic decoding (</w:t>
      </w:r>
      <w:r>
        <w:rPr>
          <w:rFonts w:ascii="Courier New" w:hAnsi="Courier New" w:eastAsia="Courier New"/>
          <w:sz w:val="19"/>
        </w:rPr>
        <w:t>do_sample=False</w:t>
      </w:r>
      <w:r>
        <w:rPr>
          <w:rFonts w:ascii="Times New Roman" w:hAnsi="Times New Roman" w:eastAsia="Times New Roman"/>
          <w:sz w:val="22"/>
        </w:rPr>
        <w:t>) and at most 12 generated tokens, producing 1,000 outputs. Its controlled context included protected node labels, entity types, node-text fields truncated to 180 characters, the exposed source–target relation, and deterministic local-edge evidence. The prompt required exactly one label from a query-specific allowed-label list. This protocol isolates transmission of an already exposed relation token and is distinct from both the released-view attacker and the locked retrieval-grounded end-to-end task.</w:t>
      </w:r>
    </w:p>
    <w:p>
      <w:r>
        <w:rPr>
          <w:rFonts w:ascii="Times New Roman" w:hAnsi="Times New Roman" w:eastAsia="Times New Roman"/>
          <w:sz w:val="22"/>
        </w:rPr>
        <w:t>The corresponding multi-seed layer evaluated the exact exposed source–target relation for the same 200 endpoint pairs across the same five variants and 15 protection seeds, producing 15,000 transformed-context records without additional language-model generation. The seed-42 records were joined to the 1,000 generated examples by query, dataset, seed, and variant so that the relation state supplied to the generator could be checked against the exact transformed graph.</w:t>
      </w:r>
    </w:p>
    <w:p>
      <w:r>
        <w:rPr>
          <w:rFonts w:ascii="Times New Roman" w:hAnsi="Times New Roman" w:eastAsia="Times New Roman"/>
          <w:sz w:val="22"/>
        </w:rPr>
        <w:t xml:space="preserve">The locked retrieval-grounded end-to-end protocol used 718 fixed queries selected from the pre-protection path protocol. The manifest assigned 218 queries to non-sensitive utility and 500 to sensitive disclosure; 268 queries had a one-hop budget, 251 a two-hop budget, and 199 a three-hop budget. Every query was evaluated under </w:t>
      </w:r>
      <w:r>
        <w:rPr>
          <w:rFonts w:ascii="Courier New" w:hAnsi="Courier New" w:eastAsia="Courier New"/>
          <w:sz w:val="19"/>
        </w:rPr>
        <w:t>baseline</w:t>
      </w:r>
      <w:r>
        <w:rPr>
          <w:rFonts w:ascii="Times New Roman" w:hAnsi="Times New Roman" w:eastAsia="Times New Roman"/>
          <w:sz w:val="22"/>
        </w:rPr>
        <w:t xml:space="preserve">, </w:t>
      </w:r>
      <w:r>
        <w:rPr>
          <w:rFonts w:ascii="Courier New" w:hAnsi="Courier New" w:eastAsia="Courier New"/>
          <w:sz w:val="19"/>
        </w:rPr>
        <w:t>full</w:t>
      </w:r>
      <w:r>
        <w:rPr>
          <w:rFonts w:ascii="Times New Roman" w:hAnsi="Times New Roman" w:eastAsia="Times New Roman"/>
          <w:sz w:val="22"/>
        </w:rPr>
        <w:t xml:space="preserve">, </w:t>
      </w:r>
      <w:r>
        <w:rPr>
          <w:rFonts w:ascii="Courier New" w:hAnsi="Courier New" w:eastAsia="Courier New"/>
          <w:sz w:val="19"/>
        </w:rPr>
        <w:t>random_full_budget</w:t>
      </w:r>
      <w:r>
        <w:rPr>
          <w:rFonts w:ascii="Times New Roman" w:hAnsi="Times New Roman" w:eastAsia="Times New Roman"/>
          <w:sz w:val="22"/>
        </w:rPr>
        <w:t xml:space="preserve">, and the sensitivity-blind </w:t>
      </w:r>
      <w:r>
        <w:rPr>
          <w:rFonts w:ascii="Courier New" w:hAnsi="Courier New" w:eastAsia="Courier New"/>
          <w:sz w:val="19"/>
        </w:rPr>
        <w:t>2K</w:t>
      </w:r>
      <w:r>
        <w:rPr>
          <w:rFonts w:ascii="Times New Roman" w:hAnsi="Times New Roman" w:eastAsia="Times New Roman"/>
          <w:sz w:val="22"/>
        </w:rPr>
        <w:t xml:space="preserve"> condition for 15 protection seeds, producing 43,080 generations.</w:t>
      </w:r>
    </w:p>
    <w:p>
      <w:r>
        <w:rPr>
          <w:rFonts w:ascii="Times New Roman" w:hAnsi="Times New Roman" w:eastAsia="Times New Roman"/>
          <w:sz w:val="22"/>
        </w:rPr>
        <w:t xml:space="preserve">For each query-condition-seed tuple, a deterministic breadth-first search was run from the source to the target with the query's locked hop budget as the cutoff. Neighbors were expanded in lexicographic order of their string identifiers, and the first shortest path was returned. When no path was found within the cutoff, the exposed sequence was set to </w:t>
      </w:r>
      <w:r>
        <w:rPr>
          <w:rFonts w:ascii="Courier New" w:hAnsi="Courier New" w:eastAsia="Courier New"/>
          <w:sz w:val="19"/>
        </w:rPr>
        <w:t>NOT_CONNECTED</w:t>
      </w:r>
      <w:r>
        <w:rPr>
          <w:rFonts w:ascii="Times New Roman" w:hAnsi="Times New Roman" w:eastAsia="Times New Roman"/>
          <w:sz w:val="22"/>
        </w:rPr>
        <w:t xml:space="preserve">. Otherwise, path edges were serialized in source-to-target order. The completed full protocol also added at most one deterministic side edge per retrieved path node after excluding path edges and previously selected duplicates. The graph-derived prompt context contained protected node labels or pseudonyms, permitted entity types, ordered protected-relation evidence, and transformed connectivity; raw source text, sensitivity fields, and audit metadata were excluded. </w:t>
      </w:r>
      <w:r>
        <w:rPr>
          <w:rFonts w:ascii="Courier New" w:hAnsi="Courier New" w:eastAsia="Courier New"/>
          <w:sz w:val="19"/>
        </w:rPr>
        <w:t>Qwen/Qwen2.5-3B-Instruct</w:t>
      </w:r>
      <w:r>
        <w:rPr>
          <w:rFonts w:ascii="Times New Roman" w:hAnsi="Times New Roman" w:eastAsia="Times New Roman"/>
          <w:sz w:val="22"/>
        </w:rPr>
        <w:t xml:space="preserve"> generated relation-label-only outputs using deterministic decoding, a fixed generation seed of 42, a maximum input length of 3,072 tokens, and at most 32 generated tokens.</w:t>
      </w:r>
    </w:p>
    <w:p>
      <w:r>
        <w:rPr>
          <w:rFonts w:ascii="Times New Roman" w:hAnsi="Times New Roman" w:eastAsia="Times New Roman"/>
          <w:sz w:val="22"/>
        </w:rPr>
        <w:t xml:space="preserve">Non-sensitive utility was measured using exact relation-sequence match, multiset relation-token precision, recall, and F1, retrieved-evidence recall, exact faithfulness to the retrieved relation sequence, and faithfulness-token F1. Sensitive disclosure was measured using whether any original sensitive relation token was generated, sensitive-token recall, exposure of original sensitive tokens in retrieved evidence, and response with the protected marker. The execution audit additionally checked the locked query set, expected row count, duplicate records, parse failures, query-set drift, applicable exact-degree invariants, and the </w:t>
      </w:r>
      <w:r>
        <w:rPr>
          <w:rFonts w:ascii="Courier New" w:hAnsi="Courier New" w:eastAsia="Courier New"/>
          <w:sz w:val="19"/>
        </w:rPr>
        <w:t>2K</w:t>
      </w:r>
      <w:r>
        <w:rPr>
          <w:rFonts w:ascii="Times New Roman" w:hAnsi="Times New Roman" w:eastAsia="Times New Roman"/>
          <w:sz w:val="22"/>
        </w:rPr>
        <w:t xml:space="preserve"> joint-degree invariant. Statistical pairing, multiplicity correction, audit layers, and artifact-level reproducibility controls are specified in Section 5.6.</w:t>
      </w:r>
    </w:p>
    <w:p>
      <w:pPr/>
      <w:r>
        <w:t>The locked prompt contract instructed the generator to use only the numbered RETRIEVED ORDERED PATH EVIDENCE lines, copy the relation label between the two separators for each line in order, join labels with " &gt; ", output exactly NOT_CONNECTED when no path was found, and return a single line without node identifiers, explanations, JSON, bullets, or code fences. The parser removed common answer prefixes and code fences, normalized arrow, pipe, and comma delimiters, mapped tokens only to the query-specific allowed relation set, and emitted PARSE_ERROR when no allowed relation could be recovered; all parse failures remained in the primary analysis.</w:t>
      </w:r>
    </w:p>
    <w:p>
      <w:pPr/>
      <w:r>
        <w:t>The locked implementation used prompt-contract version 1.2-relation-label-only. The exact runner, tafp_run_locked_e2e_relation_qa_v1_3.py (SHA-256 611e6b7006a4f4fd787ce1f01aad2d1d873003d3606fd2500a237798ff43d189), the fixed query manifest (SHA-256 2942e2a71fd1ad743a1df9de9d23fbbcc8d5774c2d500ae1bb59326e59b90efa), and the 43,080-row raw result file (SHA-256 d025b5ac1b79164316f640884cdfb29af075332b5d71a149de39606ac824e193) are retained in the verified evidence archive.</w:t>
      </w:r>
    </w:p>
    <w:p>
      <w:pPr>
        <w:pStyle w:val="Heading2"/>
      </w:pPr>
      <w:r>
        <w:t>5.6. Statistical Analysis, Audit Layers, and Reproducibility</w:t>
      </w:r>
    </w:p>
    <w:p>
      <w:r>
        <w:rPr>
          <w:rFonts w:ascii="Times New Roman" w:hAnsi="Times New Roman" w:eastAsia="Times New Roman"/>
          <w:sz w:val="22"/>
        </w:rPr>
        <w:t>Unless a protocol explicitly retained a train–test split hierarchy, inferential comparisons were paired at the protection-seed level. Values for the compared conditions were aligned by dataset and locked seed identifier; incomplete seed sets, duplicate condition rows, or missing paired values caused the corresponding audit to fail. Descriptive graph- and utility-level summaries report means and standard deviations across the 15 protection seeds defined for each protocol.</w:t>
      </w:r>
    </w:p>
    <w:p>
      <w:r>
        <w:rPr>
          <w:rFonts w:ascii="Times New Roman" w:hAnsi="Times New Roman" w:eastAsia="Times New Roman"/>
          <w:sz w:val="22"/>
        </w:rPr>
        <w:t>For the seed-paired graph, semantic-selectivity, controlled relation-token, global-fidelity, hyperparameter, 2K, marker-leakage, policy-error, and path/subgraph analyses, the principal inferential procedure was a two-sided exact sign-flip test applied to paired seed differences. Ninety-five-percent percentile bootstrap intervals were computed for the mean paired difference using 20,000 resamples in the controlled relation-token, global-fidelity, hyperparameter, 2K, marker-leakage, and policy-error analyses. The semantic-selectivity and structural path/subgraph analyses used 50,000 bootstrap resamples. Where generated by the protocol-specific analysis code, two-sided Wilcoxon signed-rank results, Cohen's d_z, and matched rank-biserial effect sizes were retained as complementary diagnostics. Statistical interpretation was based on the paired difference, its interval estimate, and the multiplicity-adjusted result rather than on an unadjusted p-value alone.</w:t>
      </w:r>
    </w:p>
    <w:p>
      <w:r>
        <w:rPr>
          <w:rFonts w:ascii="Times New Roman" w:hAnsi="Times New Roman" w:eastAsia="Times New Roman"/>
          <w:sz w:val="22"/>
        </w:rPr>
        <w:t>Holm correction was applied within pre-specified protocol families rather than across unrelated outcomes from the entire study. The path and relevant-subgraph analyses corrected the six full-versus-comparator tests within each dataset–metric family. The primary semantic-selectivity table corrected the two matched-control comparisons within each dataset–metric family. The controlled relation-token and global-fidelity tables used protocol-wide families of 20 and 60 tests, respectively. Hyperparameter tests were corrected within the entity-selection, relation-rewiring, and topology-rewiring families, which contained 10, 40, and 40 tests. The 2K analysis used separate semantic-selectivity and structural-fidelity families containing 30 and 90 tests. The sensitivity-marker and policy-misclassification analyses corrected comparisons separately within each reported metric. A two-sided family-wise threshold of 0.05 was used after Holm adjustment.</w:t>
      </w:r>
    </w:p>
    <w:p>
      <w:r>
        <w:rPr>
          <w:rFonts w:ascii="Times New Roman" w:hAnsi="Times New Roman" w:eastAsia="Times New Roman"/>
          <w:sz w:val="22"/>
        </w:rPr>
        <w:t>The spectral-embedding analysis retained its nested split structure. Each comparison contained 150 paired observations from 15 protection seeds and ten split seeds. Differences were first averaged across split seeds within each protection seed for a two-sided Wilcoxon signed-rank test over 15 protection-seed clusters. The 95% hierarchical-bootstrap interval used 5,000 replicates, resampling protection-seed clusters and then split observations within each sampled cluster. Holm-adjusted values were reported both across the complete 48-test family and within each metric. For the released-view GCN-GAE analysis, the ten split-level outcomes were averaged within each protection seed before exact sign-flip and Wilcoxon tests were applied to the 15 paired seed means; Holm correction was applied across the 36 reported comparisons.</w:t>
      </w:r>
    </w:p>
    <w:p>
      <w:r>
        <w:rPr>
          <w:rFonts w:ascii="Times New Roman" w:hAnsi="Times New Roman" w:eastAsia="Times New Roman"/>
          <w:sz w:val="22"/>
        </w:rPr>
        <w:t xml:space="preserve">For the end-to-end relation-question-answering analysis, query-level observations were first averaged within dataset, protection seed, variant, and task. Overall summaries then averaged dataset-level values within each protection seed. Means, standard deviations, and 95% t-intervals were calculated across the 15 seed means. Full TAFP-GraphRAG was compared with the baseline, </w:t>
      </w:r>
      <w:r>
        <w:rPr>
          <w:rFonts w:ascii="Courier New" w:hAnsi="Courier New" w:eastAsia="Courier New"/>
          <w:sz w:val="19"/>
        </w:rPr>
        <w:t>random_full_budget</w:t>
      </w:r>
      <w:r>
        <w:rPr>
          <w:rFonts w:ascii="Times New Roman" w:hAnsi="Times New Roman" w:eastAsia="Times New Roman"/>
          <w:sz w:val="22"/>
        </w:rPr>
        <w:t xml:space="preserve">, and </w:t>
      </w:r>
      <w:r>
        <w:rPr>
          <w:rFonts w:ascii="Courier New" w:hAnsi="Courier New" w:eastAsia="Courier New"/>
          <w:sz w:val="19"/>
        </w:rPr>
        <w:t>2K</w:t>
      </w:r>
      <w:r>
        <w:rPr>
          <w:rFonts w:ascii="Times New Roman" w:hAnsi="Times New Roman" w:eastAsia="Times New Roman"/>
          <w:sz w:val="22"/>
        </w:rPr>
        <w:t xml:space="preserve"> conditions using two-sided Wilcoxon signed-rank tests over matched seed means. Holm adjustment was applied within each scope–task–metric family across the three comparators. The primary analysis conservatively retained all 43,080 generated records, including 26 parse failures (0.06035%); a parse-success-only analysis was produced as a sensitivity check.</w:t>
      </w:r>
    </w:p>
    <w:p>
      <w:r>
        <w:rPr>
          <w:rFonts w:ascii="Times New Roman" w:hAnsi="Times New Roman" w:eastAsia="Times New Roman"/>
          <w:sz w:val="22"/>
        </w:rPr>
        <w:t xml:space="preserve">Runtime was summarized by dataset and variant as the mean and standard deviation across protection seeds, both in seconds and normalized per 1,000 edges. Audit evidence was maintained at three distinct levels. First, the implementation-level </w:t>
      </w:r>
      <w:r>
        <w:rPr>
          <w:rFonts w:ascii="Courier New" w:hAnsi="Courier New" w:eastAsia="Courier New"/>
          <w:sz w:val="19"/>
        </w:rPr>
        <w:t>protection_audit</w:t>
      </w:r>
      <w:r>
        <w:rPr>
          <w:rFonts w:ascii="Times New Roman" w:hAnsi="Times New Roman" w:eastAsia="Times New Roman"/>
          <w:sz w:val="22"/>
        </w:rPr>
        <w:t xml:space="preserve"> stored the numerical transformation summaries defined in Section 4. Second, run-level result and audit tables checked expected and observed row counts, duplicate and missing records, candidate and class-balance integrity, fixed query sets, determinism, degree-preservation constraints, and the </w:t>
      </w:r>
      <w:r>
        <w:rPr>
          <w:rFonts w:ascii="Courier New" w:hAnsi="Courier New" w:eastAsia="Courier New"/>
          <w:sz w:val="19"/>
        </w:rPr>
        <w:t>2K</w:t>
      </w:r>
      <w:r>
        <w:rPr>
          <w:rFonts w:ascii="Times New Roman" w:hAnsi="Times New Roman" w:eastAsia="Times New Roman"/>
          <w:sz w:val="22"/>
        </w:rPr>
        <w:t xml:space="preserve"> joint-degree invariant. Third, artifact-level manifests linked source files, result tables, supplementary materials, and analysis outputs through SHA-256 identities.</w:t>
      </w:r>
    </w:p>
    <w:p>
      <w:r>
        <w:rPr>
          <w:rFonts w:ascii="Times New Roman" w:hAnsi="Times New Roman" w:eastAsia="Times New Roman"/>
          <w:sz w:val="22"/>
        </w:rPr>
        <w:t xml:space="preserve">A standalone row-level </w:t>
      </w:r>
      <w:r>
        <w:rPr>
          <w:rFonts w:ascii="Courier New" w:hAnsi="Courier New" w:eastAsia="Courier New"/>
          <w:sz w:val="19"/>
        </w:rPr>
        <w:t>protection_audit</w:t>
      </w:r>
      <w:r>
        <w:rPr>
          <w:rFonts w:ascii="Times New Roman" w:hAnsi="Times New Roman" w:eastAsia="Times New Roman"/>
          <w:sz w:val="22"/>
        </w:rPr>
        <w:t xml:space="preserve"> CSV was not generated; its absence is explicitly recorded and is not treated as a failed protocol audit. The fixed-edge, multisplit, structural-utility, and end-to-end execution audits were evaluated separately and passed their stated integrity checks. The archived environment record identifies Python 3.12.13, NetworkX 3.6.1, NumPy 2.4.4, pandas 3.0.2, scikit-learn 1.8.0, SciPy 1.17.1, and PyTorch 2.11.0. Exact source identities, dependency records, table-generation manifests, analysis manifests, supplementary-package manifests, and submission-package manifests were retained with cryptographic hashes.</w:t>
      </w:r>
    </w:p>
    <w:p>
      <w:pPr>
        <w:pStyle w:val="Heading1"/>
      </w:pPr>
      <w:r>
        <w:t>6. Results</w:t>
      </w:r>
    </w:p>
    <w:p>
      <w:pPr>
        <w:pStyle w:val="Heading2"/>
      </w:pPr>
      <w:r>
        <w:t>6.1 Selective Concealment of Sensitive Relation Semantics</w:t>
      </w:r>
    </w:p>
    <w:p>
      <w:r>
        <w:rPr>
          <w:rFonts w:ascii="Times New Roman" w:hAnsi="Times New Roman" w:eastAsia="Times New Roman"/>
          <w:sz w:val="22"/>
        </w:rPr>
        <w:t>Across the five evaluated datasets, the full TAFP-GraphRAG configuration concealed 0.99993–1.00000 of the original labels of policy-designated sensitive relations while retaining 0.89935–0.92193 of non-sensitive relation semantics (Table 2). Exact per-node degree preservation remained 1.00000 in every full-protection condition, and original-edge retention ranged from 0.81833 to 0.86109. The relation-only configuration achieved complete sensitive-label concealment and complete non-sensitive semantic retention on every dataset, with original-edge retention between 0.88643 and 0.93502. The reduction from perfect non-sensitive retention to approximately 0.90–0.92 therefore appeared only when topology perturbation was added to the semantic protection layer.</w:t>
      </w:r>
    </w:p>
    <w:p>
      <w:r>
        <w:rPr>
          <w:rFonts w:ascii="Times New Roman" w:hAnsi="Times New Roman" w:eastAsia="Times New Roman"/>
          <w:sz w:val="22"/>
        </w:rPr>
        <w:t>The perturbation-budget-matched random control preserved nearly the same fraction of original edges as the full method: the largest absolute full-minus-random difference in original-edge retention was 0.00044, and none of the five paired differences remained significant after Holm correction. Despite this matched structural budget, random full-budget perturbation concealed only 0.57838–0.96659 of sensitive labels and retained 0.03355–0.41804 of non-sensitive semantics. Full TAFP-GraphRAG was superior in all ten dataset-by-semantic-metric comparisons, with a Holm-adjusted p value of 0.000122 for each comparison (Supplementary Table S10). This separation shows that the semantic advantage was attributable to sensitivity-guided selection rather than to perturbation volume or original-edge retention alone.</w:t>
      </w:r>
    </w:p>
    <w:p>
      <w:r>
        <w:rPr>
          <w:rFonts w:ascii="Times New Roman" w:hAnsi="Times New Roman" w:eastAsia="Times New Roman"/>
          <w:sz w:val="22"/>
        </w:rPr>
        <w:t>The minority-sensitive ablation produced the same qualitative protection profile at 5%, 10%, 20%, and 30% policy-designated sensitive-edge prevalence (Supplementary Table S27). Across these settings, full TAFP-GraphRAG maintained mean sensitive-label concealment of 0.9995–0.9998, mean non-sensitive semantic retention of 0.9200–0.9206, original-edge retention of 0.8876–0.9149, and exact degree preservation of 1.0000. At 5% prevalence, the random relation-budget control retained more non-sensitive semantics than the full method (0.9499 versus 0.9202) but concealed only 0.0475 of sensitive labels, compared with 0.9996 for full TAFP-GraphRAG. From 10% through 30% prevalence, the full method achieved both higher concealment and higher non-sensitive retention than that control, while the random full-budget control remained lower on both semantic metrics at every prevalence level. The ablation therefore supports a prevalence-stable concealment–retention profile for the sensitivity-guided method, while the magnitude of its advantage over sensitivity-blind controls remains prevalence dependent.</w:t>
      </w:r>
    </w:p>
    <w:p>
      <w:pPr>
        <w:pStyle w:val="Caption"/>
        <w:keepNext/>
        <w:widowControl/>
        <w:spacing w:after="80"/>
        <w:jc w:val="both"/>
      </w:pPr>
      <w:r>
        <w:rPr>
          <w:rFonts w:ascii="Times New Roman" w:hAnsi="Times New Roman"/>
          <w:b/>
          <w:color w:val="000000"/>
          <w:sz w:val="18"/>
        </w:rPr>
        <w:t>Table 2.</w:t>
      </w:r>
      <w:r>
        <w:rPr>
          <w:rFonts w:ascii="Times New Roman" w:hAnsi="Times New Roman"/>
          <w:color w:val="000000"/>
          <w:sz w:val="18"/>
        </w:rPr>
        <w:t xml:space="preserve"> Protection integrity and semantic selectivity across datasets and variants. Values are means ± standard deviations over 15 protection seeds. Exact degree preservation equals one only when every node retained its original degree.</w:t>
      </w:r>
    </w:p>
    <w:tbl>
      <w:tblPr>
        <w:tblStyle w:val="TableGrid"/>
        <w:tblW w:type="dxa" w:w="9288"/>
        <w:jc w:val="center"/>
        <w:tblLayout w:type="fixed"/>
        <w:tblLook w:firstColumn="1" w:firstRow="1" w:lastColumn="0" w:lastRow="0" w:noHBand="0" w:noVBand="1" w:val="04A0"/>
      </w:tblPr>
      <w:tblGrid>
        <w:gridCol w:w="792"/>
        <w:gridCol w:w="1512"/>
        <w:gridCol w:w="1872"/>
        <w:gridCol w:w="1800"/>
        <w:gridCol w:w="1584"/>
        <w:gridCol w:w="1728"/>
      </w:tblGrid>
      <w:tr>
        <w:trPr>
          <w:trHeight w:val="288" w:hRule="exact"/>
          <w:tblHeader w:val="true"/>
          <w:cantSplit/>
          <w:tblHeader w:val="true"/>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Dataset</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Variant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Original sensitive-label concealment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Non-sensitive semantic retention</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Original-edge retention</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Exact per-node degree preservation</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0.0001</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0.9196 ± 0.0026</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0.8611 ± 0.0010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0.0787 ± 0.0042</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0.9189 ± 0.0050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0.9202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0.5784 ± 0.0059</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0.4180 ± 0.0069</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0.8607 ± 0.0006</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0.5413 ± 0.0056</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0.4551 ± 0.0066</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0.9350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0.9350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0.0804 ± 0.0022</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0.9211 ± 0.0026</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0.9204 ± 0.0002</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0.9171 ± 0.0093</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0.8188 ± 0.0010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0.0802 ± 0.0005</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0.9221 ± 0.0051</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0.9243 ± 0.0008</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0.0730 ± 0.0094</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0.8192 ± 0.0006</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0.9177 ± 0.0010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0.0798 ± 0.0108</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0.8900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0.8900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0.0798 ± 0.0008</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0.9179 ± 0.0085</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0.9201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0.9999 ± 0.0001</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0.9192 ± 0.0047</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0.8429 ± 0.0012</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0.0791 ± 0.0019</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0.9180 ± 0.0044</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0.7251 ± 0.0033</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0.2754 ± 0.0075</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0.8429 ± 0.0009</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0.7017 ± 0.0030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0.3004 ± 0.0071</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0.9159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0.9160 ± 0.0002</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0.0804 ± 0.0020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0.9211 ± 0.0046</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0.9201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0.8993 ± 0.0222</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0.8186 ± 0.0013</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0.0795 ± 0.0008</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0.9081 ± 0.0224</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0.9201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0.9666 ± 0.0011</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0.0336 ± 0.0178</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0.8189 ± 0.0015</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0.9640 ± 0.0007</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0.0357 ± 0.0186</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0.8858 ± 0.0006</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0.8864 ± 0.0005</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0.0788 ± 0.0012</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0.9020 ± 0.0320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0.9209 ± 0.0003</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0.9219 ± 0.0132</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0.8183 ± 0.0012</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0.0801 ± 0.0016</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0.9209 ± 0.0178</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0.9200 ± 0.0000</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0.9256 ± 0.0019</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0.0722 ± 0.0210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0.8188 ± 0.0016</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0.9194 ± 0.0017</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0.0784 ± 0.0199</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0.8901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0.8901 ± 0.0002</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Height w:val="244" w:hRule="exact"/>
        </w:trPr>
        <w:tc>
          <w:tcPr>
            <w:tcW w:type="dxa" w:w="79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87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0.0801 ± 0.0017</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0.9209 ± 0.0189</w:t>
            </w:r>
          </w:p>
        </w:tc>
        <w:tc>
          <w:tcPr>
            <w:tcW w:type="dxa" w:w="158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0.9201 ± 0.0001</w:t>
            </w:r>
          </w:p>
        </w:tc>
        <w:tc>
          <w:tcPr>
            <w:tcW w:type="dxa" w:w="172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bl>
    <w:p/>
    <w:p>
      <w:pPr>
        <w:keepNext/>
        <w:pageBreakBefore w:val="0"/>
        <w:jc w:val="center"/>
      </w:pPr>
      <w:r>
        <w:drawing>
          <wp:inline xmlns:a="http://schemas.openxmlformats.org/drawingml/2006/main" xmlns:pic="http://schemas.openxmlformats.org/drawingml/2006/picture">
            <wp:extent cx="6080760" cy="2713728"/>
            <wp:docPr id="4" name="Picture 4" title="Figure 4" descr="Figure 4. Graph-level semantic selectivity and utility across the five evaluated datasets. Panel A plots mean non-sensitive semantic retention against mean original sensitive relation-label concealment for Full TAFP and the perturbation-budget-matched random full-budget control. Lines connect the two variants within each dataset. Panel B reports three manuscript-defined graph-level utility measures—original-edge retention, reachability within three hops, and relevant-edge recall—using the same two variants. Values are means over the locked protection-seed protocol; dispersion statistics remain available in the corresponding tables."/>
            <wp:cNvGraphicFramePr>
              <a:graphicFrameLocks noChangeAspect="1"/>
            </wp:cNvGraphicFramePr>
            <a:graphic>
              <a:graphicData uri="http://schemas.openxmlformats.org/drawingml/2006/picture">
                <pic:pic>
                  <pic:nvPicPr>
                    <pic:cNvPr id="0" name="Figure_4_Graph_Level_Evidence_LOCKED.png"/>
                    <pic:cNvPicPr/>
                  </pic:nvPicPr>
                  <pic:blipFill>
                    <a:blip r:embed="rId13"/>
                    <a:stretch>
                      <a:fillRect/>
                    </a:stretch>
                  </pic:blipFill>
                  <pic:spPr>
                    <a:xfrm>
                      <a:off x="0" y="0"/>
                      <a:ext cx="6080760" cy="2713728"/>
                    </a:xfrm>
                    <a:prstGeom prst="rect"/>
                  </pic:spPr>
                </pic:pic>
              </a:graphicData>
            </a:graphic>
          </wp:inline>
        </w:drawing>
      </w:r>
    </w:p>
    <w:p>
      <w:pPr>
        <w:pStyle w:val="Caption"/>
        <w:keepLines/>
        <w:jc w:val="both"/>
      </w:pPr>
      <w:r>
        <w:rPr>
          <w:b/>
        </w:rPr>
        <w:t>Figure 4.</w:t>
      </w:r>
      <w:r>
        <w:t xml:space="preserve"> Graph-level semantic selectivity and utility across the five evaluated datasets. Panel A plots mean non-sensitive semantic retention against mean original sensitive relation-label concealment for Full TAFP and the perturbation-budget-matched random full-budget control. Lines connect the two variants within each dataset. Panel B reports three manuscript-defined graph-level utility measures—original-edge retention, reachability within three hops, and relevant-edge recall—using the same two variants. Values are means over the locked protection-seed protocol; dispersion statistics remain available in the corresponding tables.</w:t>
      </w:r>
    </w:p>
    <w:p>
      <w:pPr>
        <w:keepNext/>
        <w:pageBreakBefore w:val="0"/>
        <w:jc w:val="center"/>
      </w:pPr>
      <w:r>
        <w:drawing>
          <wp:inline xmlns:a="http://schemas.openxmlformats.org/drawingml/2006/main" xmlns:pic="http://schemas.openxmlformats.org/drawingml/2006/picture">
            <wp:extent cx="6080760" cy="2255191"/>
            <wp:docPr id="6" name="Picture 6" title="Figure 6" descr="Figure 6. Minority-sensitive policy ablation across 5%, 10%, 20%, and 30% policy-designated sensitive-edge prevalence. Panel A reports original sensitive relation-label concealment, Panel B reports non-sensitive semantic retention, and Panel C reports original-edge retention for Full TAFP and the two sensitivity-blind random controls. Points are unweighted means across the five evaluated datasets, and whiskers show the minimum-to-maximum range of the dataset-level means. Each dataset-level value summarizes the locked 15-seed protection protocol. Exact per-node degree preservation was 1.0000 for every displayed prevalence, dataset, and variant configuration."/>
            <wp:cNvGraphicFramePr>
              <a:graphicFrameLocks noChangeAspect="1"/>
            </wp:cNvGraphicFramePr>
            <a:graphic>
              <a:graphicData uri="http://schemas.openxmlformats.org/drawingml/2006/picture">
                <pic:pic>
                  <pic:nvPicPr>
                    <pic:cNvPr id="0" name="Figure_6_Minority_Sensitive_Prevalence_LOCKED.png"/>
                    <pic:cNvPicPr/>
                  </pic:nvPicPr>
                  <pic:blipFill>
                    <a:blip r:embed="rId15"/>
                    <a:stretch>
                      <a:fillRect/>
                    </a:stretch>
                  </pic:blipFill>
                  <pic:spPr>
                    <a:xfrm>
                      <a:off x="0" y="0"/>
                      <a:ext cx="6080760" cy="2255191"/>
                    </a:xfrm>
                    <a:prstGeom prst="rect"/>
                  </pic:spPr>
                </pic:pic>
              </a:graphicData>
            </a:graphic>
          </wp:inline>
        </w:drawing>
      </w:r>
    </w:p>
    <w:p>
      <w:pPr>
        <w:pStyle w:val="Caption"/>
        <w:keepLines/>
        <w:jc w:val="both"/>
      </w:pPr>
      <w:r>
        <w:rPr>
          <w:b/>
        </w:rPr>
        <w:t>Figure 5.</w:t>
      </w:r>
      <w:r>
        <w:t xml:space="preserve"> Minority-sensitive policy ablation across 5%, 10%, 20%, and 30% policy-designated sensitive-edge prevalence. Panel A reports original sensitive relation-label concealment, Panel B reports non-sensitive semantic retention, and Panel C reports original-edge retention for Full TAFP and the two sensitivity-blind random controls. Points are unweighted means across the five evaluated datasets, and whiskers show the minimum-to-maximum range of the dataset-level means. Each dataset-level value summarizes the locked 15-seed protection protocol. Exact per-node degree preservation was 1.0000 for every displayed prevalence, dataset, and variant configuration.</w:t>
      </w:r>
    </w:p>
    <w:p>
      <w:pPr>
        <w:pStyle w:val="Heading2"/>
      </w:pPr>
      <w:r>
        <w:t>6.2 Exact Degree Preservation and Structural Effects</w:t>
      </w:r>
    </w:p>
    <w:p>
      <w:r>
        <w:rPr>
          <w:rFonts w:ascii="Times New Roman" w:hAnsi="Times New Roman" w:eastAsia="Times New Roman"/>
          <w:sz w:val="22"/>
        </w:rPr>
        <w:t>Across the 450 dataset–seed–variant rows corresponding to the baseline and the five degree-preserving perturbation variants, every row had zero changed-degree nodes, zero degree-sequence L1 error, and exact per-node degree preservation equal to 1. The matched random edge-dropout control behaved differently: none of its 75 rows preserved every node degree, the number of changed-degree nodes ranged from 295 to 1,690, and degree-sequence L1 error ranged from 384 to 2,440 (Supplementary Table S6). This difference was not explained by edge-retention volume. The topology-only configuration retained 0.92005–0.92089 of original edges across datasets, whereas random edge dropout retained 0.91999–0.92021; nevertheless, only the former preserved every node degree (Table 2). The full and random full-budget configurations also preserved every node degree while retaining 0.81833–0.86109 and 0.81878–0.86071 of original edges, respectively.</w:t>
      </w:r>
    </w:p>
    <w:p>
      <w:r>
        <w:rPr>
          <w:rFonts w:ascii="Times New Roman" w:hAnsi="Times New Roman" w:eastAsia="Times New Roman"/>
          <w:sz w:val="22"/>
        </w:rPr>
        <w:t>The 2K full-budget control imposed a stronger structural constraint. Across five datasets and 15 seeds per dataset, its exact degree-sequence rate was 1.0 and its mean joint-degree L1 error was 0 for every dataset (Supplementary Table S17). The locked summaries also reported zero component-count deviation and zero largest-component-ratio deviation. These constraints did not imply exact preservation of all higher-order structure: mean absolute clustering-coefficient deviation ranged from 0.00089 to 0.28649, and mean absolute transitivity deviation ranged from 0.00082 to 0.02185. By comparison, the full and random full-budget variants preserved individual node degrees but not the joint-degree distribution; their dataset-level mean joint-degree L1 errors ranged from 174.4 to 1,692.9 and from 160.0 to 1,695.6, respectively.</w:t>
      </w:r>
    </w:p>
    <w:p>
      <w:r>
        <w:rPr>
          <w:rFonts w:ascii="Times New Roman" w:hAnsi="Times New Roman" w:eastAsia="Times New Roman"/>
          <w:sz w:val="22"/>
        </w:rPr>
        <w:t>The controlled transformation-only replication independently executed 75 primary 2K conditions and 75 deterministic replays under the pinned repository and recorded runtime environment. It recorded no relation- or topology-convergence failures, no individual- or joint-degree audit failures, and no graph-replay failures. Its 45 structural and budget aggregates matched locked Supplementary Table S17 with a maximum absolute difference of 0. These diagnostics characterize the verified implementation under the replication environment and are not historical execution logs. Despite the stronger 2K invariant, full TAFP-GraphRAG was better in all ten paired comparisons covering sensitive-relation concealment and non-sensitive semantic retention, with Holm-adjusted p = 0.001831 for each comparison (Supplementary Table S18). In contrast, none of the ten corresponding 2K-versus-random-full-budget comparisons was significant after Holm correction. Thus, exact individual- and joint-degree preservation constrained structural change but did not reproduce sensitivity-selective semantic protection.</w:t>
      </w:r>
    </w:p>
    <w:p>
      <w:pPr>
        <w:pStyle w:val="Caption"/>
        <w:keepNext/>
        <w:widowControl/>
        <w:spacing w:after="80"/>
        <w:jc w:val="both"/>
      </w:pPr>
      <w:r>
        <w:rPr>
          <w:rFonts w:ascii="Times New Roman" w:hAnsi="Times New Roman"/>
          <w:b/>
          <w:color w:val="000000"/>
          <w:sz w:val="18"/>
        </w:rPr>
        <w:t>Table 3.</w:t>
      </w:r>
      <w:r>
        <w:rPr>
          <w:rFonts w:ascii="Times New Roman" w:hAnsi="Times New Roman"/>
          <w:color w:val="000000"/>
          <w:sz w:val="18"/>
        </w:rPr>
        <w:t xml:space="preserve"> Transformation runtime and edit integrity. Runtime covers apply_variant() only; values are means ± standard deviations over 15 protection seeds.</w:t>
      </w:r>
    </w:p>
    <w:tbl>
      <w:tblPr>
        <w:tblStyle w:val="TableGrid"/>
        <w:tblW w:type="dxa" w:w="8712"/>
        <w:jc w:val="center"/>
        <w:tblLayout w:type="fixed"/>
        <w:tblLook w:firstColumn="1" w:firstRow="1" w:lastColumn="0" w:lastRow="0" w:noHBand="0" w:noVBand="1" w:val="04A0"/>
      </w:tblPr>
      <w:tblGrid>
        <w:gridCol w:w="720"/>
        <w:gridCol w:w="1368"/>
        <w:gridCol w:w="1152"/>
        <w:gridCol w:w="1368"/>
        <w:gridCol w:w="1224"/>
        <w:gridCol w:w="1512"/>
        <w:gridCol w:w="1368"/>
      </w:tblGrid>
      <w:tr>
        <w:trPr>
          <w:trHeight w:val="288" w:hRule="exact"/>
          <w:tblHeader w:val="true"/>
          <w:cantSplit/>
          <w:tblHeader w:val="true"/>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Dataset</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Variant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Runtime (s)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Runtime/1000 edges (s)</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Added edges</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Removed original edges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Changed-degree nodes</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0.0580 ± 0.0348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0.0089 ± 0.0053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0.1354 ± 0.0452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0.0207 ± 0.0069</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908.7333 ± 6.8187</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908.7333 ± 6.8187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0.0911 ± 0.0560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0.0139 ± 0.0086</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522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745.8000 ± 9.7848</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0.1218 ± 0.0345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0.0186 ± 0.0053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911.2667 ± 3.6541</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911.2667 ± 3.6541</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0.0851 ± 0.0312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0.0130 ± 0.0048</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425.4667 ± 0.8338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425.4667 ± 0.8338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0.0968 ± 0.0438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0.0148 ± 0.0067</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425.0667 ± 0.8837</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425.0667 ± 0.8837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0.0784 ± 0.0364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0.0120 ± 0.0056</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520.6000 ± 1.1832</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520.6000 ± 1.1832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0.1132 ± 0.0428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0.0074 ± 0.0028</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0.3300 ± 0.0294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0.0216 ± 0.0019</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2762.3333 ± 14.4897</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2762.3333 ± 14.4897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0.1507 ± 0.0529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0.0099 ± 0.0035</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1,220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1663.8000 ± 16.2226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0.3363 ± 0.0397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0.0221 ± 0.0026</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2756.8000 ± 9.5559</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2756.8000 ± 9.5559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0.2315 ± 0.0594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0.0152 ± 0.0039</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1677.9333 ± 1.2799</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1677.9333 ± 1.2799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0.2150 ± 0.0567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0.0141 ± 0.0037</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1677.9333 ± 1.4376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1677.9333 ± 1.4376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0.1802 ± 0.0545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0.0118 ± 0.0036</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1219.0667 ± 0.9612</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1219.0667 ± 0.9612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0.0585 ± 0.0196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0.0072 ± 0.0024</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0.1848 ± 0.0478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0.0228 ± 0.0059</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1,273 ± 9.4868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1,273 ± 9.4868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0.0831 ± 0.0389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0.0103 ± 0.0048</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648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908.5333 ± 14.5498</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0.1993 ± 0.0543</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0.0246 ± 0.0067</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1272.7333 ± 7.4014</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1272.7333 ± 7.4014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0.1482 ± 0.0594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0.0183 ± 0.0073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681.3333 ± 0.8997</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681.3333 ± 0.8997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0.1149 ± 0.0438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0.0142 ± 0.0054</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680.4667 ± 1.2459</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680.4667 ± 1.2459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0.1153 ± 0.0508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0.0142 ± 0.0063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647.6667 ± 0.6172</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647.6667 ± 0.6172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0.0235 ± 0.0044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0.0055 ± 0.0010</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0.0797 ± 0.0417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0.0187 ± 0.0098</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771.6667 ± 5.6904</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771.6667 ± 5.6904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0.0408 ± 0.0297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0.0096 ± 0.0070</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340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343 ± 10.1489</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0.0842 ± 0.0384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0.0198 ± 0.0090</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770.3333 ± 6.5320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770.3333 ± 6.5320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0.0544 ± 0.0222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0.0128 ± 0.0052</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485.8667 ± 2.5598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485.8667 ± 2.5598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0.0512 ± 0.0300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0.0120 ± 0.0071</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483.1333 ± 2.2636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483.1333 ± 2.2636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0.0422 ± 0.0267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0.0099 ± 0.0063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336.5333 ± 1.4075</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336.5333 ± 1.4075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0.0148 ± 0.0033</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0.0062 ± 0.0014</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0.0524 ± 0.0319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0.0218 ± 0.0133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436 ± 2.9761</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436 ± 2.9761</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0.0180 ± 0.0035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0.0075 ± 0.0015</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192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303.7333 ± 5.8975</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0.0355 ± 0.0079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0.0148 ± 0.0033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434.9333 ± 3.7506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434.9333 ± 3.7506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0.0300 ± 0.0050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0.0125 ± 0.0021</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263.8667 ± 0.3519</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263.8667 ± 0.3519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0.0257 ± 0.0053</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0.0107 ± 0.0022</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263.7333 ± 0.5936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263.7333 ± 0.5936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0.0270 ± 0.0286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0.0113 ± 0.0119</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191.8667 ± 0.3519</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191.8667 ± 0.3519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bl>
    <w:p>
      <w:pPr/>
      <w:r>
        <w:t>Computational telemetry. In the primary 15-seed runtime table, the full variant's dataset-level mean apply_variant() time ranged from 0.0524 to 0.3300 s, corresponding to 0.0187-0.0228 s per 1,000 original edges. In the separately controlled 2K telemetry, all 75 primary 2K conditions reached their relation and topology targets, and 2K mean runtime was 1.64-2.44 times the full variant within the same dataset and telemetry run (Supplementary Table S17). These measurements characterize the evaluated graphs and recorded software environment; peak memory and proposal-attempt counts were not instrumented, so no memory profile, proposal-acceptance ratio, or asymptotic scaling claim is made.</w:t>
      </w:r>
    </w:p>
    <w:p/>
    <w:p>
      <w:pPr>
        <w:pStyle w:val="Heading2"/>
      </w:pPr>
      <w:r>
        <w:t>6.3 Attack-Specific Privacy Evaluation</w:t>
      </w:r>
    </w:p>
    <w:p>
      <w:r>
        <w:rPr>
          <w:rFonts w:ascii="Times New Roman" w:hAnsi="Times New Roman" w:eastAsia="Times New Roman"/>
          <w:sz w:val="22"/>
        </w:rPr>
        <w:t>The fixed-edge analysis separated concealment of the original sensitive relation label from inference of original edge existence. Under both the relation-only and full configurations, mean recovery of the original sensitive relation type was 0 on all five datasets (Table 4). This result did not eliminate structural evidence of prior connectivity. For the full configuration, local structural AUC ranged from 0.49909 to 0.86879 and hybrid edge-inference AUC from 0.90705 to 0.97351. Thus, the transformation consistently removed direct sensitive-label recovery in this protocol, while residual edge-existence inference remained dataset dependent and was substantial for several datasets.</w:t>
      </w:r>
    </w:p>
    <w:p>
      <w:r>
        <w:rPr>
          <w:rFonts w:ascii="Times New Roman" w:hAnsi="Times New Roman" w:eastAsia="Times New Roman"/>
          <w:sz w:val="22"/>
        </w:rPr>
        <w:t>The structure-only relation attack showed a similarly conditional pattern. On PubMed, full TAFP-GraphRAG reduced mean Macro-F1 from 0.64602 for the unprotected baseline and 0.62377 for random edge dropout to 0.61108; the one-sided Holm-adjusted p values were 0.005859 and 0.003906, respectively (Table 5). However, full was not significantly different from either perturbation-budget-matched random control. On SynthPII, full achieved Macro-F1 of 0.08635, and none of the four reported full-versus-comparator tests was significant after Holm correction. These results show that topology-only relation inference was weakened in the PubMed setting relative to unprotected and deletion-only references, but they do not establish a sensitivity-guided advantage over matched random perturbation for this attack.</w:t>
      </w:r>
    </w:p>
    <w:p>
      <w:r>
        <w:rPr>
          <w:rFonts w:ascii="Times New Roman" w:hAnsi="Times New Roman" w:eastAsia="Times New Roman"/>
          <w:sz w:val="22"/>
        </w:rPr>
        <w:t>Embedding-based attacks reinforced the dataset dependence. On PubMed, spectral-logistic Macro-F1 decreased from 0.72164 under the baseline to 0.57853 under full protection, and spectral-MLP Macro-F1 decreased from 0.69662 to 0.57612. Both full-versus-baseline comparisons remained significant after global Holm correction, whereas neither full-versus-random-full-budget comparison was significant (Supplementary Tables S22–S23). On SynthPII, no consistent reduction was observed: spectral-logistic Macro-F1 was slightly higher under full protection than under the baseline (0.11364 versus 0.10118; globally Holm-adjusted p = 0.015808), while the spectral-MLP comparison was not significant. Accordingly, the spectral results support a reduction in PubMed attack performance but not a general advantage across datasets or over the matched random control.</w:t>
      </w:r>
    </w:p>
    <w:p>
      <w:r>
        <w:rPr>
          <w:rFonts w:ascii="Times New Roman" w:hAnsi="Times New Roman" w:eastAsia="Times New Roman"/>
          <w:sz w:val="22"/>
        </w:rPr>
        <w:t>The released-view GCN-GAE stress test produced the same boundary. On PubMed, full protection reduced Macro-F1 from 0.76515 to 0.59832 with topology-only features, from 0.88081 to 0.80088 after adding entity type, and from 0.99351 to 0.85222 with the complete permitted released-attribute feature set. All nine PubMed full-versus-baseline metric comparisons were significant after exact sign-flip Holm correction. None of the nine corresponding full-versus-random-full-budget comparisons was significant. On SynthPII, none of the full-versus-baseline or full-versus-random-full-budget comparisons remained significant after correction (Supplementary Tables S28–S29). The broader learned-representation attacks therefore demonstrate reduced inference relative to the unprotected PubMed graph, while also showing that the effect cannot be attributed uniquely to sensitivity-guided selection under the matched structural budget.</w:t>
      </w:r>
    </w:p>
    <w:p>
      <w:r>
        <w:rPr>
          <w:rFonts w:ascii="Times New Roman" w:hAnsi="Times New Roman" w:eastAsia="Times New Roman"/>
          <w:sz w:val="22"/>
        </w:rPr>
        <w:t xml:space="preserve">The marker audit identified a separate release-policy risk. Both the default </w:t>
      </w:r>
      <w:r>
        <w:rPr>
          <w:rFonts w:ascii="Courier New" w:hAnsi="Courier New" w:eastAsia="Courier New"/>
          <w:sz w:val="19"/>
        </w:rPr>
        <w:t>PRIVATE_RELATION</w:t>
      </w:r>
      <w:r>
        <w:rPr>
          <w:rFonts w:ascii="Times New Roman" w:hAnsi="Times New Roman" w:eastAsia="Times New Roman"/>
          <w:sz w:val="22"/>
        </w:rPr>
        <w:t xml:space="preserve"> marker and relation-label omission yielded policy-membership AUC of 1.0 on every dataset. Applying the same coarse marker to 50% of non-sensitive relations reduced AUC to 0.74597–0.75561, but also reduced non-sensitive semantic retention to 0.44401–0.47496. Applying the cover to all non-sensitive relations reduced AUC to 0.5 while reducing non-sensitive semantic retention to 0. Across all cover settings, sensitive-label concealment and exact degree preservation remained 1.0. All 50 paired AUC or retention comparisons against the default marker were significant after Holm correction (p = 0.001526). Marker privacy is therefore not obtained without a direct semantic-utility cost under the evaluated release policies.</w:t>
      </w:r>
    </w:p>
    <w:p>
      <w:r>
        <w:rPr>
          <w:rFonts w:ascii="Times New Roman" w:hAnsi="Times New Roman" w:eastAsia="Times New Roman"/>
          <w:sz w:val="22"/>
        </w:rPr>
        <w:t>Finally, the policy-misclassification experiment distinguished correct execution of the supplied policy from protection under the original oracle policy. Supplied-policy marker AUC and supplied-policy relation concealment remained 1.0 in every scenario, and exact edge-count and degree preservation also remained 1.0. In contrast, at a 20% false-negative rate, oracle sensitive-relation concealment fell to 0.79979–0.80280. At a 20% false-positive rate, oracle non-sensitive label preservation fell to 0.78791–0.80362. Under 20% symmetric error, oracle sensitive concealment was 0.79742–0.80184 and oracle non-sensitive preservation was 0.79216–0.80656 (Supplementary Table S21). TAFP-GraphRAG therefore executed the supplied policy faithfully but did not correct errors in that policy, making policy quality an explicit operational dependency.</w:t>
      </w:r>
    </w:p>
    <w:p>
      <w:pPr>
        <w:pStyle w:val="Caption"/>
        <w:keepNext/>
        <w:widowControl/>
        <w:spacing w:after="80"/>
        <w:jc w:val="both"/>
      </w:pPr>
      <w:r>
        <w:rPr>
          <w:rFonts w:ascii="Times New Roman" w:hAnsi="Times New Roman"/>
          <w:b/>
          <w:color w:val="000000"/>
          <w:sz w:val="18"/>
        </w:rPr>
        <w:t>Table 4.</w:t>
      </w:r>
      <w:r>
        <w:rPr>
          <w:rFonts w:ascii="Times New Roman" w:hAnsi="Times New Roman"/>
          <w:color w:val="000000"/>
          <w:sz w:val="18"/>
        </w:rPr>
        <w:t xml:space="preserve"> Fixed-edge evaluation on sensitive target edges. Local structural AUC and hybrid edge AUC represent distinct attacker feature sets. Values are means ± standard deviations over 15 protection seeds.</w:t>
      </w:r>
    </w:p>
    <w:tbl>
      <w:tblPr>
        <w:tblStyle w:val="TableGrid"/>
        <w:tblW w:type="dxa" w:w="8352"/>
        <w:jc w:val="center"/>
        <w:tblLayout w:type="fixed"/>
        <w:tblLook w:firstColumn="1" w:firstRow="1" w:lastColumn="0" w:lastRow="0" w:noHBand="0" w:noVBand="1" w:val="04A0"/>
      </w:tblPr>
      <w:tblGrid>
        <w:gridCol w:w="720"/>
        <w:gridCol w:w="1368"/>
        <w:gridCol w:w="1224"/>
        <w:gridCol w:w="1152"/>
        <w:gridCol w:w="1296"/>
        <w:gridCol w:w="1512"/>
        <w:gridCol w:w="1080"/>
      </w:tblGrid>
      <w:tr>
        <w:trPr>
          <w:trHeight w:val="288" w:hRule="exact"/>
          <w:tblHeader w:val="true"/>
          <w:cantSplit/>
          <w:tblHeader w:val="true"/>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Dataset</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Variant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Local structural AUC</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Hybrid edge AUC</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Positive-edge retention</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Original relation recovery</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keepNext w:val="0"/>
              <w:keepLines/>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False-edge rate</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0.9778 ± 0.0149</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0.8688 ± 0.0211</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0.9735 ± 0.0095</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0.8087 ± 0.0302</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0.0027 ± 0.0046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0.9329 ± 0.0236</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0.9938 ± 0.0052</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0.9193 ± 0.0306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0.9193 ± 0.0306</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0.8745 ± 0.0249</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0.9846 ± 0.0083</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0.8873 ± 0.0371</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0.4367 ± 0.0429</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0.0060 ± 0.0074</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0.9284 ± 0.0219</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0.9946 ± 0.0050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0.9480 ± 0.0293</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0.4653 ± 0.0416</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0.0027 ± 0.0046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0.9211 ± 0.0226</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0.9905 ± 0.0060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0.8720 ± 0.0283</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0.0020 ± 0.0041</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0.9321 ± 0.0151</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0.9926 ± 0.0070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0.9187 ± 0.0229</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0.9187 ± 0.0229</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0.0033 ± 0.0049</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0.9591 ± 0.0132</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0.8535 ± 0.0270</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0.9731 ± 0.0102</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0.8120 ± 0.0426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0.0020 ± 0.0041</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0.9120 ± 0.0183</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0.9941 ± 0.0038</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0.9207 ± 0.0281</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0.9207 ± 0.0281</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0.8475 ± 0.0241</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0.9713 ± 0.0108</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0.8213 ± 0.0302</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0.0867 ± 0.0261</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0.0060 ± 0.0083</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0.8935 ± 0.0212</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0.9887 ± 0.0066</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0.8913 ± 0.0264</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0.0940 ± 0.0307</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0.0033 ± 0.0062</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0.8957 ± 0.0183</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0.9889 ± 0.0046</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0.8880 ± 0.0390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0.0020 ± 0.0041</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0.9200 ± 0.0143</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0.9929 ± 0.0071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0.9313 ± 0.0267</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0.9313 ± 0.0267</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0.0007 ± 0.0026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0.8647 ± 0.0262</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0.8135 ± 0.0288</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0.9664 ± 0.0138</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0.8207 ± 0.0457</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0.0087 ± 0.0092</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0.8282 ± 0.0254</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0.9831 ± 0.0094</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0.9147 ± 0.0226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0.9147 ± 0.0226</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0.8338 ± 0.0305</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0.9734 ± 0.0130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0.8427 ± 0.0359</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0.2893 ± 0.0287</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0.0087 ± 0.0083</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0.8652 ± 0.0346</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0.9881 ± 0.0075</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0.9100 ± 0.0285</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0.3120 ± 0.0303</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0.0067 ± 0.0082</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0.8466 ± 0.0225</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0.9800 ± 0.0105</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0.8820 ± 0.0314</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0.0080 ± 0.0068</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0.8609 ± 0.0310</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0.9904 ± 0.0071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0.9173 ± 0.0234</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0.9173 ± 0.0234</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0.0047 ± 0.0052</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0.8891 ± 0.0270</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0.7194 ± 0.0434</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0.9197 ± 0.0334</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0.8087 ± 0.0461</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0.0607 ± 0.0252</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0.8410 ± 0.0285</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0.9895 ± 0.0067</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0.9173 ± 0.0317</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0.9173 ± 0.0317</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0.7244 ± 0.0295</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0.9268 ± 0.0141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0.8353 ± 0.0210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0.0407 ± 0.0167</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0.0667 ± 0.0176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0.7834 ± 0.0367</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0.9570 ± 0.0104</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0.8913 ± 0.0245</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0.0433 ± 0.0188</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0.0453 ± 0.0136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0.7800 ± 0.0389</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0.9571 ± 0.0206</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0.8827 ± 0.0358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0.0433 ± 0.0195</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0.8119 ± 0.0292</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0.9701 ± 0.0117</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0.9200 ± 0.0338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0.9200 ± 0.0338</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0.0367 ± 0.0154</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0.4897 ± 0.0129</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0.4991 ± 0.0108</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0.9070 ± 0.0189</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0.8113 ± 0.0338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0.0007 ± 0.0026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0.4916 ± 0.0113</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0.9594 ± 0.0127</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0.9187 ± 0.0245</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0.9187 ± 0.0245</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0.4945 ± 0.0139</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0.9085 ± 0.0139</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0.8180 ± 0.0243</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0.0580 ± 0.0197</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0.0020 ± 0.0056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random_relation_budget</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0.4921 ± 0.0208</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0.9493 ± 0.0133</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0.8993 ± 0.0258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0.0640 ± 0.0203</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0.0020 ± 0.0056</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relation_only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0.4964 ± 0.0111</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0.9355 ± 0.0118</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0.8753 ± 0.0223</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0.0000 ± 0.0000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0.0013 ± 0.0035</w:t>
            </w:r>
          </w:p>
        </w:tc>
      </w:tr>
      <w:tr>
        <w:trPr>
          <w:cantSplit/>
          <w:trHeight w:val="244" w:hRule="exac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topology_only</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0.4941 ± 0.0115</w:t>
            </w:r>
          </w:p>
        </w:tc>
        <w:tc>
          <w:tcPr>
            <w:tcW w:type="dxa" w:w="115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0.9549 ± 0.0139</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0.9087 ± 0.0270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0.9080 ± 0.0260</w:t>
            </w:r>
          </w:p>
        </w:tc>
        <w:tc>
          <w:tcPr>
            <w:tcW w:type="dxa" w:w="108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keepNext w:val="0"/>
              <w:keepLines/>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0.0007 ± 0.0026</w:t>
            </w:r>
          </w:p>
        </w:tc>
      </w:tr>
    </w:tbl>
    <w:p/>
    <w:p>
      <w:pPr>
        <w:pStyle w:val="Caption"/>
        <w:keepNext/>
        <w:widowControl/>
        <w:spacing w:after="80"/>
        <w:jc w:val="left"/>
      </w:pPr>
      <w:r>
        <w:rPr>
          <w:rFonts w:ascii="Times New Roman" w:hAnsi="Times New Roman"/>
          <w:sz w:val="21"/>
        </w:rPr>
        <w:t>Table 5. Hierarchical paired comparisons for structure-only relation inference. The Comparator column identifies the reference condition; differences are calculated as full minus comparator. Confidence intervals preserve the split-seed and protection-seed hierarchy, and p-values are Holm adjusted.</w:t>
      </w:r>
    </w:p>
    <w:tbl>
      <w:tblPr>
        <w:tblStyle w:val="TableGrid"/>
        <w:tblW w:type="dxa" w:w="8352"/>
        <w:jc w:val="center"/>
        <w:tblLayout w:type="fixed"/>
        <w:tblLook w:firstColumn="1" w:firstRow="1" w:lastColumn="0" w:lastRow="0" w:noHBand="0" w:noVBand="1" w:val="04A0"/>
      </w:tblPr>
      <w:tblGrid>
        <w:gridCol w:w="648"/>
        <w:gridCol w:w="936"/>
        <w:gridCol w:w="1296"/>
        <w:gridCol w:w="720"/>
        <w:gridCol w:w="936"/>
        <w:gridCol w:w="1007"/>
        <w:gridCol w:w="1368"/>
        <w:gridCol w:w="720"/>
        <w:gridCol w:w="720"/>
      </w:tblGrid>
      <w:tr>
        <w:trPr>
          <w:tblHeader w:val="true"/>
          <w:cantSplit/>
          <w:tblHeader w:val="true"/>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r>
            <w:r>
              <w:rPr>
                <w:rFonts w:ascii="Times New Roman" w:hAnsi="Times New Roman" w:eastAsia="Times New Roman"/>
                <w:b/>
                <w:sz w:val="10"/>
              </w:rPr>
              <w:t>Dataset</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t>Metric</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t>Comparator</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r>
            <w:r>
              <w:rPr>
                <w:rFonts w:ascii="Times New Roman" w:hAnsi="Times New Roman" w:eastAsia="Times New Roman"/>
                <w:b/>
                <w:sz w:val="10"/>
              </w:rPr>
              <w:t>Full</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t>Comparator value</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r>
            <w:r>
              <w:rPr>
                <w:rFonts w:ascii="Times New Roman" w:hAnsi="Times New Roman" w:eastAsia="Times New Roman"/>
                <w:b/>
                <w:sz w:val="10"/>
              </w:rPr>
              <w:t>Full − comparator</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r>
            <w:r>
              <w:rPr>
                <w:rFonts w:ascii="Times New Roman" w:hAnsi="Times New Roman" w:eastAsia="Times New Roman"/>
                <w:b/>
                <w:sz w:val="10"/>
              </w:rPr>
              <w:t>Hierarchical 95% CI</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r>
            <w:r>
              <w:rPr>
                <w:rFonts w:ascii="Times New Roman" w:hAnsi="Times New Roman" w:eastAsia="Times New Roman"/>
                <w:b/>
                <w:sz w:val="10"/>
              </w:rPr>
              <w:t>Holm p</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0"/>
              </w:rPr>
            </w:r>
            <w:r>
              <w:rPr>
                <w:rFonts w:ascii="Times New Roman" w:hAnsi="Times New Roman" w:eastAsia="Times New Roman"/>
                <w:b/>
                <w:sz w:val="10"/>
              </w:rPr>
              <w:t>Significant</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Baseline</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0.6111</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0.6460</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-0.0349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[-0.0483, -0.0205]</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0.0059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Yes</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edge dropout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0.6111</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0.6238</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-0.0127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[-0.0232, -0.0030]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0.0039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Yes</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full-budget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0.6111</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0.6056</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0.0054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[-0.0019, 0.0129]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0.9873</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relation-budget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0.6111</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0.6150</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-0.0039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[-0.0134, 0.0058]</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0.2559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Baseline</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0.6207</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0.6510</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-0.0304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[-0.0428, -0.0168]</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0.0117</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Yes</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edge dropout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0.6207</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0.6329</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-0.0122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[-0.0219, -0.0030]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0.0039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Yes</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full-budget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0.6207</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0.6145</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0.0062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[-0.0020, 0.0144]</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0.9775</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PubMed</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relation-budget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0.6207</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0.6227</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-0.0021</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[-0.0113, 0.0073]</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0.4629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Baseline</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0.0863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0.0849</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0.0014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[-0.0120, 0.0139]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1.0000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edge dropout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0.0863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0.0878</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-0.0015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[-0.0073, 0.0045]</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0.8594</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full-budget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0.0863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0.0831</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0.0033</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[-0.0026, 0.0090]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1.0000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Macro-F1</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relation-budget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0.0863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0.0805</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0.0059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[-0.0005, 0.0120]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1.0000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Baseline</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0.1023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0.1009</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0.0014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[-0.0140, 0.0154]</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1.0000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edge dropout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0.1023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0.1043</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-0.0020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[-0.0076, 0.0038]</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0.4766</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b w:val="0"/>
                <w:sz w:val="10"/>
              </w:rPr>
              <w:t>Random full-budget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0.1023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0.1018</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0.0005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[-0.0056, 0.0069]</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1.0000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r>
        <w:trPr>
          <w:cantSplit/>
        </w:trPr>
        <w:tc>
          <w:tcPr>
            <w:tcW w:type="dxa" w:w="64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sz w:val="10"/>
              </w:rPr>
            </w:r>
            <w:r>
              <w:rPr>
                <w:rFonts w:ascii="Times New Roman" w:hAnsi="Times New Roman" w:eastAsia="Times New Roman"/>
                <w:b w:val="0"/>
                <w:sz w:val="10"/>
              </w:rPr>
              <w:t>SynthPII</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b w:val="0"/>
                <w:sz w:val="10"/>
              </w:rPr>
              <w:t>Balanced accuracy</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b w:val="0"/>
                <w:sz w:val="10"/>
              </w:rPr>
              <w:t>Random relation-budget</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0.1023</w:t>
            </w:r>
          </w:p>
        </w:tc>
        <w:tc>
          <w:tcPr>
            <w:tcW w:type="dxa" w:w="93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0.0983</w:t>
            </w:r>
          </w:p>
        </w:tc>
        <w:tc>
          <w:tcPr>
            <w:tcW w:type="dxa" w:w="100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0.0040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[-0.0029, 0.0107]</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1.0000</w:t>
            </w:r>
          </w:p>
        </w:tc>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0"/>
              </w:rPr>
            </w:r>
            <w:r>
              <w:rPr>
                <w:rFonts w:ascii="Times New Roman" w:hAnsi="Times New Roman" w:eastAsia="Times New Roman"/>
                <w:b w:val="0"/>
                <w:sz w:val="10"/>
              </w:rPr>
              <w:t>No</w:t>
            </w:r>
          </w:p>
        </w:tc>
      </w:tr>
    </w:tbl>
    <w:p/>
    <w:p>
      <w:pPr>
        <w:pStyle w:val="Caption"/>
      </w:pPr>
      <w:r>
        <w:t>Table 6. Released-view GCN-GAE relation-inference performance. Values are means over 15 protection seeds and ten locked split seeds (150 evaluations per cell). The released-attribute mode uses entity type and target-edge-excluded distributions of neighboring exposed protected relation labels.</w:t>
      </w:r>
    </w:p>
    <w:tbl>
      <w:tblPr>
        <w:tblStyle w:val="TableGrid"/>
        <w:tblW w:type="dxa" w:w="9576"/>
        <w:jc w:val="center"/>
        <w:tblLayout w:type="fixed"/>
        <w:tblLook w:firstColumn="1" w:firstRow="1" w:lastColumn="0" w:lastRow="0" w:noHBand="0" w:noVBand="1" w:val="04A0"/>
      </w:tblPr>
      <w:tblGrid>
        <w:gridCol w:w="1007"/>
        <w:gridCol w:w="1368"/>
        <w:gridCol w:w="1440"/>
        <w:gridCol w:w="1440"/>
        <w:gridCol w:w="1512"/>
        <w:gridCol w:w="1440"/>
        <w:gridCol w:w="1368"/>
      </w:tblGrid>
      <w:tr>
        <w:trPr>
          <w:tblHeader w:val="true"/>
          <w:cantSplit/>
          <w:tblHeader w:val="true"/>
        </w:trPr>
        <w:tc>
          <w:tcPr>
            <w:tcW w:type="dxa" w:w="100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3"/>
              </w:rPr>
              <w:t>Dataset</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3"/>
              </w:rPr>
              <w:t>Variant</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3"/>
              </w:rPr>
              <w:t>Topology-only</w:t>
              <w:br/>
              <w:t>Macro-F1</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3"/>
              </w:rPr>
              <w:t>+ Entity type</w:t>
              <w:br/>
              <w:t>Macro-F1</w:t>
            </w:r>
          </w:p>
        </w:tc>
        <w:tc>
          <w:tcPr>
            <w:tcW w:type="dxa" w:w="1512"/>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3"/>
              </w:rPr>
              <w:t>+ Released attrs</w:t>
              <w:br/>
              <w:t>Macro-F1</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3"/>
              </w:rPr>
              <w:t>+ Released attrs</w:t>
              <w:br/>
              <w:t>Bal. acc.</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3"/>
              </w:rPr>
              <w:t>+ Released attrs</w:t>
              <w:br/>
              <w:t>Accuracy</w:t>
            </w:r>
          </w:p>
        </w:tc>
      </w:tr>
      <w:tr>
        <w:trPr>
          <w:cantSplit/>
        </w:trPr>
        <w:tc>
          <w:tcPr>
            <w:tcW w:type="dxa" w:w="100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PubMed</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Baseline</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0.7652</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0.8808</w:t>
            </w:r>
          </w:p>
        </w:tc>
        <w:tc>
          <w:tcPr>
            <w:tcW w:type="dxa" w:w="1512"/>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0.9935</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0.9933</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0.9951</w:t>
            </w:r>
          </w:p>
        </w:tc>
      </w:tr>
      <w:tr>
        <w:trPr>
          <w:cantSplit/>
        </w:trPr>
        <w:tc>
          <w:tcPr>
            <w:tcW w:type="dxa" w:w="100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PubMed</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Full TAFP</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0.5983</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0.8009</w:t>
            </w:r>
          </w:p>
        </w:tc>
        <w:tc>
          <w:tcPr>
            <w:tcW w:type="dxa" w:w="1512"/>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0.8522</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0.8492</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0.8807</w:t>
            </w:r>
          </w:p>
        </w:tc>
      </w:tr>
      <w:tr>
        <w:trPr>
          <w:cantSplit/>
        </w:trPr>
        <w:tc>
          <w:tcPr>
            <w:tcW w:type="dxa" w:w="100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PubMed</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Random full budget</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0.6038</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0.7952</w:t>
            </w:r>
          </w:p>
        </w:tc>
        <w:tc>
          <w:tcPr>
            <w:tcW w:type="dxa" w:w="1512"/>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0.8335</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0.8315</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0.8739</w:t>
            </w:r>
          </w:p>
        </w:tc>
      </w:tr>
      <w:tr>
        <w:trPr>
          <w:cantSplit/>
        </w:trPr>
        <w:tc>
          <w:tcPr>
            <w:tcW w:type="dxa" w:w="100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SynthPII</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Baseline</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0.1075</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0.1037</w:t>
            </w:r>
          </w:p>
        </w:tc>
        <w:tc>
          <w:tcPr>
            <w:tcW w:type="dxa" w:w="1512"/>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0.1091</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0.1122</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0.1186</w:t>
            </w:r>
          </w:p>
        </w:tc>
      </w:tr>
      <w:tr>
        <w:trPr>
          <w:cantSplit/>
        </w:trPr>
        <w:tc>
          <w:tcPr>
            <w:tcW w:type="dxa" w:w="100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SynthPII</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sz w:val="13"/>
              </w:rPr>
              <w:t>Full TAFP</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0.1029</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0.1094</w:t>
            </w:r>
          </w:p>
        </w:tc>
        <w:tc>
          <w:tcPr>
            <w:tcW w:type="dxa" w:w="1512"/>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0.1060</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0.1078</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sz w:val="13"/>
              </w:rPr>
              <w:t>0.1137</w:t>
            </w:r>
          </w:p>
        </w:tc>
      </w:tr>
      <w:tr>
        <w:trPr>
          <w:cantSplit/>
        </w:trPr>
        <w:tc>
          <w:tcPr>
            <w:tcW w:type="dxa" w:w="100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left"/>
            </w:pPr>
            <w:r>
              <w:rPr>
                <w:rFonts w:ascii="Times New Roman" w:hAnsi="Times New Roman" w:eastAsia="Times New Roman"/>
                <w:sz w:val="13"/>
              </w:rPr>
              <w:t>SynthPII</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left"/>
            </w:pPr>
            <w:r>
              <w:rPr>
                <w:rFonts w:ascii="Times New Roman" w:hAnsi="Times New Roman" w:eastAsia="Times New Roman"/>
                <w:sz w:val="13"/>
              </w:rPr>
              <w:t>Random full budget</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sz w:val="13"/>
              </w:rPr>
              <w:t>0.1025</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sz w:val="13"/>
              </w:rPr>
              <w:t>0.1104</w:t>
            </w:r>
          </w:p>
        </w:tc>
        <w:tc>
          <w:tcPr>
            <w:tcW w:type="dxa" w:w="1512"/>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sz w:val="13"/>
              </w:rPr>
              <w:t>0.1078</w:t>
            </w:r>
          </w:p>
        </w:tc>
        <w:tc>
          <w:tcPr>
            <w:tcW w:type="dxa" w:w="1440"/>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sz w:val="13"/>
              </w:rPr>
              <w:t>0.1112</w:t>
            </w:r>
          </w:p>
        </w:tc>
        <w:tc>
          <w:tcPr>
            <w:tcW w:type="dxa" w:w="1368"/>
            <w:vAlign w:val="center"/>
            <w:tcMar>
              <w:top w:w="30" w:type="dxa"/>
              <w:bottom w:w="30" w:type="dxa"/>
              <w:left w:w="40" w:type="dxa"/>
              <w:right w:w="40" w:type="dxa"/>
              <w:start w:w="35"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sz w:val="13"/>
              </w:rPr>
              <w:t>0.1181</w:t>
            </w:r>
          </w:p>
        </w:tc>
      </w:tr>
    </w:tbl>
    <w:p/>
    <w:p>
      <w:pPr>
        <w:keepNext/>
        <w:pageBreakBefore w:val="0"/>
        <w:jc w:val="center"/>
      </w:pPr>
      <w:r>
        <w:drawing>
          <wp:inline xmlns:a="http://schemas.openxmlformats.org/drawingml/2006/main" xmlns:pic="http://schemas.openxmlformats.org/drawingml/2006/picture">
            <wp:extent cx="6080760" cy="2178740"/>
            <wp:docPr id="5" name="Picture 5" title="Figure 5" descr="Figure 7. Attack-specific relation-inference evidence. Panel A reports fixed-edge local structural AUC across the five evaluated datasets; the dashed line marks chance-level discrimination. Panel B reports recovery of the original relation label for sensitive target edges. Panel C reports the PubMed stronger-attacker summary using only directly reported values: the structure-only logistic attack from Table 4 and the spectral logistic and spectral MLP attackers from Results Section 4.6. For Panel C, lower Macro-F1 indicates lower relation-inference success. Random full-budget is not shown for the spectral attackers because those exact values are not directly tabulated in the manuscript."/>
            <wp:cNvGraphicFramePr>
              <a:graphicFrameLocks noChangeAspect="1"/>
            </wp:cNvGraphicFramePr>
            <a:graphic>
              <a:graphicData uri="http://schemas.openxmlformats.org/drawingml/2006/picture">
                <pic:pic>
                  <pic:nvPicPr>
                    <pic:cNvPr id="0" name="Figure_7_Attack_Evaluation_LOCKED.png"/>
                    <pic:cNvPicPr/>
                  </pic:nvPicPr>
                  <pic:blipFill>
                    <a:blip r:embed="rId14"/>
                    <a:stretch>
                      <a:fillRect/>
                    </a:stretch>
                  </pic:blipFill>
                  <pic:spPr>
                    <a:xfrm>
                      <a:off x="0" y="0"/>
                      <a:ext cx="6080760" cy="2178740"/>
                    </a:xfrm>
                    <a:prstGeom prst="rect"/>
                  </pic:spPr>
                </pic:pic>
              </a:graphicData>
            </a:graphic>
          </wp:inline>
        </w:drawing>
      </w:r>
    </w:p>
    <w:p>
      <w:pPr>
        <w:pStyle w:val="Caption"/>
        <w:keepLines/>
        <w:jc w:val="both"/>
      </w:pPr>
      <w:r>
        <w:rPr>
          <w:b/>
        </w:rPr>
        <w:t>Figure 6.</w:t>
      </w:r>
      <w:r>
        <w:t xml:space="preserve"> Attack-specific relation-inference evidence. Panel A reports fixed-edge local structural AUC across the five evaluated datasets; the dashed line marks chance-level discrimination. Panel B reports direct recovery of the original relation label after deterministic sanitization for sensitive target edges. Panel C reports the PubMed stronger-attacker summary using only directly reported values: the structure-only logistic attack from Table 5 and the spectral logistic and spectral MLP attackers from Section 6.3. For Panel C, lower Macro-F1 indicates lower relation-inference success. Random full-budget is not shown for the spectral attackers because those exact values are not directly tabulated in the manuscript.</w:t>
      </w:r>
    </w:p>
    <w:p>
      <w:pPr>
        <w:pStyle w:val="Heading2"/>
      </w:pPr>
      <w:r>
        <w:t>6.4 Structural and Retrieval-Grounded Utility</w:t>
      </w:r>
    </w:p>
    <w:p>
      <w:r>
        <w:rPr>
          <w:rFonts w:ascii="Times New Roman" w:hAnsi="Times New Roman" w:eastAsia="Times New Roman"/>
          <w:sz w:val="22"/>
        </w:rPr>
        <w:t>Across the five datasets, full TAFP-GraphRAG retained a substantial fraction of the edge support used by the fixed retrieval paths. Mean query-support edge retention ranged from 0.81359 to 0.86568, while the complete original path was preserved for 0.67237–0.75662 of queries (Table 7). Endpoint reachability remained 1.0 in every dataset under the full configuration. Reachability within the original hop budget ranged from 0.71111 to 0.86697, and reachability within three hops ranged from 0.75796 to 0.99246. The strongest three-hop preservation was observed on PubMed, whereas SynthPII showed the largest structural displacement under the same protocol.</w:t>
      </w:r>
    </w:p>
    <w:p>
      <w:r>
        <w:rPr>
          <w:rFonts w:ascii="Times New Roman" w:hAnsi="Times New Roman" w:eastAsia="Times New Roman"/>
          <w:sz w:val="22"/>
        </w:rPr>
        <w:t>The relevant-subgraph results showed the same distinction between preserving retrieval access and preserving exact local structure. Under full protection, relevant-node recall ranged from 0.72295 to 0.86591 and relevant-edge recall from 0.66491 to 0.73790. The corresponding Jaccard ranges were 0.59406–0.78626 for nodes and 0.50825–0.61775 for edges (Table 8). Thus, most originally relevant nodes and a majority of originally relevant edges remained available, but the transformed contexts were not identical to the original induced subgraphs.</w:t>
      </w:r>
    </w:p>
    <w:p>
      <w:r>
        <w:rPr>
          <w:rFonts w:ascii="Times New Roman" w:hAnsi="Times New Roman" w:eastAsia="Times New Roman"/>
          <w:sz w:val="22"/>
        </w:rPr>
        <w:t xml:space="preserve">The matched </w:t>
      </w:r>
      <w:r>
        <w:rPr>
          <w:rFonts w:ascii="Courier New" w:hAnsi="Courier New" w:eastAsia="Courier New"/>
          <w:sz w:val="19"/>
        </w:rPr>
        <w:t>random_full_budget</w:t>
      </w:r>
      <w:r>
        <w:rPr>
          <w:rFonts w:ascii="Times New Roman" w:hAnsi="Times New Roman" w:eastAsia="Times New Roman"/>
          <w:sz w:val="22"/>
        </w:rPr>
        <w:t xml:space="preserve"> control produced broadly similar structural utility. Sixteen of the 20 paired path comparisons and 19 of the 20 paired subgraph comparisons were non-significant after Holm correction (Supplementary Tables S8–S9). The four significant path differences all occurred on IMDB and favored the matched random control. The only significant subgraph difference was SynthPII relevant-node recall, which was also lower under full protection. These results do not establish a general structural-utility advantage for sensitivity-guided selection over the matched random full-budget condition.</w:t>
      </w:r>
    </w:p>
    <w:p>
      <w:r>
        <w:rPr>
          <w:rFonts w:ascii="Times New Roman" w:hAnsi="Times New Roman" w:eastAsia="Times New Roman"/>
          <w:sz w:val="22"/>
        </w:rPr>
        <w:t>The deletion-only control retained more of the original structure on most measures. Compared with random edge dropout, full protection had lower means in 19 of 20 path comparisons and all 20 subgraph comparisons; all of these paired comparisons were significant after Holm correction. This contrast should be interpreted by objective rather than by structural overlap alone: random edge dropout directly optimizes neither selective concealment of policy-designated relation semantics nor the degree-preserving behavior evaluated for the designated TAFP variants.</w:t>
      </w:r>
    </w:p>
    <w:p>
      <w:r>
        <w:rPr>
          <w:rFonts w:ascii="Times New Roman" w:hAnsi="Times New Roman" w:eastAsia="Times New Roman"/>
          <w:sz w:val="22"/>
        </w:rPr>
        <w:t>Overall, the fixed-query evaluation shows that TAFP-GraphRAG preserved endpoint access and retained substantial path and local-subgraph support while altering enough of the original graph to reduce exact structural overlap. These metrics quantify retrieval-grounded structural utility only; generated-answer utility and sensitive-relation disclosure are evaluated separately in the end-to-end relation-QA protocol.</w:t>
      </w:r>
    </w:p>
    <w:p>
      <w:pPr/>
      <w:r>
        <w:t>Table 7 directly reports endpoint reachability and reachability within the original and three-hop budgets for the fixed source-target pairs, while Supplementary Table S17 reports component-count and largest-component-ratio deviations for the matched 2K analysis. The protocol did not compute a global average shortest-path length, so no whole-graph path-length claim is made.</w:t>
      </w:r>
    </w:p>
    <w:p>
      <w:pPr>
        <w:pStyle w:val="Caption"/>
        <w:keepNext/>
        <w:widowControl/>
        <w:spacing w:after="80"/>
        <w:jc w:val="both"/>
      </w:pPr>
      <w:r>
        <w:rPr>
          <w:rFonts w:ascii="Times New Roman" w:hAnsi="Times New Roman"/>
          <w:b/>
          <w:color w:val="000000"/>
          <w:sz w:val="18"/>
        </w:rPr>
        <w:t>Table 7.</w:t>
      </w:r>
      <w:r>
        <w:rPr>
          <w:rFonts w:ascii="Times New Roman" w:hAnsi="Times New Roman"/>
          <w:color w:val="000000"/>
          <w:sz w:val="18"/>
        </w:rPr>
        <w:t xml:space="preserve"> Fixed-query path-level structural utility. Endpoint reachability applies to the predefined source-target pairs and is not a global graph-connectivity measure.</w:t>
      </w:r>
    </w:p>
    <w:tbl>
      <w:tblPr>
        <w:tblStyle w:val="TableGrid"/>
        <w:tblW w:type="dxa" w:w="9216"/>
        <w:jc w:val="center"/>
        <w:tblLayout w:type="fixed"/>
        <w:tblLook w:firstColumn="1" w:firstRow="1" w:lastColumn="0" w:lastRow="0" w:noHBand="0" w:noVBand="1" w:val="04A0"/>
      </w:tblPr>
      <w:tblGrid>
        <w:gridCol w:w="720"/>
        <w:gridCol w:w="1296"/>
        <w:gridCol w:w="1655"/>
        <w:gridCol w:w="1368"/>
        <w:gridCol w:w="1296"/>
        <w:gridCol w:w="1440"/>
        <w:gridCol w:w="1440"/>
      </w:tblGrid>
      <w:tr>
        <w:trPr>
          <w:tblHeader w:val="true"/>
          <w:cantSplit/>
          <w:tblHeader w:val="true"/>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1"/>
              </w:rPr>
            </w:r>
            <w:r>
              <w:rPr>
                <w:rFonts w:ascii="Times New Roman" w:hAnsi="Times New Roman" w:eastAsia="Times New Roman"/>
                <w:b/>
                <w:sz w:val="11"/>
              </w:rPr>
              <w:t>Dataset</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1"/>
              </w:rPr>
            </w:r>
            <w:r>
              <w:rPr>
                <w:rFonts w:ascii="Times New Roman" w:hAnsi="Times New Roman" w:eastAsia="Times New Roman"/>
                <w:b/>
                <w:sz w:val="11"/>
              </w:rPr>
              <w:t>Variant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1"/>
              </w:rPr>
            </w:r>
            <w:r>
              <w:rPr>
                <w:rFonts w:ascii="Times New Roman" w:hAnsi="Times New Roman" w:eastAsia="Times New Roman"/>
                <w:b/>
                <w:sz w:val="11"/>
              </w:rPr>
              <w:t>Query-support edge retention</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1"/>
              </w:rPr>
            </w:r>
            <w:r>
              <w:rPr>
                <w:rFonts w:ascii="Times New Roman" w:hAnsi="Times New Roman" w:eastAsia="Times New Roman"/>
                <w:b/>
                <w:sz w:val="11"/>
              </w:rPr>
              <w:t>Exact path preservation</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1"/>
              </w:rPr>
            </w:r>
            <w:r>
              <w:rPr>
                <w:rFonts w:ascii="Times New Roman" w:hAnsi="Times New Roman" w:eastAsia="Times New Roman"/>
                <w:b/>
                <w:sz w:val="11"/>
              </w:rPr>
              <w:t>Endpoint reachability</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1"/>
              </w:rPr>
            </w:r>
            <w:r>
              <w:rPr>
                <w:rFonts w:ascii="Times New Roman" w:hAnsi="Times New Roman" w:eastAsia="Times New Roman"/>
                <w:b/>
                <w:sz w:val="11"/>
              </w:rPr>
              <w:t>Reachable within original hop</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1"/>
              </w:rPr>
            </w:r>
            <w:r>
              <w:rPr>
                <w:rFonts w:ascii="Times New Roman" w:hAnsi="Times New Roman" w:eastAsia="Times New Roman"/>
                <w:b/>
                <w:sz w:val="11"/>
              </w:rPr>
              <w:t>Reachable within three hops</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baseline</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full</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0.8657 ± 0.0244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0.7566 ± 0.0420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0.8268 ± 0.0277</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0.9320 ± 0.0145</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random_edge_dropout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0.9231 ± 0.0123</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0.8507 ± 0.0255</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0.9974 ± 0.0048</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0.8813 ± 0.0196</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0.9441 ± 0.0117</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random_full_budget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0.8578 ± 0.0222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0.7387 ± 0.0362</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0.8169 ± 0.0274</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0.9303 ± 0.0139</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baseline</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full</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0.8308 ± 0.0144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0.7003 ± 0.0239</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0.7749 ± 0.0200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0.9028 ± 0.0132</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random_edge_dropout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0.9157 ± 0.0149</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0.8400 ± 0.0276</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0.9993 ± 0.0014</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0.8671 ± 0.0262</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0.9347 ± 0.0170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random_full_budget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0.8258 ± 0.0186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0.6940 ± 0.0299</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0.7658 ± 0.0294</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0.8966 ± 0.0190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baseline</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full</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0.8358 ± 0.0223</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0.7029 ± 0.0350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0.7783 ± 0.0316</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0.8950 ± 0.0172</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random_edge_dropout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0.9218 ± 0.0204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0.8482 ± 0.0378</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0.9963 ± 0.0070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0.8745 ± 0.0347</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0.9251 ± 0.0252</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random_full_budget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0.8532 ± 0.0252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0.7341 ± 0.0397</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0.8012 ± 0.0346</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0.9080 ± 0.0225</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baseline</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full</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0.8317 ± 0.0221</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0.7089 ± 0.0326</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0.8670 ± 0.0199</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0.9925 ± 0.0051</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random_edge_dropout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0.9198 ± 0.0141</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0.8468 ± 0.0252</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0.9991 ± 0.0014</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0.9142 ± 0.0168</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0.9808 ± 0.0071</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random_full_budget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0.8316 ± 0.0184</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0.7053 ± 0.0255</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0.8644 ± 0.0210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0.9913 ± 0.0065</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baseline</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full</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0.8136 ± 0.0185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0.6724 ± 0.0295</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0.7111 ± 0.0287</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0.7580 ± 0.0204</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random_edge_dropout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0.9127 ± 0.0172</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0.8384 ± 0.0277</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0.9974 ± 0.0063</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0.8485 ± 0.0278</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0.8613 ± 0.0273</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sz w:val="11"/>
              </w:rPr>
            </w:r>
            <w:r>
              <w:rPr>
                <w:rFonts w:ascii="Times New Roman" w:hAnsi="Times New Roman" w:eastAsia="Times New Roman"/>
                <w:b w:val="0"/>
                <w:sz w:val="11"/>
              </w:rPr>
              <w:t>random_full_budget</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0.8250 ± 0.0218</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0.6881 ± 0.0319</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1.0000 ± 0.0000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0.7263 ± 0.0327</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1"/>
              </w:rPr>
            </w:r>
            <w:r>
              <w:rPr>
                <w:rFonts w:ascii="Times New Roman" w:hAnsi="Times New Roman" w:eastAsia="Times New Roman"/>
                <w:b w:val="0"/>
                <w:sz w:val="11"/>
              </w:rPr>
              <w:t>0.7685 ± 0.0292</w:t>
            </w:r>
          </w:p>
        </w:tc>
      </w:tr>
    </w:tbl>
    <w:p/>
    <w:p>
      <w:pPr>
        <w:pStyle w:val="Caption"/>
        <w:keepNext/>
        <w:widowControl/>
        <w:spacing w:after="80"/>
        <w:jc w:val="both"/>
      </w:pPr>
      <w:r>
        <w:rPr>
          <w:rFonts w:ascii="Times New Roman" w:hAnsi="Times New Roman"/>
          <w:b/>
          <w:color w:val="000000"/>
          <w:sz w:val="18"/>
        </w:rPr>
        <w:t>Table 8.</w:t>
      </w:r>
      <w:r>
        <w:rPr>
          <w:rFonts w:ascii="Times New Roman" w:hAnsi="Times New Roman"/>
          <w:color w:val="000000"/>
          <w:sz w:val="18"/>
        </w:rPr>
        <w:t xml:space="preserve"> Relevant-subgraph structural utility. Recall measures retention of original evidence, whereas Jaccard similarity additionally accounts for replacement structure.</w:t>
      </w:r>
    </w:p>
    <w:tbl>
      <w:tblPr>
        <w:tblStyle w:val="TableGrid"/>
        <w:tblW w:type="dxa" w:w="8784"/>
        <w:jc w:val="center"/>
        <w:tblLayout w:type="fixed"/>
        <w:tblLook w:firstColumn="1" w:firstRow="1" w:lastColumn="0" w:lastRow="0" w:noHBand="0" w:noVBand="1" w:val="04A0"/>
      </w:tblPr>
      <w:tblGrid>
        <w:gridCol w:w="720"/>
        <w:gridCol w:w="1296"/>
        <w:gridCol w:w="1800"/>
        <w:gridCol w:w="1655"/>
        <w:gridCol w:w="1655"/>
        <w:gridCol w:w="1655"/>
      </w:tblGrid>
      <w:tr>
        <w:trPr>
          <w:tblHeader w:val="true"/>
          <w:cantSplit/>
          <w:tblHeader w:val="true"/>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Dataset</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Variant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Relevant-node recall</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Relevant-node Jaccard</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Relevant-edge recall</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after="0" w:before="0" w:line="240" w:lineRule="auto"/>
              <w:jc w:val="center"/>
            </w:pPr>
            <w:r>
              <w:rPr>
                <w:rFonts w:ascii="Times New Roman" w:hAnsi="Times New Roman" w:eastAsia="Times New Roman"/>
                <w:b/>
                <w:sz w:val="12"/>
              </w:rPr>
            </w:r>
            <w:r>
              <w:rPr>
                <w:rFonts w:ascii="Times New Roman" w:hAnsi="Times New Roman" w:eastAsia="Times New Roman"/>
                <w:b/>
                <w:sz w:val="12"/>
              </w:rPr>
              <w:t>Relevant-edge Jaccard</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0.8424 ± 0.0240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0.7079 ± 0.0351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0.7379 ± 0.0253</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0.6177 ± 0.0311</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0.8943 ± 0.0142</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0.8943 ± 0.0142</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0.8257 ± 0.0164</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0.8257 ± 0.0164</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AGNews</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0.8340 ± 0.0246</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0.6965 ± 0.0353</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0.7290 ± 0.0279</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0.6076 ± 0.0343</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0.7890 ± 0.0144</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0.6101 ± 0.0218</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0.6724 ± 0.0156</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0.5083 ± 0.0224</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0.8830 ± 0.0216</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0.8830 ± 0.0216</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0.8170 ± 0.0224</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0.8170 ± 0.0224</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CNN_DM</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0.7845 ± 0.0207</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0.6080 ± 0.0219</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0.6635 ± 0.0217</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0.5014 ± 0.0200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0.8003 ± 0.0280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0.6695 ± 0.0361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0.7105 ± 0.0299</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0.5456 ± 0.0324</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0.8882 ± 0.0267</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0.8882 ± 0.0267</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0.8292 ± 0.0296</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0.8292 ± 0.0296</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IMDB</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0.8142 ± 0.0312</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0.6836 ± 0.0342</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0.7234 ± 0.0331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0.5554 ± 0.0317</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0.8659 ± 0.0199</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0.7863 ± 0.0250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0.7219 ± 0.0211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0.6046 ± 0.0234</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0.9273 ± 0.0121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0.9273 ± 0.0121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0.8520 ± 0.0117</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0.8520 ± 0.0117</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PubMed</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0.8659 ± 0.0161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0.7864 ± 0.0214</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0.7204 ± 0.0168</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0.6026 ± 0.0184</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baseline</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1.0000 ± 0.0000</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full</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0.7230 ± 0.0253</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0.5941 ± 0.0290</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0.6649 ± 0.0255</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0.5295 ± 0.0287</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random_edge_dropout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0.8601 ± 0.0188</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0.8601 ± 0.0188</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0.8274 ± 0.0188</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0.8274 ± 0.0188</w:t>
            </w:r>
          </w:p>
        </w:tc>
      </w:tr>
      <w:tr>
        <w:trPr>
          <w:cantSplit/>
        </w:trPr>
        <w:tc>
          <w:tcPr>
            <w:tcW w:type="dxa" w:w="72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SynthPII</w:t>
            </w:r>
          </w:p>
        </w:tc>
        <w:tc>
          <w:tcPr>
            <w:tcW w:type="dxa" w:w="129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left"/>
            </w:pPr>
            <w:r>
              <w:rPr>
                <w:rFonts w:ascii="Times New Roman" w:hAnsi="Times New Roman" w:eastAsia="Times New Roman"/>
                <w:sz w:val="12"/>
              </w:rPr>
            </w:r>
            <w:r>
              <w:rPr>
                <w:rFonts w:ascii="Times New Roman" w:hAnsi="Times New Roman" w:eastAsia="Times New Roman"/>
                <w:b w:val="0"/>
                <w:sz w:val="12"/>
              </w:rPr>
              <w:t>random_full_budget</w:t>
            </w:r>
          </w:p>
        </w:tc>
        <w:tc>
          <w:tcPr>
            <w:tcW w:type="dxa" w:w="180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0.7350 ± 0.0187</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0.6029 ± 0.0217</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0.6765 ± 0.0191</w:t>
            </w:r>
          </w:p>
        </w:tc>
        <w:tc>
          <w:tcPr>
            <w:tcW w:type="dxa" w:w="1656"/>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after="0" w:before="0" w:line="240" w:lineRule="auto"/>
              <w:jc w:val="center"/>
            </w:pPr>
            <w:r>
              <w:rPr>
                <w:rFonts w:ascii="Times New Roman" w:hAnsi="Times New Roman" w:eastAsia="Times New Roman"/>
                <w:sz w:val="12"/>
              </w:rPr>
            </w:r>
            <w:r>
              <w:rPr>
                <w:rFonts w:ascii="Times New Roman" w:hAnsi="Times New Roman" w:eastAsia="Times New Roman"/>
                <w:b w:val="0"/>
                <w:sz w:val="12"/>
              </w:rPr>
              <w:t>0.5378 ± 0.0212</w:t>
            </w:r>
          </w:p>
        </w:tc>
      </w:tr>
    </w:tbl>
    <w:p/>
    <w:p>
      <w:pPr>
        <w:pStyle w:val="Heading2"/>
      </w:pPr>
      <w:r>
        <w:t>6.5 End-to-End Relation-Question-Answering Utility and Sensitive-Relation Disclosure</w:t>
      </w:r>
    </w:p>
    <w:p>
      <w:r>
        <w:rPr>
          <w:rFonts w:ascii="Times New Roman" w:hAnsi="Times New Roman" w:eastAsia="Times New Roman"/>
          <w:sz w:val="22"/>
        </w:rPr>
        <w:t>The locked end-to-end evaluation completed all 43,080 planned model generations over 718 fixed queries, five datasets, 15 protection seeds, and four graph conditions. The execution audit reported no duplicate rows, no query-set drift, no determinism mismatches, and successful degree-preservation and 2K joint-degree checks (Supplementary Table S26). The primary analysis retained all 26 parse failures, corresponding to 0.06035% of the generated records.</w:t>
      </w:r>
    </w:p>
    <w:p>
      <w:r>
        <w:rPr>
          <w:rFonts w:ascii="Times New Roman" w:hAnsi="Times New Roman" w:eastAsia="Times New Roman"/>
          <w:sz w:val="22"/>
        </w:rPr>
        <w:t>For non-sensitive relation questions, full TAFP-GraphRAG achieved a relation-token F1 of 0.640579, compared with 0.682930 for the unprotected baseline (Table 9). This corresponds to 93.8% retention of baseline F1. The paired difference was -0.042351, with a 95% interval of [-0.061646, -0.023055] and Holm-adjusted p = 0.000610. Retrieved-evidence recall also decreased from 0.976940 to 0.874470. In contrast, exact sequence match increased from 0.161537 to 0.184574, and exact faithfulness to the retrieved relation sequence increased from 0.181931 to 0.306207; both paired differences were significant after Holm correction. The result therefore reflects a bounded utility trade-off rather than lossless preservation.</w:t>
      </w:r>
    </w:p>
    <w:p>
      <w:r>
        <w:rPr>
          <w:rFonts w:ascii="Times New Roman" w:hAnsi="Times New Roman" w:eastAsia="Times New Roman"/>
          <w:sz w:val="22"/>
        </w:rPr>
        <w:t>For sensitive-relation questions, the disclosure rate decreased from 0.970000 under the baseline to 0.075600 under full TAFP-GraphRAG. The absolute reduction was 0.894400, corresponding to a 92.2% relative reduction. Its 95% interval was [0.890469, 0.898331], with Holm-adjusted p = 0.001863. Sensitive-token recall decreased from 0.932000 to 0.062978, while retrieved sensitive-evidence exposure decreased from 0.942000 to 0.049311.</w:t>
      </w:r>
    </w:p>
    <w:p>
      <w:r>
        <w:rPr>
          <w:rFonts w:ascii="Times New Roman" w:hAnsi="Times New Roman" w:eastAsia="Times New Roman"/>
          <w:sz w:val="22"/>
        </w:rPr>
        <w:t xml:space="preserve">The sensitivity-guided condition was also separated from both sensitivity-blind controls in the downstream task. Full TAFP-GraphRAG achieved relation-token F1 values 0.502270 and 0.501185 higher than </w:t>
      </w:r>
      <w:r>
        <w:rPr>
          <w:rFonts w:ascii="Courier New" w:hAnsi="Courier New" w:eastAsia="Courier New"/>
          <w:sz w:val="19"/>
        </w:rPr>
        <w:t>random_full_budget</w:t>
      </w:r>
      <w:r>
        <w:rPr>
          <w:rFonts w:ascii="Times New Roman" w:hAnsi="Times New Roman" w:eastAsia="Times New Roman"/>
          <w:sz w:val="22"/>
        </w:rPr>
        <w:t xml:space="preserve"> and 2K, respectively; both Holm-adjusted p values were 0.000183. At the same time, its sensitive-disclosure rate was 0.156933 lower than </w:t>
      </w:r>
      <w:r>
        <w:rPr>
          <w:rFonts w:ascii="Courier New" w:hAnsi="Courier New" w:eastAsia="Courier New"/>
          <w:sz w:val="19"/>
        </w:rPr>
        <w:t>random_full_budget</w:t>
      </w:r>
      <w:r>
        <w:rPr>
          <w:rFonts w:ascii="Times New Roman" w:hAnsi="Times New Roman" w:eastAsia="Times New Roman"/>
          <w:sz w:val="22"/>
        </w:rPr>
        <w:t xml:space="preserve"> and 0.169067 lower than 2K, with Holm-adjusted p = 0.001863 for both comparisons. These directions and adjusted significance results held for the two primary outcomes in each of the five datasets as well as in the overall analysis (Supplementary Table S25).</w:t>
      </w:r>
    </w:p>
    <w:p>
      <w:r>
        <w:rPr>
          <w:rFonts w:ascii="Times New Roman" w:hAnsi="Times New Roman" w:eastAsia="Times New Roman"/>
          <w:sz w:val="22"/>
        </w:rPr>
        <w:t>Performance remained dataset dependent. Under full protection, relation-token F1 ranged from 0.587031 to 0.706349, and sensitive-disclosure rate ranged from 0.000000 to 0.155333 (Supplementary Table S24). Disclosure was zero on PubMed and 0.011333 on SynthPII, but residual disclosure remained on CNN/DM, AGNews, and IMDB, reaching 0.155333 on IMDB. The parse-success-only sensitivity analysis left the principal full and baseline F1 and disclosure values unchanged.</w:t>
      </w:r>
    </w:p>
    <w:p>
      <w:r>
        <w:rPr>
          <w:rFonts w:ascii="Times New Roman" w:hAnsi="Times New Roman" w:eastAsia="Times New Roman"/>
          <w:sz w:val="22"/>
        </w:rPr>
        <w:t>Together with Section 6.4, these findings refine the empirical contribution. The method is not supported as a universal mechanism for maximizing structural overlap: the matched random full-budget control was often structurally similar. Under the predefined end-to-end relation-QA protocol, however, sensitivity-guided transformation preserved substantially more non-sensitive answering utility while disclosing fewer sensitive relations than both evaluated sensitivity-blind controls. This supports selective, task-grounded relation protection under the evaluated conditions; it does not establish formal privacy, complete concealment, raw-text privacy, or protection against all attackers.</w:t>
      </w:r>
    </w:p>
    <w:p>
      <w:pPr>
        <w:pStyle w:val="Caption"/>
        <w:keepNext/>
      </w:pPr>
      <w:r>
        <w:t>Table 9. Retrieval-grounded end-to-end relation-QA results across five datasets. Values are means over 15 protection seeds. Higher values are better for relation-token F1, exact match, and retrieved-evidence recall; lower values are better for the three disclosure metrics. The locked protocol comprised 43,080 generations.</w:t>
      </w:r>
    </w:p>
    <w:tbl>
      <w:tblPr>
        <w:tblStyle w:val="TableGrid"/>
        <w:tblW w:type="dxa" w:w="10008"/>
        <w:jc w:val="center"/>
        <w:tblLayout w:type="fixed"/>
        <w:tblLook w:firstColumn="1" w:firstRow="1" w:lastColumn="0" w:lastRow="0" w:noHBand="0" w:noVBand="1" w:val="04A0"/>
      </w:tblPr>
      <w:tblGrid>
        <w:gridCol w:w="1512"/>
        <w:gridCol w:w="1440"/>
        <w:gridCol w:w="1224"/>
        <w:gridCol w:w="1512"/>
        <w:gridCol w:w="1440"/>
        <w:gridCol w:w="1368"/>
        <w:gridCol w:w="1512"/>
      </w:tblGrid>
      <w:tr>
        <w:trPr>
          <w:tblHeader w:val="true"/>
          <w:tblHeader w:val="true"/>
          <w:cantSplit/>
        </w:trPr>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4"/>
              </w:rPr>
              <w:t>Variant</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4"/>
              </w:rPr>
              <w:t>Relation-token</w:t>
              <w:br/>
              <w:t>F1</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4"/>
              </w:rPr>
              <w:t>Exact</w:t>
              <w:br/>
              <w:t>match</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4"/>
              </w:rPr>
              <w:t>Retrieved-evidence</w:t>
              <w:br/>
              <w:t>recall</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4"/>
              </w:rPr>
              <w:t>Sensitive-relation</w:t>
              <w:br/>
              <w:t>disclosure</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4"/>
              </w:rPr>
              <w:t>Sensitive-token</w:t>
              <w:br/>
              <w:t>recall</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single" w:sz="12" w:space="0" w:color="000000"/>
              <w:bottom w:val="single" w:sz="10" w:space="0" w:color="000000"/>
            </w:tcBorders>
          </w:tcPr>
          <w:p>
            <w:pPr>
              <w:spacing w:before="0" w:after="0" w:line="240" w:lineRule="auto"/>
              <w:jc w:val="center"/>
            </w:pPr>
            <w:r>
              <w:rPr>
                <w:rFonts w:ascii="Times New Roman" w:hAnsi="Times New Roman" w:eastAsia="Times New Roman"/>
                <w:b/>
                <w:sz w:val="14"/>
              </w:rPr>
              <w:t>Retrieved-sensitive</w:t>
              <w:br/>
              <w:t>exposure</w:t>
            </w:r>
          </w:p>
        </w:tc>
      </w:tr>
      <w:tr>
        <w:trPr>
          <w:cantSplit/>
        </w:trPr>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b w:val="0"/>
                <w:sz w:val="14"/>
              </w:rPr>
              <w:t>Unprotected baseline</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b w:val="0"/>
                <w:sz w:val="14"/>
              </w:rPr>
              <w:t>0.6829</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0.1615</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0.9769</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0.9700</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0.9320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0.9420</w:t>
            </w:r>
          </w:p>
        </w:tc>
      </w:tr>
      <w:tr>
        <w:trPr>
          <w:cantSplit/>
        </w:trPr>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b w:val="0"/>
                <w:sz w:val="14"/>
              </w:rPr>
              <w:t>Full TAFP</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b w:val="0"/>
                <w:sz w:val="14"/>
              </w:rPr>
              <w:t>0.6406</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0.1846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0.8745</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0.0756</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0.0630</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0.0493</w:t>
            </w:r>
          </w:p>
        </w:tc>
      </w:tr>
      <w:tr>
        <w:trPr>
          <w:cantSplit/>
        </w:trPr>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b w:val="0"/>
                <w:sz w:val="14"/>
              </w:rPr>
              <w:t>Random full-budget</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left"/>
            </w:pPr>
            <w:r>
              <w:rPr>
                <w:rFonts w:ascii="Times New Roman" w:hAnsi="Times New Roman" w:eastAsia="Times New Roman"/>
                <w:b w:val="0"/>
                <w:sz w:val="14"/>
              </w:rPr>
              <w:t>0.1383</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0.0223</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0.1596</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0.2325</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0.1735</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4" w:space="0" w:color="B7B7B7"/>
            </w:tcBorders>
          </w:tcPr>
          <w:p>
            <w:pPr>
              <w:spacing w:before="0" w:after="0" w:line="240" w:lineRule="auto"/>
              <w:jc w:val="center"/>
            </w:pPr>
            <w:r>
              <w:rPr>
                <w:rFonts w:ascii="Times New Roman" w:hAnsi="Times New Roman" w:eastAsia="Times New Roman"/>
                <w:b w:val="0"/>
                <w:sz w:val="14"/>
              </w:rPr>
              <w:t>0.1553</w:t>
            </w:r>
          </w:p>
        </w:tc>
      </w:tr>
      <w:tr>
        <w:trPr>
          <w:cantSplit/>
        </w:trPr>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left"/>
            </w:pPr>
            <w:r>
              <w:rPr>
                <w:rFonts w:ascii="Times New Roman" w:hAnsi="Times New Roman" w:eastAsia="Times New Roman"/>
                <w:b w:val="0"/>
                <w:sz w:val="14"/>
              </w:rPr>
              <w:t>2K</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left"/>
            </w:pPr>
            <w:r>
              <w:rPr>
                <w:rFonts w:ascii="Times New Roman" w:hAnsi="Times New Roman" w:eastAsia="Times New Roman"/>
                <w:b w:val="0"/>
                <w:sz w:val="14"/>
              </w:rPr>
              <w:t>0.1394</w:t>
            </w:r>
          </w:p>
        </w:tc>
        <w:tc>
          <w:tcPr>
            <w:tcW w:type="dxa" w:w="1224"/>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b w:val="0"/>
                <w:sz w:val="14"/>
              </w:rPr>
              <w:t>0.0238</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b w:val="0"/>
                <w:sz w:val="14"/>
              </w:rPr>
              <w:t>0.1600</w:t>
            </w:r>
          </w:p>
        </w:tc>
        <w:tc>
          <w:tcPr>
            <w:tcW w:type="dxa" w:w="1440"/>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b w:val="0"/>
                <w:sz w:val="14"/>
              </w:rPr>
              <w:t>0.2447</w:t>
            </w:r>
          </w:p>
        </w:tc>
        <w:tc>
          <w:tcPr>
            <w:tcW w:type="dxa" w:w="1368"/>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b w:val="0"/>
                <w:sz w:val="14"/>
              </w:rPr>
              <w:t>0.1816</w:t>
            </w:r>
          </w:p>
        </w:tc>
        <w:tc>
          <w:tcPr>
            <w:tcW w:type="dxa" w:w="1512"/>
            <w:vAlign w:val="center"/>
            <w:tcMar>
              <w:top w:w="30" w:type="dxa"/>
              <w:start w:w="35" w:type="dxa"/>
              <w:bottom w:w="30" w:type="dxa"/>
              <w:end w:w="35" w:type="dxa"/>
            </w:tcMar>
            <w:tcBorders>
              <w:left w:val="nil" w:sz="0" w:space="0" w:color="auto"/>
              <w:right w:val="nil" w:sz="0" w:space="0" w:color="auto"/>
              <w:insideV w:val="nil" w:sz="0" w:space="0" w:color="auto"/>
              <w:top w:val="nil" w:sz="0" w:space="0" w:color="auto"/>
              <w:bottom w:val="single" w:sz="12" w:space="0" w:color="000000"/>
            </w:tcBorders>
          </w:tcPr>
          <w:p>
            <w:pPr>
              <w:spacing w:before="0" w:after="0" w:line="240" w:lineRule="auto"/>
              <w:jc w:val="center"/>
            </w:pPr>
            <w:r>
              <w:rPr>
                <w:rFonts w:ascii="Times New Roman" w:hAnsi="Times New Roman" w:eastAsia="Times New Roman"/>
                <w:b w:val="0"/>
                <w:sz w:val="14"/>
              </w:rPr>
              <w:t>0.1643</w:t>
            </w:r>
          </w:p>
        </w:tc>
      </w:tr>
    </w:tbl>
    <w:p/>
    <w:p>
      <w:pPr>
        <w:keepNext/>
        <w:pageBreakBefore w:val="0"/>
        <w:jc w:val="center"/>
      </w:pPr>
      <w:r>
        <w:drawing>
          <wp:inline xmlns:a="http://schemas.openxmlformats.org/drawingml/2006/main" xmlns:pic="http://schemas.openxmlformats.org/drawingml/2006/picture">
            <wp:extent cx="6080760" cy="2846124"/>
            <wp:docPr id="7" name="Picture 7" title="Figure 7" descr="Figure 5. End-to-end retrieval-grounded relation-QA utility and sensitive-relation exposure. Panel A reports relation-token F1, exact match, and retrieved-evidence recall for the unprotected baseline, Full TAFP, the random full-budget control, and the 2K baseline. Panel B reports sensitive-relation disclosure, sensitive-token recall, and retrieved-sensitive exposure, where lower values indicate lower downstream exposure. Values are aggregate results from the locked 43,080-generation evaluation protocol."/>
            <wp:cNvGraphicFramePr>
              <a:graphicFrameLocks noChangeAspect="1"/>
            </wp:cNvGraphicFramePr>
            <a:graphic>
              <a:graphicData uri="http://schemas.openxmlformats.org/drawingml/2006/picture">
                <pic:pic>
                  <pic:nvPicPr>
                    <pic:cNvPr id="0" name="Figure_5_E2E_Relation_QA_LOCKED.png"/>
                    <pic:cNvPicPr/>
                  </pic:nvPicPr>
                  <pic:blipFill>
                    <a:blip r:embed="rId16"/>
                    <a:stretch>
                      <a:fillRect/>
                    </a:stretch>
                  </pic:blipFill>
                  <pic:spPr>
                    <a:xfrm>
                      <a:off x="0" y="0"/>
                      <a:ext cx="6080760" cy="2846124"/>
                    </a:xfrm>
                    <a:prstGeom prst="rect"/>
                  </pic:spPr>
                </pic:pic>
              </a:graphicData>
            </a:graphic>
          </wp:inline>
        </w:drawing>
      </w:r>
    </w:p>
    <w:p>
      <w:pPr>
        <w:pStyle w:val="Caption"/>
        <w:keepLines/>
        <w:jc w:val="both"/>
      </w:pPr>
      <w:r>
        <w:rPr>
          <w:b/>
        </w:rPr>
        <w:t>Figure 7.</w:t>
      </w:r>
      <w:r>
        <w:t xml:space="preserve"> End-to-end retrieval-grounded relation-QA utility and sensitive-relation exposure. Panel A reports relation-token F1, exact match, and retrieved-evidence recall for the unprotected baseline, Full TAFP, the random full-budget control, and the 2K baseline. Panel B reports sensitive-relation disclosure, sensitive-token recall, and retrieved-sensitive exposure, where lower values indicate lower downstream exposure. Values are aggregate results from the locked 43,080-generation evaluation protocol.</w:t>
      </w:r>
    </w:p>
    <w:p>
      <w:pPr>
        <w:pStyle w:val="Heading1"/>
      </w:pPr>
      <w:r>
        <w:t>7. Discussion</w:t>
      </w:r>
    </w:p>
    <w:p>
      <w:pPr>
        <w:pStyle w:val="Heading2"/>
      </w:pPr>
      <w:r>
        <w:t>7.1 Policy Guidance Determines Where Information Loss Occurs</w:t>
      </w:r>
    </w:p>
    <w:p>
      <w:r>
        <w:rPr>
          <w:rFonts w:ascii="Times New Roman" w:hAnsi="Times New Roman" w:eastAsia="Times New Roman"/>
          <w:sz w:val="22"/>
        </w:rPr>
        <w:t>The central empirical contribution is not perturbation alone, but policy-conditioned allocation of perturbation. Full TAFP-GraphRAG concealed 0.99993–1.00000 of policy-designated sensitive relation labels while retaining 0.89935–0.92193 of non-sensitive relation semantics. The perturbation-budget-matched random control retained nearly the same fraction of original edges, yet it concealed fewer sensitive labels and retained substantially less non-sensitive semantics. The minority-sensitive ablation reproduced the same concealment–retention profile from 5% to 30% sensitive-edge prevalence. These results isolate sensitivity guidance as the mechanism that determines which relation semantics are removed and which remain available.</w:t>
      </w:r>
    </w:p>
    <w:p>
      <w:r>
        <w:rPr>
          <w:rFonts w:ascii="Times New Roman" w:hAnsi="Times New Roman" w:eastAsia="Times New Roman"/>
          <w:sz w:val="22"/>
        </w:rPr>
        <w:t>This interpretation is narrower than a claim of universal optimization. At 5% sensitive prevalence, the random relation-budget control retained more non-sensitive semantics, but it concealed only 0.0475 of sensitive labels, compared with 0.9996 under full protection. The relevant contribution is therefore selective information allocation under an explicit policy, not maximization of any single utility metric independently of the protection objective.</w:t>
      </w:r>
    </w:p>
    <w:p>
      <w:pPr/>
      <w:r>
        <w:t>The comparative pattern depended on the evaluation objective. Policy guidance produced its largest gains when success required concealing designated labels while preserving the original semantics of non-sensitive edges, and it also separated from both sensitivity-blind controls in end-to-end relation QA. Matched random perturbation was more competitive for structural-overlap metrics and for several topology- or representation-based attackers under the same perturbation budget. Sensitive prevalence, label composition, and attacker observation surface therefore moderated the observed advantage; graph density and label entropy were not isolated as causal factors in the present design.</w:t>
      </w:r>
    </w:p>
    <w:p>
      <w:pPr>
        <w:pStyle w:val="Heading2"/>
      </w:pPr>
      <w:r>
        <w:t>7.2 Relation Privacy Must Be Evaluated Across Distinct Attack Surfaces</w:t>
      </w:r>
    </w:p>
    <w:p>
      <w:r>
        <w:rPr>
          <w:rFonts w:ascii="Times New Roman" w:hAnsi="Times New Roman" w:eastAsia="Times New Roman"/>
          <w:sz w:val="22"/>
        </w:rPr>
        <w:t>The results show that relation-label concealment, policy-membership privacy, original-edge privacy, and representation-based relation inference are different security properties. Direct recovery of policy-designated sensitive relation labels was eliminated under the evaluated relation-only and full protocols. This did not remove evidence that an original edge had existed: hybrid edge-inference AUC remained high on several datasets. Topology-only, spectral, and released-view GCN-GAE attacks were also dataset dependent. PubMed showed significant reductions relative to the unprotected graph, but the matched random full-budget control was statistically competitive; SynthPII did not show a consistent reduction.</w:t>
      </w:r>
    </w:p>
    <w:p>
      <w:r>
        <w:rPr>
          <w:rFonts w:ascii="Times New Roman" w:hAnsi="Times New Roman" w:eastAsia="Times New Roman"/>
          <w:sz w:val="22"/>
        </w:rPr>
        <w:t xml:space="preserve">The marker audit identified an additional release-layer risk. The default </w:t>
      </w:r>
      <w:r>
        <w:rPr>
          <w:rFonts w:ascii="Courier New" w:hAnsi="Courier New" w:eastAsia="Courier New"/>
          <w:sz w:val="19"/>
        </w:rPr>
        <w:t>PRIVATE_RELATION</w:t>
      </w:r>
      <w:r>
        <w:rPr>
          <w:rFonts w:ascii="Times New Roman" w:hAnsi="Times New Roman" w:eastAsia="Times New Roman"/>
          <w:sz w:val="22"/>
        </w:rPr>
        <w:t xml:space="preserve"> marker and relation-label omission both revealed supplied-policy membership perfectly in the evaluated protocol. Coarse shared markers reduced that leakage only by sacrificing non-sensitive semantic retention. Consequently, a protected graph cannot be assessed solely by checking whether the original sensitive label is absent. The released schema, marker vocabulary, retained topology, and learned graph representations each define a separate observation surface and require separate measurements.</w:t>
      </w:r>
    </w:p>
    <w:p>
      <w:pPr>
        <w:pStyle w:val="Heading2"/>
      </w:pPr>
      <w:r>
        <w:t>7.3 Structural Invariants Constrain Transformation but Do Not Establish Privacy</w:t>
      </w:r>
    </w:p>
    <w:p>
      <w:r>
        <w:rPr>
          <w:rFonts w:ascii="Times New Roman" w:hAnsi="Times New Roman" w:eastAsia="Times New Roman"/>
          <w:sz w:val="22"/>
        </w:rPr>
        <w:t>Exact per-node degree preservation was satisfied in every designated degree-preserving condition, and the 2K control additionally preserved the complete joint-degree distribution. These are strong and directly auditable structural invariants. They do not, however, imply relation privacy or semantic selectivity. The 2K control did not reproduce the concealment and non-sensitive retention achieved by the sensitivity-guided method, and identical degree constraints did not prevent residual topology- or representation-based inference.</w:t>
      </w:r>
    </w:p>
    <w:p>
      <w:r>
        <w:rPr>
          <w:rFonts w:ascii="Times New Roman" w:hAnsi="Times New Roman" w:eastAsia="Times New Roman"/>
          <w:sz w:val="22"/>
        </w:rPr>
        <w:t>The evidence therefore assigns a specific role to structural invariants. They bound how the graph changes and support compatibility and reproducibility, while the sensitivity policy determines where semantic protection is applied. Neither role is equivalent to a formal differential-privacy guarantee. TAFP-GraphRAG should accordingly be interpreted as an empirical, policy-conditioned protection mechanism with verified structural constraints, not as a substitute for differential privacy.</w:t>
      </w:r>
    </w:p>
    <w:p>
      <w:pPr/>
      <w:r>
        <w:t>Exact degree preservation can also retain distinctive degree signatures that may act as quasi-identifiers or auxiliary inference features. The study therefore treats the invariant as a compatibility constraint rather than a privacy objective. Deployments that do not require exact node degrees should evaluate weaker distributional constraints; partial or distributional degree preservation was not tested here and remains future work.</w:t>
      </w:r>
    </w:p>
    <w:p>
      <w:pPr>
        <w:pStyle w:val="Heading2"/>
      </w:pPr>
      <w:r>
        <w:t>7.4 Utility Conclusions Depend on the Evaluation Layer</w:t>
      </w:r>
    </w:p>
    <w:p>
      <w:r>
        <w:rPr>
          <w:rFonts w:ascii="Times New Roman" w:hAnsi="Times New Roman" w:eastAsia="Times New Roman"/>
          <w:sz w:val="22"/>
        </w:rPr>
        <w:t>The structural evaluation showed substantial preservation of retrieval support: all evaluated endpoint pairs remained reachable, most path-support edges were retained, and most relevant nodes and edges remained available. Nevertheless, the matched random full-budget control was structurally similar on most path and subgraph comparisons, and random edge dropout preserved more exact original structure on most measures. These findings do not support a general claim that sensitivity guidance maximizes structural overlap.</w:t>
      </w:r>
    </w:p>
    <w:p>
      <w:r>
        <w:rPr>
          <w:rFonts w:ascii="Times New Roman" w:hAnsi="Times New Roman" w:eastAsia="Times New Roman"/>
          <w:sz w:val="22"/>
        </w:rPr>
        <w:t>The end-to-end relation-QA results provide a different and more task-grounded comparison. Full TAFP-GraphRAG retained 93.8% of baseline non-sensitive relation-token F1 and reduced sensitive-relation disclosure by 92.2% relative to the baseline. It also achieved higher non-sensitive relation-token F1 and lower sensitive disclosure than both evaluated sensitivity-blind controls in the overall analysis and in every dataset. At the same time, retrieval recall and relation-token F1 remained below the unprotected baseline, whereas exact sequence match and exact faithfulness increased. These metric directions show why utility must be characterized jointly rather than reduced to a single structural or generation score.</w:t>
      </w:r>
    </w:p>
    <w:p>
      <w:r>
        <w:rPr>
          <w:rFonts w:ascii="Times New Roman" w:hAnsi="Times New Roman" w:eastAsia="Times New Roman"/>
          <w:sz w:val="22"/>
        </w:rPr>
        <w:t>Taken together, the results support a precise downstream claim: sensitivity guidance did not generally preserve more graph structure than an equal-budget random transformation, but under the predefined relation-QA protocol it preserved substantially more task-relevant non-sensitive answering utility while disclosing fewer sensitive relations than the evaluated sensitivity-blind controls.</w:t>
      </w:r>
    </w:p>
    <w:p>
      <w:pPr>
        <w:pStyle w:val="Heading2"/>
      </w:pPr>
      <w:r>
        <w:t>7.5 Policy Quality and Release Design Are Operational Dependencies</w:t>
      </w:r>
    </w:p>
    <w:p>
      <w:r>
        <w:rPr>
          <w:rFonts w:ascii="Times New Roman" w:hAnsi="Times New Roman" w:eastAsia="Times New Roman"/>
          <w:sz w:val="22"/>
        </w:rPr>
        <w:t>The policy-misclassification experiment showed that TAFP-GraphRAG faithfully executes the supplied policy but does not repair it. False negatives reduced concealment measured against the oracle policy, while false positives reduced oracle non-sensitive preservation. This separates transformation correctness from policy correctness. In deployment, sensitivity-policy validation, versioning, and error auditing are therefore part of the protection process rather than external administrative details.</w:t>
      </w:r>
    </w:p>
    <w:p>
      <w:r>
        <w:rPr>
          <w:rFonts w:ascii="Times New Roman" w:hAnsi="Times New Roman" w:eastAsia="Times New Roman"/>
          <w:sz w:val="22"/>
        </w:rPr>
        <w:t>Release design requires the same treatment. A marker that conceals the original relation label may still expose whether an edge was designated sensitive. Eliminating this policy-membership signal through broader cover labels produced a direct semantic-utility cost in the evaluated settings. Operational use therefore requires an explicit decision about which disclosure object is protected: the original relation value, the fact of policy designation, the existence of an original edge, or some combination of these.</w:t>
      </w:r>
    </w:p>
    <w:p>
      <w:pPr/>
      <w:r>
        <w:t>No evaluated shared-cover setting was universally optimal. Applying the cover to all non-sensitive relations reduced policy-membership AUC to chance but eliminated measured non-sensitive semantic retention, whereas partial covers produced intermediate leakage and utility. Stochastic or taxonomy-conditioned covers may provide other operating points, but they were not evaluated and cannot be inferred from the deterministic coarse-cover results.</w:t>
      </w:r>
    </w:p>
    <w:p>
      <w:pPr>
        <w:pStyle w:val="Heading2"/>
      </w:pPr>
      <w:r>
        <w:t>7.6 Implications for Security-Oriented GraphRAG Deployment</w:t>
      </w:r>
    </w:p>
    <w:p>
      <w:r>
        <w:rPr>
          <w:rFonts w:ascii="Times New Roman" w:hAnsi="Times New Roman" w:eastAsia="Times New Roman"/>
          <w:sz w:val="22"/>
        </w:rPr>
        <w:t>The findings support an offline governance pattern in which policy selection, graph transformation, invariant checks, attack-specific evaluation, and hash-traceable audit records are completed before the protected graph is used for retrieval. This design is practically relevant because it exposes residual risks rather than treating the transformation name as evidence of privacy. It also allows deployment decisions to be conditioned on the actual threat model and on acceptable trade-offs between non-sensitive utility and the disclosure objects being protected.</w:t>
      </w:r>
    </w:p>
    <w:p>
      <w:r>
        <w:rPr>
          <w:rFonts w:ascii="Times New Roman" w:hAnsi="Times New Roman" w:eastAsia="Times New Roman"/>
          <w:sz w:val="22"/>
        </w:rPr>
        <w:t>Within the evaluated scope, TAFP-GraphRAG contributes a reproducible method for selective relation protection that combines sensitivity-aware semantic transformation, designated structural invariants, and attack-specific privacy–utility evaluation. Its strongest evidence concerns selective relation-semantic protection and downstream relation-QA behavior. Attack resistance remains dataset and adversary dependent, and the framework does not establish formal privacy, complete anonymization, raw-text privacy, or protection against adaptive multi-turn reconstruction.</w:t>
      </w:r>
    </w:p>
    <w:p>
      <w:pPr>
        <w:pStyle w:val="Heading2"/>
      </w:pPr>
      <w:r>
        <w:t>7.7 Deployment Hardening and Extension Boundaries</w:t>
      </w:r>
    </w:p>
    <w:p>
      <w:pPr/>
      <w:r>
        <w:t>The evaluated implementation applies to simple undirected graphs. Extending the transformation to directed graphs would require separate in-degree and out-degree constraints and direction-compatible switches; heterogeneous graphs would require node-type and relation-schema compatibility; multigraphs would require explicit parallel-edge semantics and revised duplicate-edge acceptance rules. Direction-sensitive paths and multi-relational retrieval would also require separate utility and attack evaluation. These extensions were not evaluated.</w:t>
      </w:r>
    </w:p>
    <w:p>
      <w:pPr/>
      <w:r>
        <w:t>Operational hardening should combine keyed, release-specific alias derivation, explicit released-attribute allowlists, policy validation, release-schema review, and access-controlled provenance. These recommendations define a deployment path around the evaluated mechanism; they are not additional experimentally validated defenses.</w:t>
      </w:r>
    </w:p>
    <w:p>
      <w:pPr>
        <w:pStyle w:val="Heading1"/>
      </w:pPr>
      <w:r>
        <w:t>8. Limitations and Scope Boundaries</w:t>
      </w:r>
    </w:p>
    <w:p>
      <w:r>
        <w:rPr>
          <w:rFonts w:ascii="Times New Roman" w:hAnsi="Times New Roman" w:eastAsia="Times New Roman"/>
          <w:sz w:val="22"/>
        </w:rPr>
        <w:t>The evidence supports selective protection of policy-designated relation semantics under the evaluated protocols, but it does not establish universal or formal privacy. TAFP-GraphRAG does not provide differential privacy or local differential privacy, and the reported structural invariants must not be interpreted as equivalent guarantees. The framework also does not address raw-text confidentiality, document-membership privacy, or complete anonymization.</w:t>
      </w:r>
    </w:p>
    <w:p>
      <w:r>
        <w:rPr>
          <w:rFonts w:ascii="Times New Roman" w:hAnsi="Times New Roman" w:eastAsia="Times New Roman"/>
          <w:sz w:val="22"/>
        </w:rPr>
        <w:t xml:space="preserve">Attack resistance was dataset and attacker dependent. Direct recovery of designated sensitive relation labels was eliminated in the evaluated relation-level protocols, but residual inference remained through other observation surfaces. Original-edge existence could remain inferable, and the strongest released-view GCN-GAE stress test retained non-trivial predictive performance on PubMed. In several attack settings, the matched </w:t>
      </w:r>
      <w:r>
        <w:rPr>
          <w:rFonts w:ascii="Courier New" w:hAnsi="Courier New" w:eastAsia="Courier New"/>
          <w:sz w:val="19"/>
        </w:rPr>
        <w:t>random_full_budget</w:t>
      </w:r>
      <w:r>
        <w:rPr>
          <w:rFonts w:ascii="Times New Roman" w:hAnsi="Times New Roman" w:eastAsia="Times New Roman"/>
          <w:sz w:val="22"/>
        </w:rPr>
        <w:t xml:space="preserve"> control was statistically competitive. The evaluated attacks therefore bound the demonstrated protection; they do not exhaust adaptive, coordinated, or future adversaries.</w:t>
      </w:r>
    </w:p>
    <w:p>
      <w:r>
        <w:rPr>
          <w:rFonts w:ascii="Times New Roman" w:hAnsi="Times New Roman" w:eastAsia="Times New Roman"/>
          <w:sz w:val="22"/>
        </w:rPr>
        <w:t>The attack coverage was not uniform across all datasets. The computationally intensive spectral and released-view GCN-GAE evaluations were conducted on PubMed and SynthPII, whereas the broader integrity, semantic-selectivity, marker-leakage, policy-misclassification, structural-utility, and end-to-end protocols covered five datasets. The reported attack conclusions should therefore remain tied to their corresponding datasets and observation models.</w:t>
      </w:r>
    </w:p>
    <w:p>
      <w:r>
        <w:rPr>
          <w:rFonts w:ascii="Times New Roman" w:hAnsi="Times New Roman" w:eastAsia="Times New Roman"/>
          <w:sz w:val="22"/>
        </w:rPr>
        <w:t>The sensitivity policies derived for the public datasets are experimental proxy policies rather than validated enterprise confidentiality labels. The policy-misclassification results show that the transformation executes the supplied policy but does not correct it. False negatives can leave oracle-sensitive relations insufficiently protected, and false positives can remove non-sensitive semantics unnecessarily. Real deployments therefore require domain-specific policy construction, validation, version control, and error auditing before transformation.</w:t>
      </w:r>
    </w:p>
    <w:p>
      <w:r>
        <w:rPr>
          <w:rFonts w:ascii="Times New Roman" w:hAnsi="Times New Roman" w:eastAsia="Times New Roman"/>
          <w:sz w:val="22"/>
        </w:rPr>
        <w:t>The default protected marker did not conceal whether an edge belonged to the supplied sensitive-policy set. Shared cover labels reduced this policy-membership signal only with a measurable reduction in non-sensitive semantic retention. Consequently, the present framework does not simultaneously optimize original-label concealment, policy-membership concealment, edge-existence privacy, and semantic utility. Deployment must specify which disclosure objects are in scope.</w:t>
      </w:r>
    </w:p>
    <w:p>
      <w:r>
        <w:rPr>
          <w:rFonts w:ascii="Times New Roman" w:hAnsi="Times New Roman" w:eastAsia="Times New Roman"/>
          <w:sz w:val="22"/>
        </w:rPr>
        <w:t>Utility preservation was substantial but not lossless. Full protection reduced non-sensitive relation-token F1 and retrieved-evidence recall relative to the unprotected baseline, even though it improved exact sequence match and exact faithfulness and outperformed both evaluated sensitivity-blind controls on the primary downstream outcomes. Structural overlap also was not generally higher than under the matched random full-budget control. The results therefore support a task-conditioned privacy–utility trade-off, not universal utility preservation.</w:t>
      </w:r>
    </w:p>
    <w:p>
      <w:r>
        <w:rPr>
          <w:rFonts w:ascii="Times New Roman" w:hAnsi="Times New Roman" w:eastAsia="Times New Roman"/>
          <w:sz w:val="22"/>
        </w:rPr>
        <w:t>The end-to-end findings are bounded to the locked model, fixed query set, datasets, graph-construction rules, sensitivity policies, and four evaluated graph conditions. The study did not evaluate adaptive multi-turn reconstruction, collusion across releases, continual graph updates, cross-domain enterprise deployment, or long-term policy drift. These extensions are important future evaluation directions, but their outcomes cannot be inferred from the present evidence.</w:t>
      </w:r>
    </w:p>
    <w:p>
      <w:pPr/>
      <w:r>
        <w:t>Computational evidence is limited to apply_variant runtime and the controlled 2K telemetry on the five evaluated graphs. Peak memory, proposal-level attempt counts, proposal-acceptance ratios, and empirical scaling beyond these graph sizes were not instrumented. The study therefore makes no claim about production throughput or asymptotic scalability.</w:t>
      </w:r>
    </w:p>
    <w:p>
      <w:pPr>
        <w:pStyle w:val="Heading1"/>
      </w:pPr>
      <w:r>
        <w:t>9. Conclusion</w:t>
      </w:r>
    </w:p>
    <w:p>
      <w:r>
        <w:rPr>
          <w:rFonts w:ascii="Times New Roman" w:hAnsi="Times New Roman" w:eastAsia="Times New Roman"/>
          <w:sz w:val="22"/>
        </w:rPr>
        <w:t>This study introduced TAFP-GraphRAG as an empirical, policy-conditioned framework for protecting sensitive relation semantics in GraphRAG while preserving explicitly defined structural invariants and maintaining auditable transformation records. Across five datasets, the full configuration concealed 0.99993–1.00000 of policy-designated sensitive relation labels, retained 0.89935–0.92193 of non-sensitive relation semantics, and preserved the exact degree of every node in the designated degree-preserving conditions. Equal-budget random and 2K-constrained controls did not reproduce this semantic selectivity, showing that the observed protection profile depended on sensitivity-guided allocation rather than perturbation volume or degree constraints alone.</w:t>
      </w:r>
    </w:p>
    <w:p>
      <w:r>
        <w:rPr>
          <w:rFonts w:ascii="Times New Roman" w:hAnsi="Times New Roman" w:eastAsia="Times New Roman"/>
          <w:sz w:val="22"/>
        </w:rPr>
        <w:t>The attack evaluation also established the boundaries of this contribution. Direct recovery of designated sensitive relation labels was eliminated in the evaluated relation-level protocols, but original-edge existence and representation-based relation inference could remain possible. Attack reductions were dataset and attacker dependent, the matched random full-budget control was competitive in several attack settings, and the default protected marker revealed supplied-policy membership. These findings support attack-specific evaluation of protected GraphRAG releases rather than a single undifferentiated privacy score.</w:t>
      </w:r>
    </w:p>
    <w:p>
      <w:r>
        <w:rPr>
          <w:rFonts w:ascii="Times New Roman" w:hAnsi="Times New Roman" w:eastAsia="Times New Roman"/>
          <w:sz w:val="22"/>
        </w:rPr>
        <w:t>Utility results were likewise evaluation-layer dependent. Full TAFP-GraphRAG preserved substantial path and local-subgraph support but did not generally exceed the matched random full-budget control in structural overlap. In the locked end-to-end relation-QA protocol, however, it retained 93.8% of baseline non-sensitive relation-token F1 and reduced sensitive-relation disclosure by 92.2% relative to the unprotected baseline. It also achieved higher non-sensitive relation-token F1 and lower sensitive disclosure than both evaluated sensitivity-blind controls overall and in every dataset.</w:t>
      </w:r>
    </w:p>
    <w:p>
      <w:r>
        <w:rPr>
          <w:rFonts w:ascii="Times New Roman" w:hAnsi="Times New Roman" w:eastAsia="Times New Roman"/>
          <w:sz w:val="22"/>
        </w:rPr>
        <w:t>The resulting contribution is therefore precise: under the evaluated policies, datasets, models, and threat models, TAFP-GraphRAG provides reproducible selective protection of relation semantics with exact degree preservation in designated variants and task-grounded privacy–utility benefits. It does not provide differential privacy, complete anonymization, raw-text privacy, edge privacy, topology privacy, or universal attack resistance. Future work should evaluate alternative release markers, validated domain policies, adaptive and cross-release attacks, continual graph updates, and real enterprise deployments without extending the present evidence beyond its verified scope.</w:t>
      </w:r>
    </w:p>
    <w:p>
      <w:pPr>
        <w:pStyle w:val="Heading1"/>
      </w:pPr>
      <w:r>
        <w:t>Supplementary Materials</w:t>
      </w:r>
    </w:p>
    <w:p>
      <w:r>
        <w:t>The supplementary materials provide detailed evidence supporting the main findings, including variant-level integrity audits, conditional relation-recovery results, feature-ablation analyses, fixed-edge and multi-split attack details, path- and subgraph-level paired tests, semantic-selectivity comparisons, sensitive-relation schema documentation (Tables S1–S18), sensitivity-flag leakage and cover-set coarsening (Table S20), sensitivity-policy misclassification robustness (Table S21), spectral embedding-based relation-inference summaries and paired tests (Tables S22–S23), dataset-level end-to-end relation-QA results (Table S24), paired seed-level end-to-end comparisons (Table S25), the parse-failure and execution audit (Table S26), the minority-sensitive policy ablation (Table S27), and the released-view GCN-GAE summary and paired tests (Tables S28–S29). Parameter-sensitivity protocols are described in Section 5.2 and their verified evidence is retained in the supplementary and immutable experiment archives. Distributed evidence tables and audit records are linked through hash-verified manifests.</w:t>
      </w:r>
    </w:p>
    <w:p>
      <w:pPr>
        <w:pStyle w:val="Heading1"/>
      </w:pPr>
      <w:r>
        <w:t>CRediT authorship contribution statement</w:t>
      </w:r>
    </w:p>
    <w:p>
      <w:r>
        <w:t>Yılmaz Vural: Conceptualization, Methodology, Software, Validation, Formal analysis, Investigation, Resources, Data curation, Writing – original draft, Writing – review and editing, Visualization, Project administration.</w:t>
      </w:r>
    </w:p>
    <w:p>
      <w:pPr>
        <w:pStyle w:val="Heading1"/>
      </w:pPr>
      <w:r>
        <w:t>Funding</w:t>
      </w:r>
    </w:p>
    <w:p>
      <w:r>
        <w:t>This research received no external funding.</w:t>
      </w:r>
    </w:p>
    <w:p>
      <w:pPr>
        <w:pStyle w:val="Heading1"/>
      </w:pPr>
      <w:r>
        <w:t>Ethics statement</w:t>
      </w:r>
    </w:p>
    <w:p>
      <w:r>
        <w:t>The study used public benchmark datasets and synthetic data and did not involve intervention with human participants. Institutional review board approval and informed consent were not applicable.</w:t>
      </w:r>
    </w:p>
    <w:p>
      <w:pPr>
        <w:pStyle w:val="Heading1"/>
      </w:pPr>
      <w:r>
        <w:t>Data availability</w:t>
      </w:r>
    </w:p>
    <w:p>
      <w:r>
        <w:t>The experiments use dataset-derived graphs constructed from AG News, CNN/DailyMail, IMDB, PubMed, and the synthetic SynthPII dataset. The public-source datasets remain subject to their original licenses and distribution conditions. Derived graph configurations, audited result tables, evidence manifests, and reproducibility materials are maintained in verified private evidence archives during peer review and can be provided to the editor and reviewers for research verification, subject to applicable licenses and distribution conditions.</w:t>
      </w:r>
    </w:p>
    <w:p>
      <w:pPr>
        <w:pStyle w:val="Heading1"/>
      </w:pPr>
      <w:r>
        <w:t>Code availability</w:t>
      </w:r>
    </w:p>
    <w:p>
      <w:r>
        <w:t>The core implementation, exact experimental runners, audited result tables, evidence manifests, and Colab reproducibility materials are maintained in a private repository and verified evidence archives during peer review. Reviewer access can be provided upon request. File-level SHA-256 checksums identify the executable sources and distributed artifacts used for the reported analyses.</w:t>
      </w:r>
    </w:p>
    <w:p>
      <w:pPr>
        <w:pStyle w:val="Heading1"/>
      </w:pPr>
      <w:r>
        <w:t>Declaration of Generative AI and AI-assisted technologies in the writing process</w:t>
      </w:r>
    </w:p>
    <w:p>
      <w:r>
        <w:t>During the preparation of this manuscript, the author used OpenAI ChatGPT (GPT-5.5 Thinking) for language refinement, manuscript structuring, and consistency checking. The author reviewed and edited the output and takes full responsibility for the content of this publication.</w:t>
      </w:r>
    </w:p>
    <w:p>
      <w:pPr>
        <w:pStyle w:val="Heading1"/>
      </w:pPr>
      <w:r>
        <w:t>Acknowledgments</w:t>
      </w:r>
    </w:p>
    <w:p>
      <w:r>
        <w:t>The author acknowledges the computing environments used to execute and validate the experiments.</w:t>
      </w:r>
    </w:p>
    <w:p>
      <w:pPr>
        <w:pStyle w:val="Heading1"/>
      </w:pPr>
      <w:r>
        <w:t>Declaration of competing interest</w:t>
      </w:r>
    </w:p>
    <w:p>
      <w:r>
        <w:t>The author declares no competing interests.</w:t>
      </w:r>
    </w:p>
    <w:p>
      <w:pPr>
        <w:pStyle w:val="Heading1"/>
      </w:pPr>
      <w:r>
        <w:t>References</w:t>
      </w:r>
    </w:p>
    <w:p>
      <w:pPr>
        <w:keepNext w:val="0"/>
        <w:keepLines w:val="0"/>
        <w:spacing w:before="0" w:after="40" w:line="240" w:lineRule="auto"/>
      </w:pPr>
      <w:r>
        <w:rPr>
          <w:rFonts w:ascii="Times New Roman" w:hAnsi="Times New Roman" w:eastAsia="Times New Roman"/>
          <w:sz w:val="18"/>
        </w:rPr>
        <w:t>Al Masoud, A., Arazzi, M., Nocera, A., 2026. SD-RAG: A Prompt-Injection-Resilient Framework for Selective Disclosure in Retrieval-Augmented Generation. arXiv:2601.11199. https://doi.org/10.48550/arXiv.2601.11199.</w:t>
      </w:r>
    </w:p>
    <w:p>
      <w:pPr>
        <w:keepNext w:val="0"/>
        <w:keepLines w:val="0"/>
        <w:spacing w:before="0" w:after="40" w:line="240" w:lineRule="auto"/>
      </w:pPr>
      <w:r>
        <w:rPr>
          <w:rFonts w:ascii="Times New Roman" w:hAnsi="Times New Roman" w:eastAsia="Times New Roman"/>
          <w:sz w:val="18"/>
        </w:rPr>
        <w:t>Annamalai, M.S.M.S., Ganev, G., De Cristofaro, E., 2024. “What Do You Want from Theory Alone?” Experimenting with Tight Auditing of Differentially Private Synthetic Data Generation. In: Proceedings of the 33rd USENIX Security Symposium, Philadelphia, PA, USA, 14-16 August 2024; USENIX Association: Berkeley, CA, USA; pp. 4855-4871.</w:t>
      </w:r>
    </w:p>
    <w:p>
      <w:pPr>
        <w:keepNext w:val="0"/>
        <w:keepLines w:val="0"/>
        <w:spacing w:before="0" w:after="40" w:line="240" w:lineRule="auto"/>
      </w:pPr>
      <w:r>
        <w:rPr>
          <w:rFonts w:ascii="Times New Roman" w:hAnsi="Times New Roman" w:eastAsia="Times New Roman"/>
          <w:sz w:val="18"/>
        </w:rPr>
        <w:t>Casas-Roma, J., 2020. DUEF-GA: Data Utility and Privacy Evaluation Framework for Graph Anonymization. Int. J. Inf. Secur. 19(4), 465-478. https://doi.org/10.1007/s10207-019-00469-4.</w:t>
      </w:r>
    </w:p>
    <w:p>
      <w:pPr>
        <w:keepNext w:val="0"/>
        <w:keepLines w:val="0"/>
        <w:spacing w:before="0" w:after="40" w:line="240" w:lineRule="auto"/>
      </w:pPr>
      <w:r>
        <w:rPr>
          <w:rFonts w:ascii="Times New Roman" w:hAnsi="Times New Roman" w:eastAsia="Times New Roman"/>
          <w:sz w:val="18"/>
        </w:rPr>
        <w:t>Chien, E., Chen, W.-N., Pan, C., Li, P., Özgür, A., Milenkovic, O., 2023. Differentially Private Decoupled Graph Convolutions for Multigranular Topology Protection. In: Advances in Neural Information Processing Systems 36; Curran Associates, Inc.: Red Hook, NY, USA; pp. 45381-45401.</w:t>
      </w:r>
    </w:p>
    <w:p>
      <w:pPr>
        <w:keepNext w:val="0"/>
        <w:keepLines w:val="0"/>
        <w:spacing w:before="0" w:after="40" w:line="240" w:lineRule="auto"/>
      </w:pPr>
      <w:r>
        <w:rPr>
          <w:rFonts w:ascii="Times New Roman" w:hAnsi="Times New Roman" w:eastAsia="Times New Roman"/>
          <w:sz w:val="18"/>
        </w:rPr>
        <w:t>Choi, Y., Park, Y., Byun, J., Lee, J., Park, J., 2025. Safeguarding Privacy of Retrieval Data against Membership Inference Attacks: Is This Query Too Close to Home? In: Findings of the Association for Computational Linguistics: EMNLP 2025, Suzhou, China, November 2025; Association for Computational Linguistics: Stroudsburg, PA, USA; pp. 8241-8258. https://doi.org/10.18653/v1/2025.findings-emnlp.438.</w:t>
      </w:r>
    </w:p>
    <w:p>
      <w:pPr>
        <w:keepNext w:val="0"/>
        <w:keepLines w:val="0"/>
        <w:spacing w:before="0" w:after="40" w:line="240" w:lineRule="auto"/>
      </w:pPr>
      <w:r>
        <w:rPr>
          <w:rFonts w:ascii="Times New Roman" w:hAnsi="Times New Roman" w:eastAsia="Times New Roman"/>
          <w:sz w:val="18"/>
        </w:rPr>
        <w:t>Cohan, A., Dernoncourt, F., Kim, D.S., Bui, T., Kim, S., Chang, W., Goharian, N., 2018. A Discourse-Aware Attention Model for Abstractive Summarization of Long Documents. In: Proceedings of the 2018 Conference of the North American Chapter of the Association for Computational Linguistics: Human Language Technologies, Volume 2 (Short Papers), New Orleans, LA, USA, 1-6 June 2018; Association for Computational Linguistics: Stroudsburg, PA, USA; pp. 615-621. https://doi.org/10.18653/v1/N18-2097.</w:t>
      </w:r>
    </w:p>
    <w:p>
      <w:pPr>
        <w:keepNext w:val="0"/>
        <w:keepLines w:val="0"/>
        <w:spacing w:before="0" w:after="40" w:line="240" w:lineRule="auto"/>
      </w:pPr>
      <w:r>
        <w:rPr>
          <w:rFonts w:ascii="Times New Roman" w:hAnsi="Times New Roman" w:eastAsia="Times New Roman"/>
          <w:sz w:val="18"/>
        </w:rPr>
        <w:t>Fu, J., Hong, Y., Chen, Z., Wang, W.H., 2025. Safeguarding Graph Neural Networks against Topology Inference Attacks. In: Proceedings of the 2025 ACM SIGSAC Conference on Computer and Communications Security, Taipei, Taiwan, 13-17 October 2025; pp. 2144-2158. https://doi.org/10.1145/3719027.3765173.</w:t>
      </w:r>
    </w:p>
    <w:p>
      <w:pPr>
        <w:keepNext w:val="0"/>
        <w:keepLines w:val="0"/>
        <w:spacing w:before="0" w:after="40" w:line="240" w:lineRule="auto"/>
      </w:pPr>
      <w:r>
        <w:rPr>
          <w:rFonts w:ascii="Times New Roman" w:hAnsi="Times New Roman" w:eastAsia="Times New Roman"/>
          <w:sz w:val="18"/>
        </w:rPr>
        <w:t>Gu, J., Mao, Q., Lin, X., Wu, J., 2026. GraphSteal: Structural Knowledge Stealing from Graph RAG via Traversal Reconstruction. arXiv:2605.28645. https://doi.org/10.48550/arXiv.2605.28645.</w:t>
      </w:r>
    </w:p>
    <w:p>
      <w:pPr>
        <w:keepNext w:val="0"/>
        <w:keepLines w:val="0"/>
        <w:spacing w:before="0" w:after="40" w:line="240" w:lineRule="auto"/>
      </w:pPr>
      <w:r>
        <w:rPr>
          <w:rFonts w:ascii="Times New Roman" w:hAnsi="Times New Roman" w:eastAsia="Times New Roman"/>
          <w:sz w:val="18"/>
        </w:rPr>
        <w:t>He, L., Tang, P., Zhang, Y., Zhou, P., Su, S., 2025. Mitigating Privacy Risks in Retrieval-Augmented Generation via Locally Private Entity Perturbation. Inf. Process. Manag. 62(4), 104150. https://doi.org/10.1016/j.ipm.2025.104150.</w:t>
      </w:r>
    </w:p>
    <w:p>
      <w:pPr>
        <w:keepNext w:val="0"/>
        <w:keepLines w:val="0"/>
        <w:spacing w:before="0" w:after="40" w:line="240" w:lineRule="auto"/>
      </w:pPr>
      <w:r>
        <w:rPr>
          <w:rFonts w:ascii="Times New Roman" w:hAnsi="Times New Roman" w:eastAsia="Times New Roman"/>
          <w:sz w:val="18"/>
        </w:rPr>
        <w:t>He, X., Jia, J., Backes, M., Gong, N.Z., Zhang, Y., 2021. Stealing Links from Graph Neural Networks. In: Proceedings of the 30th USENIX Security Symposium, Virtual Event, 11-13 August 2021; USENIX Association: Berkeley, CA, USA; pp. 2669-2686.</w:t>
      </w:r>
    </w:p>
    <w:p>
      <w:pPr>
        <w:keepNext w:val="0"/>
        <w:keepLines w:val="0"/>
        <w:spacing w:before="0" w:after="40" w:line="240" w:lineRule="auto"/>
      </w:pPr>
      <w:r>
        <w:rPr>
          <w:rFonts w:ascii="Times New Roman" w:hAnsi="Times New Roman" w:eastAsia="Times New Roman"/>
          <w:sz w:val="18"/>
        </w:rPr>
        <w:t>Hidano, S., Murakami, T., 2024. Degree-Preserving Randomized Response for Graph Neural Networks under Local Differential Privacy. Trans. Data Priv. 17(2), 89-121.</w:t>
      </w:r>
    </w:p>
    <w:p>
      <w:pPr>
        <w:keepNext w:val="0"/>
        <w:keepLines w:val="0"/>
        <w:spacing w:before="0" w:after="40" w:line="240" w:lineRule="auto"/>
      </w:pPr>
      <w:r>
        <w:rPr>
          <w:rFonts w:ascii="Times New Roman" w:hAnsi="Times New Roman" w:eastAsia="Times New Roman"/>
          <w:sz w:val="18"/>
        </w:rPr>
        <w:t>Hu, H., Salcic, Z., Sun, L., Dobbie, G., Yu, P.S., Zhang, X., 2022. Membership Inference Attacks on Machine Learning: A Survey. ACM Comput. Surv. 54(11s), Article 235, 1-37. https://doi.org/10.1145/3523273.</w:t>
      </w:r>
    </w:p>
    <w:p>
      <w:pPr>
        <w:keepNext w:val="0"/>
        <w:keepLines w:val="0"/>
        <w:spacing w:before="0" w:after="40" w:line="240" w:lineRule="auto"/>
      </w:pPr>
      <w:r>
        <w:rPr>
          <w:rFonts w:ascii="Times New Roman" w:hAnsi="Times New Roman" w:eastAsia="Times New Roman"/>
          <w:sz w:val="18"/>
        </w:rPr>
        <w:t>Hu, Q., Li, H., Bai, J., Wang, Z., Song, Y., 2024. Privacy-Preserved Neural Graph Databases. In: Proceedings of the 30th ACM SIGKDD Conference on Knowledge Discovery and Data Mining, Barcelona, Spain, 25-29 August 2024; pp. 1108-1118. https://doi.org/10.1145/3637528.3671678.</w:t>
      </w:r>
    </w:p>
    <w:p>
      <w:pPr>
        <w:keepNext w:val="0"/>
        <w:keepLines w:val="0"/>
        <w:spacing w:before="0" w:after="40" w:line="240" w:lineRule="auto"/>
      </w:pPr>
      <w:r>
        <w:rPr>
          <w:rFonts w:ascii="Times New Roman" w:hAnsi="Times New Roman" w:eastAsia="Times New Roman"/>
          <w:sz w:val="18"/>
        </w:rPr>
        <w:t>Hu, Y., Lei, Z., Zhang, Z., Pan, B., Ling, C., Zhao, L., 2025a. GRAG: Graph Retrieval-Augmented Generation. In: Findings of the Association for Computational Linguistics: NAACL 2025; Association for Computational Linguistics: Albuquerque, NM, USA; pp. 4145-4157. https://doi.org/10.18653/v1/2025.findings-naacl.232.</w:t>
      </w:r>
    </w:p>
    <w:p>
      <w:pPr>
        <w:keepNext w:val="0"/>
        <w:keepLines w:val="0"/>
        <w:spacing w:before="0" w:after="40" w:line="240" w:lineRule="auto"/>
      </w:pPr>
      <w:r>
        <w:rPr>
          <w:rFonts w:ascii="Times New Roman" w:hAnsi="Times New Roman" w:eastAsia="Times New Roman"/>
          <w:sz w:val="18"/>
        </w:rPr>
        <w:t>Hu, Y., Wang, Y., Lou, J., Liang, W., Wu, R., Wang, W., Li, X., Liu, J., Qin, Z., 2025b. Privacy Risks of Federated Knowledge Graph Embedding: New Membership Inference Attacks and Personalized Differential Privacy Defense. IEEE Trans. Dependable Secure Comput. 22(3), 2788-2805. https://doi.org/10.1109/TDSC.2024.3522025.</w:t>
      </w:r>
    </w:p>
    <w:p>
      <w:pPr>
        <w:keepNext w:val="0"/>
        <w:keepLines w:val="0"/>
        <w:spacing w:before="0" w:after="40" w:line="240" w:lineRule="auto"/>
      </w:pPr>
      <w:r>
        <w:rPr>
          <w:rFonts w:ascii="Times New Roman" w:hAnsi="Times New Roman" w:eastAsia="Times New Roman"/>
          <w:sz w:val="18"/>
        </w:rPr>
        <w:t>Jia, J., Song, J., Yu, J., Guo, J., Jia, X., Wu, D., Yuan, Y., Cheng, G., 2026. PAGPL: Privacy-Aware Graph Prompt Learning Scheme via Adaptive Perturbation-Estimated Topology Recovery. Proc. AAAI Conf. Artif. Intell. 40(27), 22247-22255. https://doi.org/10.1609/aaai.v40i27.39381.</w:t>
      </w:r>
    </w:p>
    <w:p>
      <w:pPr>
        <w:keepNext w:val="0"/>
        <w:keepLines w:val="0"/>
        <w:spacing w:before="0" w:after="40" w:line="240" w:lineRule="auto"/>
      </w:pPr>
      <w:r>
        <w:rPr>
          <w:rFonts w:ascii="Times New Roman" w:hAnsi="Times New Roman" w:eastAsia="Times New Roman"/>
          <w:sz w:val="18"/>
        </w:rPr>
        <w:t>Jian, X., Wang, Y., Chen, L., 2023. Publishing Graphs under Node Differential Privacy. IEEE Trans. Knowl. Data Eng. 35(4), 4164-4177. https://doi.org/10.1109/TKDE.2021.3128946.</w:t>
      </w:r>
    </w:p>
    <w:p>
      <w:pPr>
        <w:keepNext w:val="0"/>
        <w:keepLines w:val="0"/>
        <w:spacing w:before="0" w:after="40" w:line="240" w:lineRule="auto"/>
      </w:pPr>
      <w:r>
        <w:rPr>
          <w:rFonts w:ascii="Times New Roman" w:hAnsi="Times New Roman" w:eastAsia="Times New Roman"/>
          <w:sz w:val="18"/>
        </w:rPr>
        <w:t>Kim, D., Yoo, S., Jeong, O.-R., 2026. MedSumGraph: Enhancing GraphRAG for Medical QA with Summarization and Optimized Prompts. Artif. Intell. Med. 172, 103311. https://doi.org/10.1016/j.artmed.2025.103311.</w:t>
      </w:r>
    </w:p>
    <w:p>
      <w:pPr>
        <w:keepNext w:val="0"/>
        <w:keepLines w:val="0"/>
        <w:spacing w:before="0" w:after="40" w:line="240" w:lineRule="auto"/>
      </w:pPr>
      <w:r>
        <w:rPr>
          <w:rFonts w:ascii="Times New Roman" w:hAnsi="Times New Roman" w:eastAsia="Times New Roman"/>
          <w:sz w:val="18"/>
        </w:rPr>
        <w:t>Li, H., Li, X., Su, F., Guo, Q., 2025. Multi-Level Graph Pruning-Based Framework for Graph Retrieval-Augmented Generation. In: Proceedings of the 2025 IEEE International Conference on Multimedia and Expo, Nantes, France, 30 June-4 July 2025; pp. 1-6. https://doi.org/10.1109/ICME59968.2025.11209364.</w:t>
      </w:r>
    </w:p>
    <w:p>
      <w:pPr>
        <w:keepNext w:val="0"/>
        <w:keepLines w:val="0"/>
        <w:spacing w:before="0" w:after="40" w:line="240" w:lineRule="auto"/>
      </w:pPr>
      <w:r>
        <w:rPr>
          <w:rFonts w:ascii="Times New Roman" w:hAnsi="Times New Roman" w:eastAsia="Times New Roman"/>
          <w:sz w:val="18"/>
        </w:rPr>
        <w:t>Li, K., Sun, J., Chen, R., Ding, W., Yu, K., Li, J., Wu, C., 2023. Towards Practical Edge Inference Attacks Against Graph Neural Networks. In: Proceedings of the 2023 IEEE International Conference on Acoustics, Speech and Signal Processing, Rhodes Island, Greece, 4-10 June 2023; pp. 1-5. https://doi.org/10.1109/ICASSP49357.2023.10096675.</w:t>
      </w:r>
    </w:p>
    <w:p>
      <w:pPr>
        <w:keepNext w:val="0"/>
        <w:keepLines w:val="0"/>
        <w:spacing w:before="0" w:after="40" w:line="240" w:lineRule="auto"/>
      </w:pPr>
      <w:r>
        <w:rPr>
          <w:rFonts w:ascii="Times New Roman" w:hAnsi="Times New Roman" w:eastAsia="Times New Roman"/>
          <w:sz w:val="18"/>
        </w:rPr>
        <w:t>Liang, J., Wang, Y., Li, C., Zhu, R., Jiang, T., Gong, N., Wang, T., 2026. GraphRAG under Fire. Accepted paper, 2026 IEEE Symposium on Security and Privacy. arXiv:2501.14050. https://doi.org/10.48550/arXiv.2501.14050.</w:t>
      </w:r>
    </w:p>
    <w:p>
      <w:pPr>
        <w:keepNext w:val="0"/>
        <w:keepLines w:val="0"/>
        <w:spacing w:before="0" w:after="40" w:line="240" w:lineRule="auto"/>
      </w:pPr>
      <w:r>
        <w:rPr>
          <w:rFonts w:ascii="Times New Roman" w:hAnsi="Times New Roman" w:eastAsia="Times New Roman"/>
          <w:sz w:val="18"/>
        </w:rPr>
        <w:t>Liu, J., Zhang, J., Wang, S., 2026. Exposing Privacy Risks in Graph Retrieval-Augmented Generation. In: Findings of the Association for Computational Linguistics: ACL 2026, pp. 18073–18093. Association for Computational Linguistics. https://aclanthology.org/2026.findings-acl.899/.</w:t>
      </w:r>
    </w:p>
    <w:p>
      <w:pPr>
        <w:keepNext w:val="0"/>
        <w:keepLines w:val="0"/>
        <w:spacing w:before="0" w:after="40" w:line="240" w:lineRule="auto"/>
      </w:pPr>
      <w:r>
        <w:rPr>
          <w:rFonts w:ascii="Times New Roman" w:hAnsi="Times New Roman" w:eastAsia="Times New Roman"/>
          <w:sz w:val="18"/>
        </w:rPr>
        <w:t>Maas, A.L., Daly, R.E., Pham, P.T., Huang, D., Ng, A.Y., Potts, C., 2011. Learning Word Vectors for Sentiment Analysis. In: Proceedings of the 49th Annual Meeting of the Association for Computational Linguistics: Human Language Technologies, Portland, OR, USA, 19-24 June 2011; Association for Computational Linguistics: Stroudsburg, PA, USA; pp. 142-150.</w:t>
      </w:r>
    </w:p>
    <w:p>
      <w:pPr>
        <w:keepNext w:val="0"/>
        <w:keepLines w:val="0"/>
        <w:spacing w:before="0" w:after="40" w:line="240" w:lineRule="auto"/>
      </w:pPr>
      <w:r>
        <w:rPr>
          <w:rFonts w:ascii="Times New Roman" w:hAnsi="Times New Roman" w:eastAsia="Times New Roman"/>
          <w:sz w:val="18"/>
        </w:rPr>
        <w:t>Mannion, S., MacCarron, P., Saxena, A., Takes, F.W., 2024. Fast degree-preserving rewiring of complex networks. arXiv:2401.12047. https://doi.org/10.48550/arXiv.2401.12047.</w:t>
      </w:r>
    </w:p>
    <w:p>
      <w:pPr>
        <w:keepNext w:val="0"/>
        <w:keepLines w:val="0"/>
        <w:spacing w:before="0" w:after="40" w:line="240" w:lineRule="auto"/>
      </w:pPr>
      <w:r>
        <w:rPr>
          <w:rFonts w:ascii="Times New Roman" w:hAnsi="Times New Roman" w:eastAsia="Times New Roman"/>
          <w:sz w:val="18"/>
        </w:rPr>
        <w:t>Mendonça, A.L.C., Brito, F.T., Machado, J.C., 2025. PEG: Local Differential Privacy for Edge-Labeled Graphs. In: Proceedings of the 28th International Conference on Extending Database Technology, Barcelona, Spain, 25-28 March 2025; pp. 490-502. https://doi.org/10.48786/EDBT.2025.39.</w:t>
      </w:r>
    </w:p>
    <w:p>
      <w:pPr>
        <w:keepNext w:val="0"/>
        <w:keepLines w:val="0"/>
        <w:spacing w:before="0" w:after="40" w:line="240" w:lineRule="auto"/>
      </w:pPr>
      <w:r>
        <w:rPr>
          <w:rFonts w:ascii="Times New Roman" w:hAnsi="Times New Roman" w:eastAsia="Times New Roman"/>
          <w:sz w:val="18"/>
        </w:rPr>
        <w:t>Mortazavi, R., Erfani, S.H., 2020. GRAM: An Efficient (k,l) Graph Anonymization Method. Expert Syst. Appl. 153, 113454. https://doi.org/10.1016/j.eswa.2020.113454.</w:t>
      </w:r>
    </w:p>
    <w:p>
      <w:pPr>
        <w:keepNext w:val="0"/>
        <w:keepLines w:val="0"/>
        <w:spacing w:before="0" w:after="40" w:line="240" w:lineRule="auto"/>
      </w:pPr>
      <w:r>
        <w:rPr>
          <w:rFonts w:ascii="Times New Roman" w:hAnsi="Times New Roman" w:eastAsia="Times New Roman"/>
          <w:sz w:val="18"/>
        </w:rPr>
        <w:t>Mueller, T.T., Paetzold, J.C., Prabhakar, C., Usynin, D., Rueckert, D., Kaissis, G., 2023. Differentially Private Graph Neural Networks for Whole-Graph Classification. IEEE Trans. Pattern Anal. Mach. Intell. 45(6), 7308-7318. https://doi.org/10.1109/TPAMI.2022.3228315.</w:t>
      </w:r>
    </w:p>
    <w:p>
      <w:pPr>
        <w:keepNext w:val="0"/>
        <w:keepLines w:val="0"/>
        <w:spacing w:before="0" w:after="40" w:line="240" w:lineRule="auto"/>
      </w:pPr>
      <w:r>
        <w:rPr>
          <w:rFonts w:ascii="Times New Roman" w:hAnsi="Times New Roman" w:eastAsia="Times New Roman"/>
          <w:sz w:val="18"/>
        </w:rPr>
        <w:t>Nallapati, R., Zhou, B., dos Santos, C., Gülçehre, Ç., Xiang, B., 2016. Abstractive Text Summarization Using Sequence-to-Sequence RNNs and Beyond. In: Proceedings of the 20th SIGNLL Conference on Computational Natural Language Learning, Berlin, Germany, 11-12 August 2016; Association for Computational Linguistics: Stroudsburg, PA, USA; pp. 280-290. https://doi.org/10.18653/v1/K16-1028.</w:t>
      </w:r>
    </w:p>
    <w:p>
      <w:pPr>
        <w:keepNext w:val="0"/>
        <w:keepLines w:val="0"/>
        <w:spacing w:before="0" w:after="40" w:line="240" w:lineRule="auto"/>
      </w:pPr>
      <w:r>
        <w:rPr>
          <w:rFonts w:ascii="Times New Roman" w:hAnsi="Times New Roman" w:eastAsia="Times New Roman"/>
          <w:sz w:val="18"/>
        </w:rPr>
        <w:t>Ning, Y., Xu, M., Wen, J., Pi, Q., Zhu, Y., Zhong, M., Jiang, J., Qian, T., 2026. Privacy-Protected Retrieval-Augmented Generation for Knowledge Graph Question Answering. Proc. AAAI Conf. Artif. Intell. 40(38), 32573-32581. https://doi.org/10.1609/aaai.v40i38.40534.</w:t>
      </w:r>
    </w:p>
    <w:p>
      <w:pPr>
        <w:keepNext w:val="0"/>
        <w:keepLines w:val="0"/>
        <w:spacing w:before="0" w:after="40" w:line="240" w:lineRule="auto"/>
      </w:pPr>
      <w:r>
        <w:rPr>
          <w:rFonts w:ascii="Times New Roman" w:hAnsi="Times New Roman" w:eastAsia="Times New Roman"/>
          <w:sz w:val="18"/>
        </w:rPr>
        <w:t>Osipjan, A., Khorashadizadeh, H., Kessel, A.-L., Groppe, S., Groppe, J., 2025. GraphTrace: A Modular Retrieval Framework Combining Knowledge Graphs and Large Language Models for Multi-Hop Question Answering. Computers 14(9), 382. https://doi.org/10.3390/computers14090382.</w:t>
      </w:r>
    </w:p>
    <w:p>
      <w:pPr>
        <w:keepNext w:val="0"/>
        <w:keepLines w:val="0"/>
        <w:spacing w:before="0" w:after="40" w:line="240" w:lineRule="auto"/>
      </w:pPr>
      <w:r>
        <w:rPr>
          <w:rFonts w:ascii="Times New Roman" w:hAnsi="Times New Roman" w:eastAsia="Times New Roman"/>
          <w:sz w:val="18"/>
        </w:rPr>
        <w:t>Peng, B., Zhu, Y., Liu, Y., Bo, X., Shi, H., Hong, C., Zhang, Y., Tang, S., 2026. Graph Retrieval-Augmented Generation: A Survey. ACM Trans. Inf. Syst. 44(2), Article 35, 1-52. https://doi.org/10.1145/3777378.</w:t>
      </w:r>
    </w:p>
    <w:p>
      <w:pPr>
        <w:keepNext w:val="0"/>
        <w:keepLines w:val="0"/>
        <w:spacing w:before="0" w:after="40" w:line="240" w:lineRule="auto"/>
      </w:pPr>
      <w:r>
        <w:rPr>
          <w:rFonts w:ascii="Times New Roman" w:hAnsi="Times New Roman" w:eastAsia="Times New Roman"/>
          <w:sz w:val="18"/>
        </w:rPr>
        <w:t>Qiu, P., Zhang, X., Ji, S., Du, T., Pu, Y., Zhou, J., Wang, T., 2023. Your Labels Are Selling You Out: Relation Leaks in Vertical Federated Learning. IEEE Trans. Dependable Secure Comput. 20(5), 3653-3668. https://doi.org/10.1109/TDSC.2022.3208630.</w:t>
      </w:r>
    </w:p>
    <w:p>
      <w:pPr>
        <w:keepNext w:val="0"/>
        <w:keepLines w:val="0"/>
        <w:spacing w:before="0" w:after="40" w:line="240" w:lineRule="auto"/>
      </w:pPr>
      <w:r>
        <w:rPr>
          <w:rFonts w:ascii="Times New Roman" w:hAnsi="Times New Roman" w:eastAsia="Times New Roman"/>
          <w:sz w:val="18"/>
        </w:rPr>
        <w:t>Song, M., Kim, J., Kang, M., Kim, H., Shin, S., Son, S., 2026. Graphs Don't Stay Secret: Practical Subgraph Reconstruction Attacks on Defended Graph RAG. arXiv:2602.06495. https://doi.org/10.48550/arXiv.2602.06495.</w:t>
      </w:r>
    </w:p>
    <w:p>
      <w:pPr>
        <w:keepNext w:val="0"/>
        <w:keepLines w:val="0"/>
        <w:spacing w:before="0" w:after="40" w:line="240" w:lineRule="auto"/>
      </w:pPr>
      <w:r>
        <w:rPr>
          <w:rFonts w:ascii="Times New Roman" w:hAnsi="Times New Roman" w:eastAsia="Times New Roman"/>
          <w:sz w:val="18"/>
        </w:rPr>
        <w:t>Wang, Y., Lipka, N., Zhang, R., Siu, A.F., Zhao, Y., Ni, B., Wang, X., Rossi, R.A., Derr, T., 2024. Topology-Aware Retrieval Augmentation for Text Generation. In: Proceedings of the 33rd ACM International Conference on Information and Knowledge Management, Boise, ID, USA, 21-25 October 2024; pp. 2442-2452. https://doi.org/10.1145/3627673.3679746.</w:t>
      </w:r>
    </w:p>
    <w:p>
      <w:pPr>
        <w:keepNext w:val="0"/>
        <w:keepLines w:val="0"/>
        <w:spacing w:before="0" w:after="40" w:line="240" w:lineRule="auto"/>
      </w:pPr>
      <w:r>
        <w:rPr>
          <w:rFonts w:ascii="Times New Roman" w:hAnsi="Times New Roman" w:eastAsia="Times New Roman"/>
          <w:sz w:val="18"/>
        </w:rPr>
        <w:t>Wu, J., Zhu, J., Qi, Y., Chen, J., Xu, M., Menolascina, F., Jin, Y., Grau, V., 2025. Medical Graph RAG: Evidence-Based Medical Large Language Model via Graph Retrieval-Augmented Generation. In: Proceedings of the 63rd Annual Meeting of the Association for Computational Linguistics, Volume 1: Long Papers, Vienna, Austria, 27 July-1 August 2025; pp. 28443-28467. https://doi.org/10.18653/v1/2025.acl-long.1381.</w:t>
      </w:r>
    </w:p>
    <w:p>
      <w:pPr>
        <w:keepNext w:val="0"/>
        <w:keepLines w:val="0"/>
        <w:spacing w:before="0" w:after="40" w:line="240" w:lineRule="auto"/>
      </w:pPr>
      <w:r>
        <w:rPr>
          <w:rFonts w:ascii="Times New Roman" w:hAnsi="Times New Roman" w:eastAsia="Times New Roman"/>
          <w:sz w:val="18"/>
        </w:rPr>
        <w:t>Xiang, N., Ma, X., 2022. TKDA: An Improved Method for K-Degree Anonymity in Social Graphs. In: Proceedings of the 2022 IEEE Symposium on Computers and Communications, Rhodes, Greece, 30 June-3 July 2022; pp. 1-6. https://doi.org/10.1109/ISCC55528.2022.9912964.</w:t>
      </w:r>
    </w:p>
    <w:p>
      <w:pPr>
        <w:keepNext w:val="0"/>
        <w:keepLines w:val="0"/>
        <w:spacing w:before="0" w:after="40" w:line="240" w:lineRule="auto"/>
      </w:pPr>
      <w:r>
        <w:rPr>
          <w:rFonts w:ascii="Times New Roman" w:hAnsi="Times New Roman" w:eastAsia="Times New Roman"/>
          <w:sz w:val="18"/>
        </w:rPr>
        <w:t>Xiang, Z., Wang, T., Wang, D., 2025. Privacy Audit as Bits Transmission: (Im)possibilities for Audit by One Run. In: Proceedings of the 34th USENIX Security Symposium, Seattle, WA, USA, 13-15 August 2025; USENIX Association: Berkeley, CA, USA; pp. 2693-2711.</w:t>
      </w:r>
    </w:p>
    <w:p>
      <w:pPr>
        <w:keepNext w:val="0"/>
        <w:keepLines w:val="0"/>
        <w:spacing w:before="0" w:after="40" w:line="240" w:lineRule="auto"/>
      </w:pPr>
      <w:r>
        <w:rPr>
          <w:rFonts w:ascii="Times New Roman" w:hAnsi="Times New Roman" w:eastAsia="Times New Roman"/>
          <w:sz w:val="18"/>
        </w:rPr>
        <w:t>Yang, C., Wang, H., Zhang, K., Chen, L., Sun, L., 2021. Secure Deep Graph Generation with Link Differential Privacy. In: Proceedings of the Thirtieth International Joint Conference on Artificial Intelligence, Virtual Event, 19-27 August 2021; pp. 3271-3278. https://doi.org/10.24963/ijcai.2021/450.</w:t>
      </w:r>
    </w:p>
    <w:p>
      <w:pPr>
        <w:keepNext w:val="0"/>
        <w:keepLines w:val="0"/>
        <w:spacing w:before="0" w:after="40" w:line="240" w:lineRule="auto"/>
      </w:pPr>
      <w:r>
        <w:rPr>
          <w:rFonts w:ascii="Times New Roman" w:hAnsi="Times New Roman" w:eastAsia="Times New Roman"/>
          <w:sz w:val="18"/>
        </w:rPr>
        <w:t>Yang, S., Zhang, J., Wang, Y., Lee, D., Wang, S., 2026. Query-Efficient Agentic Graph Extraction Attacks on GraphRAG Systems. In: Proceedings of the 64th Annual Meeting of the Association for Computational Linguistics (Volume 1: Long Papers), pp. 16017–16041. Association for Computational Linguistics. https://aclanthology.org/2026.acl-long.727/.</w:t>
      </w:r>
    </w:p>
    <w:p>
      <w:pPr>
        <w:keepNext w:val="0"/>
        <w:keepLines w:val="0"/>
        <w:spacing w:before="0" w:after="40" w:line="240" w:lineRule="auto"/>
      </w:pPr>
      <w:r>
        <w:rPr>
          <w:rFonts w:ascii="Times New Roman" w:hAnsi="Times New Roman" w:eastAsia="Times New Roman"/>
          <w:sz w:val="18"/>
        </w:rPr>
        <w:t>Yu, C., Zhao, K., Li, Y., Chang, H., Feng, M., Jiang, X., Sun, Y., Li, J., Zhang, Y., Sun, Q., Li, J., Zhang, Z., 2026. GraphRAG-R1: Graph Retrieval-Augmented Generation with Process-Constrained Reinforcement Learning. In: Proceedings of the ACM Web Conference 2026, Dubai, United Arab Emirates, 13-17 April 2026; pp. 1398-1409. https://doi.org/10.1145/3774904.3792589.</w:t>
      </w:r>
    </w:p>
    <w:p>
      <w:pPr>
        <w:keepNext w:val="0"/>
        <w:keepLines w:val="0"/>
        <w:spacing w:before="0" w:after="40" w:line="240" w:lineRule="auto"/>
      </w:pPr>
      <w:r>
        <w:rPr>
          <w:rFonts w:ascii="Times New Roman" w:hAnsi="Times New Roman" w:eastAsia="Times New Roman"/>
          <w:sz w:val="18"/>
        </w:rPr>
        <w:t>Yuan, H., Xu, J., Wang, C., Yang, Z., Wang, C., Yin, K., Yang, Y., 2024. Unveiling Privacy Vulnerabilities: Investigating the Role of Structure in Graph Data. In: Proceedings of the 30th ACM SIGKDD Conference on Knowledge Discovery and Data Mining, Barcelona, Spain, 25-29 August 2024; pp. 4059-4070. https://doi.org/10.1145/3637528.3672013.</w:t>
      </w:r>
    </w:p>
    <w:p>
      <w:pPr>
        <w:keepNext w:val="0"/>
        <w:keepLines w:val="0"/>
        <w:spacing w:before="0" w:after="40" w:line="240" w:lineRule="auto"/>
      </w:pPr>
      <w:r>
        <w:rPr>
          <w:rFonts w:ascii="Times New Roman" w:hAnsi="Times New Roman" w:eastAsia="Times New Roman"/>
          <w:sz w:val="18"/>
        </w:rPr>
        <w:t>Zeng, S., Zhang, J., He, P., Ren, J., Zheng, T., Lu, H., Xu, H., Liu, H., Xing, Y., Tang, J., 2025. Mitigating the Privacy Issues in Retrieval-Augmented Generation (RAG) via Pure Synthetic Data. In: Proceedings of the 2025 Conference on Empirical Methods in Natural Language Processing, Suzhou, China, 4-9 November 2025; Association for Computational Linguistics: Stroudsburg, PA, USA; pp. 24527-24558. https://doi.org/10.18653/v1/2025.emnlp-main.1247.</w:t>
      </w:r>
    </w:p>
    <w:p>
      <w:pPr>
        <w:keepNext w:val="0"/>
        <w:keepLines w:val="0"/>
        <w:spacing w:before="0" w:after="40" w:line="240" w:lineRule="auto"/>
      </w:pPr>
      <w:r>
        <w:rPr>
          <w:rFonts w:ascii="Times New Roman" w:hAnsi="Times New Roman" w:eastAsia="Times New Roman"/>
          <w:sz w:val="18"/>
        </w:rPr>
        <w:t>Zhang, H., Wu, B., Wang, S., Yang, X., Xue, M., Pan, S., Yuan, X., 2023. Demystifying Uneven Vulnerability of Link Stealing Attacks against Graph Neural Networks. In: Proceedings of the 40th International Conference on Machine Learning; Proceedings of Machine Learning Research; Volume 202, pp. 41737-41752.</w:t>
      </w:r>
    </w:p>
    <w:p>
      <w:pPr>
        <w:keepNext w:val="0"/>
        <w:keepLines w:val="0"/>
        <w:spacing w:before="0" w:after="40" w:line="240" w:lineRule="auto"/>
      </w:pPr>
      <w:r>
        <w:rPr>
          <w:rFonts w:ascii="Times New Roman" w:hAnsi="Times New Roman" w:eastAsia="Times New Roman"/>
          <w:sz w:val="18"/>
        </w:rPr>
        <w:t>Zhang, X., Zhao, J., LeCun, Y., 2015. Character-Level Convolutional Networks for Text Classification. In: Advances in Neural Information Processing Systems 28; Cortes, C.; Lawrence, N.D.; Lee, D.D.; Sugiyama, M.; Garnett, R., Eds.; Curran Associates, Inc.: Red Hook, NY, USA; pp. 649-657.</w:t>
      </w:r>
    </w:p>
    <w:p>
      <w:pPr>
        <w:keepNext w:val="0"/>
        <w:keepLines w:val="0"/>
        <w:spacing w:before="0" w:after="40" w:line="240" w:lineRule="auto"/>
      </w:pPr>
      <w:r>
        <w:rPr>
          <w:rFonts w:ascii="Times New Roman" w:hAnsi="Times New Roman" w:eastAsia="Times New Roman"/>
          <w:sz w:val="18"/>
        </w:rPr>
        <w:t>Zhang, Z., Chen, M., Backes, M., Shen, Y., Zhang, Y., 2022. Inference Attacks against Graph Neural Networks. In: Proceedings of the 31st USENIX Security Symposium, Boston, MA, USA, 10-12 August 2022; USENIX Association: Berkeley, CA, USA; pp. 4543-4560.</w:t>
      </w:r>
    </w:p>
    <w:p>
      <w:pPr>
        <w:keepNext w:val="0"/>
        <w:keepLines w:val="0"/>
        <w:spacing w:before="0" w:after="40" w:line="240" w:lineRule="auto"/>
      </w:pPr>
      <w:r>
        <w:rPr>
          <w:rFonts w:ascii="Times New Roman" w:hAnsi="Times New Roman" w:eastAsia="Times New Roman"/>
          <w:sz w:val="18"/>
        </w:rPr>
        <w:t>Zhu, J., Lin, X., Qi, Y., Mao, Q., Li, J., Wu, J., 2026. Is There a Structural Privacy Risk in Graph Prompting with LLMs? In: Database Systems for Advanced Applications, Proceedings of DASFAA 2026; Jung, H.; Wang, T.; Toyoda, M.; Kwon, H.-Y.; Lee, J.-W., Eds.; Lecture Notes in Computer Science; Springer: Singapore; Volume 16539, pp. 527-543. https://doi.org/10.1007/978-981-92-0375-8_32.</w:t>
      </w:r>
    </w:p>
    <w:sectPr w:rsidR="00FC693F" w:rsidRPr="0006063C" w:rsidSect="00034616">
      <w:footerReference w:type="default" r:id="rId17"/>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2F5F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jc w:val="left"/>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TAFP-GraphRAG: JISA Manuscript Assembly Candidate V3</dc:title>
  <dc:subject>Journal of Information Security and Applications submission candidate</dc:subject>
  <dc:creator>Yılmaz Vural</dc:creator>
  <cp:keywords>GraphRAG; relation protection; graph privacy; auditable transformation</cp:keywords>
  <dc:description>JISA single-column assembly candidate V2; evidence-locked scientific content.</dc:description>
  <cp:lastModifiedBy/>
  <cp:revision>1</cp:revision>
  <dcterms:created xsi:type="dcterms:W3CDTF">2013-12-23T23:15:00Z</dcterms:created>
  <dcterms:modified xsi:type="dcterms:W3CDTF">2013-12-23T23:15:00Z</dcterms:modified>
  <cp:category/>
</cp:coreProperties>
</file>