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Highlights</w:t>
      </w:r>
    </w:p>
    <w:p>
      <w:pPr>
        <w:pStyle w:val="ListBullet"/>
      </w:pPr>
      <w:r>
        <w:t>Policy-guided protection selectively conceals sensitive graph relations.</w:t>
      </w:r>
    </w:p>
    <w:p>
      <w:pPr>
        <w:pStyle w:val="ListBullet"/>
      </w:pPr>
      <w:r>
        <w:t>Degree-preserving variants retain every node degree exactly.</w:t>
      </w:r>
    </w:p>
    <w:p>
      <w:pPr>
        <w:pStyle w:val="ListBullet"/>
      </w:pPr>
      <w:r>
        <w:t>Auditable transformations support reproducible GraphRAG privacy evaluation.</w:t>
      </w:r>
    </w:p>
    <w:p>
      <w:pPr>
        <w:pStyle w:val="ListBullet"/>
      </w:pPr>
      <w:r>
        <w:t>End-to-end tests reduce disclosure while retaining non-sensitive QA utility.</w:t>
      </w:r>
    </w:p>
    <w:p>
      <w:r>
        <w:t>Journal: Journal of Information Security and Applications</w:t>
      </w:r>
    </w:p>
    <w:p>
      <w:r>
        <w:t>Article: TAFP-GraphRAG: An Empirical Topology-Aware Framework for Protecting Sensitive Relations in Graph Retrieval-Augmented Generation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