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Highlights</w:t>
      </w:r>
    </w:p>
    <w:p>
      <w:pPr>
        <w:pStyle w:val="ListBullet"/>
      </w:pPr>
      <w:r>
        <w:t>Policy-guided transformation selectively conceals sensitive relations.</w:t>
      </w:r>
    </w:p>
    <w:p>
      <w:pPr>
        <w:pStyle w:val="ListBullet"/>
      </w:pPr>
      <w:r>
        <w:t>Designated variants preserve every node degree exactly.</w:t>
      </w:r>
    </w:p>
    <w:p>
      <w:pPr>
        <w:pStyle w:val="ListBullet"/>
      </w:pPr>
      <w:r>
        <w:t>Attack outcomes remain dataset- and attacker-dependent.</w:t>
      </w:r>
    </w:p>
    <w:p>
      <w:pPr>
        <w:pStyle w:val="ListBullet"/>
      </w:pPr>
      <w:r>
        <w:t>Downstream utility exceeds two sensitivity-blind controls.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TAFP-GraphRAG Highlights</dc:title>
  <dc:subject/>
  <dc:creator>Yılmaz Vural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