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TAFP-GraphRAG: Claim-to-Test Evidence Map</w:t>
      </w:r>
    </w:p>
    <w:p>
      <w:pPr>
        <w:jc w:val="both"/>
      </w:pPr>
      <w:r>
        <w:t>This supplementary index maps existing manuscript claims to already reported outcomes, comparators, inferential units, multiplicity controls, and evidence locations. It introduces no new result, statistical test, or interpretation.</w:t>
      </w:r>
    </w:p>
    <w:p>
      <w:pPr>
        <w:keepNext/>
        <w:spacing w:before="120" w:after="60"/>
      </w:pPr>
      <w:r>
        <w:rPr>
          <w:b/>
          <w:sz w:val="22"/>
        </w:rPr>
        <w:t>Claim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352"/>
      </w:tblGrid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Claim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Sensitivity guidance selectively conceals designated relation labels while retaining non-sensitive relation semantics.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Primary outcome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Original sensitive-label concealment; non-sensitive semantic retention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relation_only vs random_relation_budget; full vs random_full_budget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Experimental scope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5 datasets; 15 protection seeds; primary matrix; minority-prevalence stress test reported separately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Inferential unit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Paired protection-seed values within dataset and metric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Multiplicity correction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Holm within the two pre-specified matched-control comparisons for each dataset-metric family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Evidence location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Section 6.1; Table 2; Figure 4; Supplementary Tables S10 and S27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b/>
          <w:sz w:val="22"/>
        </w:rPr>
        <w:t>Claim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352"/>
      </w:tblGrid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Claim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Designated degree-preserving variants preserve every node degree exactly.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Primary outcome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Changed-degree-node count; degree-sequence L1 error; exact per-node degree-preservation indicator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Degree-preserving variants; random_edge_dropout as a non-degree-preserving reference; 2K for stronger structural constraint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Experimental scope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5 datasets; 15 protection seeds; 450 designated degree-preserving rows plus 2K control records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Inferential unit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Deterministic condition-level invariant audit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Multiplicity correction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Not applicable to the exact invariant; comparative structural outcomes use their protocol-specific families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Evidence location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Section 6.2; Table 2; Supplementary Tables S6 and S17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b/>
          <w:sz w:val="22"/>
        </w:rPr>
        <w:t>Claim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352"/>
      </w:tblGrid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Claim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Direct sensitive-label recovery can be eliminated while original-edge existence remains inferable.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Primary outcome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Original relation-label recovery; local structural AUC; hybrid edge-inference AUC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Baseline and evaluated transformation variants by sensitive/non-sensitive target group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Experimental scope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5 datasets; 15 protection seeds; 1,050 condition summaries; 210,000 candidate records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Inferential unit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Condition summaries over protection seeds; attack outcomes interpreted separately by feature set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Multiplicity correction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Descriptive fixed-edge outcomes in the main text; protocol-specific audit details in supplementary evidence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Evidence location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Section 6.3; Table 4; Figure 6A-B; fixed-edge supplementary records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20" w:after="60"/>
      </w:pPr>
      <w:r>
        <w:rPr>
          <w:b/>
          <w:sz w:val="22"/>
        </w:rPr>
        <w:t>Claim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352"/>
      </w:tblGrid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Claim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Structure-only and representation-based attack outcomes are dataset- and attacker-dependent.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Primary outcome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Macro-F1; balanced accuracy; accuracy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full vs baseline and matched controls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Experimental scope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PubMed and SynthPII; structure-only, spectral, and released-view GCN-GAE protocols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Inferential unit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Protection-seed summaries; spectral and GCN-GAE split results averaged or hierarchically resampled as specified in Section 5.6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Multiplicity correction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Structure-only comparator family; spectral global and metric-level Holm over 48 tests; GCN-GAE Holm over 36 comparisons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Evidence location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Sections 5.4, 5.6, and 6.3; Tables 5-6; Supplementary Tables S22-S23 and S28-S29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b/>
          <w:sz w:val="22"/>
        </w:rPr>
        <w:t>Claim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352"/>
      </w:tblGrid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Claim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The default protected marker does not conceal supplied-policy membership; coarse covers trade leakage for semantic retention.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Primary outcome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Policy-membership AUC; non-sensitive semantic retention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Default marker; omission; 10%, 25%, 50%, 75%, and 100% shared-cover settings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Experimental scope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5 datasets; 15 protection seeds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Inferential unit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Paired protection-seed values within metric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Multiplicity correction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Holm separately within each reported metric; exact sign-flip and bootstrap diagnostics as specified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Evidence location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Section 6.3; Supplementary Table S20; Discussion Section 7.5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b/>
          <w:sz w:val="22"/>
        </w:rPr>
        <w:t>Claim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352"/>
      </w:tblGrid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Claim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The transformation faithfully executes the supplied policy but does not correct policy errors.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Primary outcome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Supplied-policy and oracle-policy concealment/retention outcomes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Clean policy vs false-negative, false-positive, and symmetric error conditions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Experimental scope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5 datasets; 15 protection seeds; error rates 5%, 10%, and 20%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Inferential unit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Paired protection-seed values within metric and error family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Multiplicity correction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Holm separately within each reported metric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Evidence location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Section 6.3; Supplementary Table S21; Limitations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20" w:after="60"/>
      </w:pPr>
      <w:r>
        <w:rPr>
          <w:b/>
          <w:sz w:val="22"/>
        </w:rPr>
        <w:t>Claim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352"/>
      </w:tblGrid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Claim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Sensitivity guidance does not generally maximize structural overlap.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Primary outcome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Path-support retention; complete-path preservation; endpoint reachability; relevant-node and relevant-edge recall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full vs baseline, random_edge_dropout, and random_full_budget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Experimental scope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5 datasets; fixed retrieval paths and relevant-subgraph protocol; 15 protection seeds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Inferential unit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Paired protection-seed values within dataset and metric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Multiplicity correction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Holm across six full-versus-comparator tests within each dataset-metric family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Evidence location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Section 6.4; Tables 7-8; Supplementary Tables S8-S9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b/>
          <w:sz w:val="22"/>
        </w:rPr>
        <w:t>Claim 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8352"/>
      </w:tblGrid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Claim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Under predefined structured relation-sequence QA, TAFP retains non-sensitive answering utility while reducing sensitive-relation disclosure relative to sensitivity-blind controls.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Primary outcome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Non-sensitive relation-token F1; sensitive-relation disclosure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full vs baseline, random_full_budget, and 2K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Experimental scope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5 datasets; 718 fixed queries; 15 protection seeds; 4 graph conditions; 43,080 generations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Inferential unit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Query values aggregated within dataset/seed/task, then dataset-level values averaged within each protection seed; 15 matched seed means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Multiplicity correction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Holm within each scope-task-metric family across the three comparators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7E6E6"/>
          </w:tcPr>
          <w:p>
            <w:r>
              <w:rPr>
                <w:rFonts w:ascii="Times New Roman" w:hAnsi="Times New Roman"/>
                <w:b/>
                <w:sz w:val="15"/>
              </w:rPr>
              <w:t>Evidence location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Times New Roman" w:hAnsi="Times New Roman"/>
                <w:sz w:val="15"/>
              </w:rPr>
              <w:t>Sections 5.5, 5.6, and 6.5; Table 9; Figure 7; Supplementary Tables S24-S26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TAFP-GraphRAG Claim-to-Test Evidence Map</dc:title>
  <dc:subject>Supplementary evidence index</dc:subject>
  <dc:creator>Yılmaz Vural</dc:creator>
  <cp:keywords>TAFP-GraphRAG; JISA; claim-to-test; supplementary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