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Dear Editor,</w:t>
      </w:r>
    </w:p>
    <w:p>
      <w:pPr>
        <w:spacing w:after="80"/>
      </w:pPr>
    </w:p>
    <w:p>
      <w:pPr>
        <w:spacing w:after="120"/>
      </w:pPr>
      <w:r>
        <w:t>Please consider the manuscript entitled “TAFP-GraphRAG: An Auditable Framework for Sensitive-Relation Protection in Graph Retrieval-Augmented Generation” for publication in Expert Systems with Applications.</w:t>
      </w:r>
    </w:p>
    <w:p>
      <w:pPr>
        <w:spacing w:after="80"/>
      </w:pPr>
    </w:p>
    <w:p>
      <w:pPr>
        <w:spacing w:after="120"/>
      </w:pPr>
      <w:r>
        <w:t>The manuscript is not under consideration for publication elsewhere.</w:t>
      </w:r>
    </w:p>
    <w:p>
      <w:pPr>
        <w:spacing w:after="80"/>
      </w:pPr>
    </w:p>
    <w:p>
      <w:pPr>
        <w:spacing w:after="120"/>
      </w:pPr>
      <w:r>
        <w:t>This work presents Topology-Aware Fine-grained Protection for GraphRAG (TAFP-GraphRAG), an auditable pre-indexing framework for privacy-aware intelligent retrieval systems. The framework addresses a practical challenge in Graph Retrieval-Augmented Generation: relation labels and graph topology may reveal policy-restricted associations even when node identities are masked. TAFP-GraphRAG integrates policy-conditioned entity pseudonymization, sensitive-relation label concealment, constrained edge rewiring, exact per-node degree preservation in designated variants, and hash-traceable execution evidence.</w:t>
      </w:r>
    </w:p>
    <w:p>
      <w:pPr>
        <w:spacing w:after="80"/>
      </w:pPr>
    </w:p>
    <w:p>
      <w:pPr>
        <w:spacing w:after="120"/>
      </w:pPr>
      <w:r>
        <w:t>The study evaluates the framework across five dataset-derived graphs using attack-specific privacy-utility protocols, matched sensitivity-blind controls, structural retrieval metrics, and retrieval-grounded relation-question-answering outcomes. The results show that the full configuration concealed nearly all designated sensitive-relation labels while retaining substantial non-sensitive relation semantics. Under the predefined end-to-end relation-QA protocol, the method retained 93.8% of baseline non-sensitive relation-token F1 and reduced sensitive-relation disclosure by 92.2%. The manuscript also reports important limitations: attack outcomes were dataset- and attacker-dependent, matched random perturbation remained competitive in several settings, original-edge existence could remain inferable, and the default protected marker did not conceal policy membership.</w:t>
      </w:r>
    </w:p>
    <w:p>
      <w:pPr>
        <w:spacing w:after="80"/>
      </w:pPr>
    </w:p>
    <w:p>
      <w:pPr>
        <w:spacing w:after="120"/>
      </w:pPr>
      <w:r>
        <w:t>I believe the manuscript is suitable for Expert Systems with Applications because it contributes an applied intelligent-systems framework for privacy-aware graph-based retrieval, relation-level risk assessment, auditable transformation, and empirical privacy-utility evaluation. The work is positioned as a reproducible evaluation-driven method for intelligent retrieval systems, not as a formal privacy guarantee or a universal anonymization mechanism.</w:t>
      </w:r>
    </w:p>
    <w:p>
      <w:pPr>
        <w:spacing w:after="80"/>
      </w:pPr>
    </w:p>
    <w:p>
      <w:pPr>
        <w:spacing w:after="120"/>
      </w:pPr>
      <w:r>
        <w:t>The manuscript contains funding, competing-interest, ethics, data-availability, code-availability, and AI-use declarations. Supplementary tables, a supplementary caption file, and a claim-to-test evidence map accompany the submission package.</w:t>
      </w:r>
    </w:p>
    <w:p>
      <w:pPr>
        <w:spacing w:after="80"/>
      </w:pPr>
    </w:p>
    <w:p>
      <w:pPr>
        <w:spacing w:after="120"/>
      </w:pPr>
      <w:r>
        <w:t>Thank you for your consideration.</w:t>
      </w:r>
    </w:p>
    <w:p>
      <w:pPr>
        <w:spacing w:after="80"/>
      </w:pPr>
    </w:p>
    <w:p>
      <w:pPr>
        <w:spacing w:after="120"/>
      </w:pPr>
      <w:r>
        <w:t>Sincerely,</w:t>
      </w:r>
    </w:p>
    <w:p>
      <w:pPr>
        <w:spacing w:after="80"/>
      </w:pPr>
    </w:p>
    <w:p>
      <w:pPr>
        <w:spacing w:after="120"/>
      </w:pPr>
      <w:r>
        <w:t>Yılmaz Vural</w:t>
      </w:r>
    </w:p>
    <w:p>
      <w:pPr>
        <w:spacing w:after="120"/>
      </w:pPr>
      <w:r>
        <w:t>College of Technology and Engineering, Westcliff University</w:t>
      </w:r>
    </w:p>
    <w:p>
      <w:pPr>
        <w:spacing w:after="120"/>
      </w:pPr>
      <w:r>
        <w:t>17877 Von Karman Ave, Suite 400, Irvine, CA 92614, United States</w:t>
      </w:r>
    </w:p>
    <w:p>
      <w:pPr>
        <w:spacing w:after="120"/>
      </w:pPr>
      <w:r>
        <w:t>yilmazvural@westcliff.edu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