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Highlights</w:t>
      </w:r>
    </w:p>
    <w:p>
      <w:pPr>
        <w:spacing w:after="80"/>
      </w:pPr>
      <w:r>
        <w:t>• Auditable GraphRAG protection conceals selected sensitive relations.</w:t>
      </w:r>
    </w:p>
    <w:p>
      <w:pPr>
        <w:spacing w:after="80"/>
      </w:pPr>
      <w:r>
        <w:t>• Degree-preserving variants maintain exact per-node degrees.</w:t>
      </w:r>
    </w:p>
    <w:p>
      <w:pPr>
        <w:spacing w:after="80"/>
      </w:pPr>
      <w:r>
        <w:t>• Attack outcomes remain dataset- and attacker-dependent.</w:t>
      </w:r>
    </w:p>
    <w:p>
      <w:pPr>
        <w:spacing w:after="80"/>
      </w:pPr>
      <w:r>
        <w:t>• Relation-QA utility improves over sensitivity-blind controls.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