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Supplementary Material Captions</w:t>
      </w:r>
    </w:p>
    <w:p>
      <w:pPr>
        <w:spacing w:after="160"/>
      </w:pPr>
      <w:r>
        <w:t>Supplementary table package: Supplementary_Tables.zip, containing the canonical folder TAFP_Canonical_Supplementary_Tables_20260623. Tables S1-S18 and S20-S29 are included; S19 is intentionally absent.</w:t>
      </w:r>
    </w:p>
    <w:p>
      <w:pPr>
        <w:spacing w:after="80"/>
      </w:pPr>
      <w:r>
        <w:rPr>
          <w:b/>
        </w:rPr>
        <w:t xml:space="preserve">Table S1. </w:t>
      </w:r>
      <w:r>
        <w:t>Fixed-edge attack results across all evaluated groups.</w:t>
      </w:r>
    </w:p>
    <w:p>
      <w:pPr>
        <w:spacing w:after="80"/>
      </w:pPr>
      <w:r>
        <w:rPr>
          <w:b/>
        </w:rPr>
        <w:t xml:space="preserve">Table S2. </w:t>
      </w:r>
      <w:r>
        <w:t>Feature-ablation results for relation-inference attacks.</w:t>
      </w:r>
    </w:p>
    <w:p>
      <w:pPr>
        <w:spacing w:after="80"/>
      </w:pPr>
      <w:r>
        <w:rPr>
          <w:b/>
        </w:rPr>
        <w:t xml:space="preserve">Table S3. </w:t>
      </w:r>
      <w:r>
        <w:t>Split-level differences across evaluated attack settings.</w:t>
      </w:r>
    </w:p>
    <w:p>
      <w:pPr>
        <w:spacing w:after="80"/>
      </w:pPr>
      <w:r>
        <w:rPr>
          <w:b/>
        </w:rPr>
        <w:t xml:space="preserve">Table S4. </w:t>
      </w:r>
      <w:r>
        <w:t>Path-level retrieval results by hop scope.</w:t>
      </w:r>
    </w:p>
    <w:p>
      <w:pPr>
        <w:spacing w:after="80"/>
      </w:pPr>
      <w:r>
        <w:rPr>
          <w:b/>
        </w:rPr>
        <w:t xml:space="preserve">Table S5. </w:t>
      </w:r>
      <w:r>
        <w:t>Utility results across all transformation variants.</w:t>
      </w:r>
    </w:p>
    <w:p>
      <w:pPr>
        <w:spacing w:after="80"/>
      </w:pPr>
      <w:r>
        <w:rPr>
          <w:b/>
        </w:rPr>
        <w:t xml:space="preserve">Table S6. </w:t>
      </w:r>
      <w:r>
        <w:t>Seed-level runtime, integrity, and degree-preservation audit.</w:t>
      </w:r>
    </w:p>
    <w:p>
      <w:pPr>
        <w:spacing w:after="80"/>
      </w:pPr>
      <w:r>
        <w:rPr>
          <w:b/>
        </w:rPr>
        <w:t xml:space="preserve">Table S7. </w:t>
      </w:r>
      <w:r>
        <w:t>Transformation-audit summary across datasets and variants.</w:t>
      </w:r>
    </w:p>
    <w:p>
      <w:pPr>
        <w:spacing w:after="80"/>
      </w:pPr>
      <w:r>
        <w:rPr>
          <w:b/>
        </w:rPr>
        <w:t xml:space="preserve">Table S8. </w:t>
      </w:r>
      <w:r>
        <w:t>Paired statistical tests for path-level utility outcomes.</w:t>
      </w:r>
    </w:p>
    <w:p>
      <w:pPr>
        <w:spacing w:after="80"/>
      </w:pPr>
      <w:r>
        <w:rPr>
          <w:b/>
        </w:rPr>
        <w:t xml:space="preserve">Table S9. </w:t>
      </w:r>
      <w:r>
        <w:t>Paired statistical tests for subgraph-level utility outcomes.</w:t>
      </w:r>
    </w:p>
    <w:p>
      <w:pPr>
        <w:spacing w:after="80"/>
      </w:pPr>
      <w:r>
        <w:rPr>
          <w:b/>
        </w:rPr>
        <w:t xml:space="preserve">Table S10. </w:t>
      </w:r>
      <w:r>
        <w:t>Paired tests for semantic selectivity and matched-budget controls.</w:t>
      </w:r>
    </w:p>
    <w:p>
      <w:pPr>
        <w:spacing w:after="80"/>
      </w:pPr>
      <w:r>
        <w:rPr>
          <w:b/>
        </w:rPr>
        <w:t xml:space="preserve">Table S11. </w:t>
      </w:r>
      <w:r>
        <w:t>Sensitive-relation schema, edge counts, and dataset prevalence.</w:t>
      </w:r>
    </w:p>
    <w:p>
      <w:pPr>
        <w:spacing w:after="80"/>
      </w:pPr>
      <w:r>
        <w:rPr>
          <w:b/>
        </w:rPr>
        <w:t xml:space="preserve">Table S12. </w:t>
      </w:r>
      <w:r>
        <w:t>Paired tests for generation-based relation outcomes.</w:t>
      </w:r>
    </w:p>
    <w:p>
      <w:pPr>
        <w:spacing w:after="80"/>
      </w:pPr>
      <w:r>
        <w:rPr>
          <w:b/>
        </w:rPr>
        <w:t xml:space="preserve">Table S13. </w:t>
      </w:r>
      <w:r>
        <w:t>Global graph-fidelity summary across transformation variants.</w:t>
      </w:r>
    </w:p>
    <w:p>
      <w:pPr>
        <w:spacing w:after="80"/>
      </w:pPr>
      <w:r>
        <w:rPr>
          <w:b/>
        </w:rPr>
        <w:t xml:space="preserve">Table S14. </w:t>
      </w:r>
      <w:r>
        <w:t>Paired tests for global graph-fidelity outcomes.</w:t>
      </w:r>
    </w:p>
    <w:p>
      <w:pPr>
        <w:spacing w:after="80"/>
      </w:pPr>
      <w:r>
        <w:rPr>
          <w:b/>
        </w:rPr>
        <w:t xml:space="preserve">Table S15. </w:t>
      </w:r>
      <w:r>
        <w:t>Hyperparameter-sensitivity summary.</w:t>
      </w:r>
    </w:p>
    <w:p>
      <w:pPr>
        <w:spacing w:after="80"/>
      </w:pPr>
      <w:r>
        <w:rPr>
          <w:b/>
        </w:rPr>
        <w:t xml:space="preserve">Table S16. </w:t>
      </w:r>
      <w:r>
        <w:t>Paired tests for hyperparameter-sensitivity outcomes.</w:t>
      </w:r>
    </w:p>
    <w:p>
      <w:pPr>
        <w:spacing w:after="80"/>
      </w:pPr>
      <w:r>
        <w:rPr>
          <w:b/>
        </w:rPr>
        <w:t xml:space="preserve">Table S17. </w:t>
      </w:r>
      <w:r>
        <w:t>Sensitivity-blind 2K baseline summary.</w:t>
      </w:r>
    </w:p>
    <w:p>
      <w:pPr>
        <w:spacing w:after="80"/>
      </w:pPr>
      <w:r>
        <w:rPr>
          <w:b/>
        </w:rPr>
        <w:t xml:space="preserve">Table S18. </w:t>
      </w:r>
      <w:r>
        <w:t>Paired tests for the sensitivity-blind 2K baseline.</w:t>
      </w:r>
    </w:p>
    <w:p>
      <w:pPr>
        <w:spacing w:after="80"/>
      </w:pPr>
      <w:r>
        <w:rPr>
          <w:b/>
        </w:rPr>
        <w:t xml:space="preserve">Table S20. </w:t>
      </w:r>
      <w:r>
        <w:t>Sensitivity-flag leakage summary and paired tests.</w:t>
      </w:r>
    </w:p>
    <w:p>
      <w:pPr>
        <w:spacing w:after="80"/>
      </w:pPr>
      <w:r>
        <w:rPr>
          <w:b/>
        </w:rPr>
        <w:t xml:space="preserve">Table S21. </w:t>
      </w:r>
      <w:r>
        <w:t>Policy-misclassification robustness summary and paired tests.</w:t>
      </w:r>
    </w:p>
    <w:p>
      <w:pPr>
        <w:spacing w:after="80"/>
      </w:pPr>
      <w:r>
        <w:rPr>
          <w:b/>
        </w:rPr>
        <w:t xml:space="preserve">Table S22. </w:t>
      </w:r>
      <w:r>
        <w:t>Spectral embedding-based relation-inference attack summary.</w:t>
      </w:r>
    </w:p>
    <w:p>
      <w:pPr>
        <w:spacing w:after="80"/>
      </w:pPr>
      <w:r>
        <w:rPr>
          <w:b/>
        </w:rPr>
        <w:t xml:space="preserve">Table S23. </w:t>
      </w:r>
      <w:r>
        <w:t>Paired tests for spectral embedding-based attacks.</w:t>
      </w:r>
    </w:p>
    <w:p>
      <w:pPr>
        <w:spacing w:after="80"/>
      </w:pPr>
      <w:r>
        <w:rPr>
          <w:b/>
        </w:rPr>
        <w:t xml:space="preserve">Table S24. </w:t>
      </w:r>
      <w:r>
        <w:t>Dataset-level end-to-end relation-question-answering results.</w:t>
      </w:r>
    </w:p>
    <w:p>
      <w:pPr>
        <w:spacing w:after="80"/>
      </w:pPr>
      <w:r>
        <w:rPr>
          <w:b/>
        </w:rPr>
        <w:t xml:space="preserve">Table S25. </w:t>
      </w:r>
      <w:r>
        <w:t>Paired seed-level end-to-end relation-QA comparisons.</w:t>
      </w:r>
    </w:p>
    <w:p>
      <w:pPr>
        <w:spacing w:after="80"/>
      </w:pPr>
      <w:r>
        <w:rPr>
          <w:b/>
        </w:rPr>
        <w:t xml:space="preserve">Table S26. </w:t>
      </w:r>
      <w:r>
        <w:t>End-to-end relation-QA execution and parse-failure audit.</w:t>
      </w:r>
    </w:p>
    <w:p>
      <w:pPr>
        <w:spacing w:after="80"/>
      </w:pPr>
      <w:r>
        <w:rPr>
          <w:b/>
        </w:rPr>
        <w:t xml:space="preserve">Table S27. </w:t>
      </w:r>
      <w:r>
        <w:t>Minority-sensitive policy ablation across prevalence levels.</w:t>
      </w:r>
    </w:p>
    <w:p>
      <w:pPr>
        <w:spacing w:after="80"/>
      </w:pPr>
      <w:r>
        <w:rPr>
          <w:b/>
        </w:rPr>
        <w:t xml:space="preserve">Table S28. </w:t>
      </w:r>
      <w:r>
        <w:t>Released-view GCN-GAE relation-inference attack summary.</w:t>
      </w:r>
    </w:p>
    <w:p>
      <w:pPr>
        <w:spacing w:after="80"/>
      </w:pPr>
      <w:r>
        <w:rPr>
          <w:b/>
        </w:rPr>
        <w:t xml:space="preserve">Table S29. </w:t>
      </w:r>
      <w:r>
        <w:t>Paired tests for released-view GCN-GAE attacks.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