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0" w:line="240" w:lineRule="auto"/>
        <w:ind w:firstLine="0"/>
        <w:jc w:val="center"/>
      </w:pPr>
    </w:p>
    <w:p>
      <w:pPr>
        <w:spacing w:before="200" w:after="80" w:line="240" w:lineRule="auto"/>
        <w:ind w:firstLine="0"/>
        <w:jc w:val="center"/>
      </w:pPr>
      <w:r>
        <w:rPr>
          <w:rFonts w:ascii="Times New Roman" w:hAnsi="Times New Roman" w:eastAsia="Noto Serif CJK SC" w:cs="Times New Roman"/>
          <w:b/>
          <w:sz w:val="52"/>
          <w:spacing w:val="120"/>
        </w:rPr>
        <w:t>技术报告</w:t>
      </w:r>
    </w:p>
    <w:p>
      <w:pPr>
        <w:spacing w:before="80" w:after="240" w:line="240" w:lineRule="auto"/>
        <w:ind w:firstLine="480"/>
        <w:jc w:val="center"/>
      </w:pPr>
      <w:r>
        <w:rPr>
          <w:rFonts w:ascii="Times New Roman" w:hAnsi="Times New Roman" w:eastAsia="Noto Serif CJK SC" w:cs="Times New Roman"/>
          <w:b w:val="0"/>
          <w:sz w:val="32"/>
          <w:spacing w:val="40"/>
        </w:rPr>
        <w:t>（赛题名称：智能体互联）</w:t>
      </w:r>
    </w:p>
    <w:p>
      <w:pPr>
        <w:spacing w:before="200" w:after="80" w:line="240" w:lineRule="auto"/>
        <w:ind w:firstLine="0"/>
        <w:jc w:val="center"/>
      </w:pPr>
      <w:r>
        <w:rPr>
          <w:rFonts w:ascii="Times New Roman" w:hAnsi="Times New Roman" w:eastAsia="Noto Serif CJK SC" w:cs="Times New Roman"/>
          <w:b w:val="0"/>
          <w:sz w:val="30"/>
          <w:spacing w:val="20"/>
        </w:rPr>
        <w:t>算法主题赛</w:t>
      </w:r>
    </w:p>
    <w:p>
      <w:pPr>
        <w:spacing w:before="0" w:after="80" w:line="240" w:lineRule="auto"/>
        <w:ind w:firstLine="480"/>
        <w:jc w:val="center"/>
      </w:pPr>
      <w:r>
        <w:rPr>
          <w:rFonts w:ascii="Times New Roman" w:hAnsi="Times New Roman" w:eastAsia="Noto Serif CJK SC" w:cs="Times New Roman"/>
          <w:b w:val="0"/>
          <w:sz w:val="30"/>
          <w:spacing w:val="20"/>
        </w:rPr>
        <w:t>全球校园人工智能算法精英大赛</w:t>
      </w:r>
    </w:p>
    <w:p>
      <w:pPr>
        <w:spacing w:before="0" w:after="80" w:line="240" w:lineRule="auto"/>
        <w:ind w:firstLine="480"/>
        <w:jc w:val="center"/>
      </w:pPr>
      <w:r>
        <w:rPr>
          <w:rFonts w:ascii="Times New Roman" w:hAnsi="Times New Roman" w:eastAsia="Noto Serif CJK SC" w:cs="Times New Roman"/>
          <w:b w:val="0"/>
          <w:sz w:val="30"/>
          <w:spacing w:val="20"/>
        </w:rPr>
        <w:t>2026 年第八届</w:t>
      </w:r>
    </w:p>
    <w:p>
      <w:pPr>
        <w:spacing w:before="200" w:after="520" w:line="240" w:lineRule="auto"/>
        <w:ind w:firstLine="0"/>
        <w:jc w:val="center"/>
        <w:pBdr>
          <w:bottom w:val="single" w:sz="10" w:space="1" w:color="000000"/>
        </w:pBdr>
        <w:keepNext/>
        <w:keepLines/>
      </w:pPr>
    </w:p>
    <w:p>
      <w:pPr>
        <w:spacing w:before="160" w:after="160" w:line="240" w:lineRule="auto"/>
        <w:ind w:firstLine="480"/>
        <w:jc w:val="center"/>
      </w:pPr>
      <w:r>
        <w:rPr>
          <w:rFonts w:ascii="Times New Roman" w:hAnsi="Times New Roman" w:eastAsia="Noto Serif CJK SC" w:cs="Times New Roman"/>
          <w:b/>
          <w:sz w:val="28"/>
        </w:rPr>
        <w:t>团队名称：</w:t>
      </w:r>
      <w:r>
        <w:rPr>
          <w:rFonts w:ascii="Times New Roman" w:hAnsi="Times New Roman" w:eastAsia="Noto Serif CJK SC" w:cs="Times New Roman"/>
          <w:b w:val="0"/>
          <w:sz w:val="28"/>
        </w:rPr>
        <w:t>＿＿＿＿＿＿</w:t>
      </w:r>
    </w:p>
    <w:p>
      <w:pPr>
        <w:spacing w:before="160" w:after="160" w:line="240" w:lineRule="auto"/>
        <w:ind w:firstLine="480"/>
        <w:jc w:val="center"/>
      </w:pPr>
      <w:r>
        <w:rPr>
          <w:rFonts w:ascii="Times New Roman" w:hAnsi="Times New Roman" w:eastAsia="Noto Serif CJK SC" w:cs="Times New Roman"/>
          <w:b/>
          <w:sz w:val="28"/>
        </w:rPr>
        <w:t>参赛编号：</w:t>
      </w:r>
      <w:r>
        <w:rPr>
          <w:rFonts w:ascii="Times New Roman" w:hAnsi="Times New Roman" w:eastAsia="Noto Serif CJK SC" w:cs="Times New Roman"/>
          <w:b w:val="0"/>
          <w:sz w:val="28"/>
        </w:rPr>
        <w:t>AIC-2026-＿＿＿＿</w:t>
      </w:r>
    </w:p>
    <w:p>
      <w:pPr>
        <w:spacing w:before="160" w:after="160" w:line="240" w:lineRule="auto"/>
        <w:ind w:firstLine="480"/>
        <w:jc w:val="center"/>
      </w:pPr>
      <w:r>
        <w:rPr>
          <w:rFonts w:ascii="Times New Roman" w:hAnsi="Times New Roman" w:eastAsia="Noto Serif CJK SC" w:cs="Times New Roman"/>
          <w:b/>
          <w:sz w:val="28"/>
        </w:rPr>
        <w:t>作品名称：</w:t>
      </w:r>
      <w:r>
        <w:rPr>
          <w:rFonts w:ascii="Times New Roman" w:hAnsi="Times New Roman" w:eastAsia="Noto Serif CJK SC" w:cs="Times New Roman"/>
          <w:b w:val="0"/>
          <w:sz w:val="28"/>
        </w:rPr>
        <w:t>智枢 CampusHub</w:t>
      </w:r>
    </w:p>
    <w:p>
      <w:pPr>
        <w:spacing w:before="160" w:after="160" w:line="240" w:lineRule="auto"/>
        <w:ind w:firstLine="480"/>
        <w:jc w:val="center"/>
      </w:pPr>
      <w:r>
        <w:rPr>
          <w:rFonts w:ascii="Times New Roman" w:hAnsi="Times New Roman" w:eastAsia="Noto Serif CJK SC" w:cs="Times New Roman"/>
          <w:b/>
          <w:sz w:val="28"/>
        </w:rPr>
        <w:t>日期：</w:t>
      </w:r>
      <w:r>
        <w:rPr>
          <w:rFonts w:ascii="Times New Roman" w:hAnsi="Times New Roman" w:eastAsia="Noto Serif CJK SC" w:cs="Times New Roman"/>
          <w:b w:val="0"/>
          <w:sz w:val="28"/>
        </w:rPr>
        <w:t>＿＿＿＿年＿＿月＿＿日</w:t>
      </w:r>
    </w:p>
    <w:p>
      <w:pPr>
        <w:spacing w:before="520" w:after="200" w:line="240" w:lineRule="auto"/>
        <w:ind w:firstLine="0"/>
        <w:jc w:val="center"/>
        <w:pBdr>
          <w:bottom w:val="single" w:sz="10" w:space="1" w:color="000000"/>
        </w:pBdr>
        <w:keepNext/>
        <w:keepLines/>
      </w:pPr>
    </w:p>
    <w:p>
      <w:pPr>
        <w:spacing w:before="520" w:after="0" w:line="240" w:lineRule="auto"/>
        <w:ind w:firstLine="0"/>
        <w:jc w:val="center"/>
      </w:pPr>
    </w:p>
    <w:p>
      <w:pPr>
        <w:ind w:firstLine="0"/>
        <w:sectPr>
          <w:type w:val="nextPage"/>
          <w:pgSz w:w="11906" w:h="16838"/>
          <w:pgMar w:top="1417" w:right="1701" w:bottom="1417" w:left="1701" w:header="720" w:footer="720" w:gutter="0"/>
          <w:cols w:space="720"/>
          <w:docGrid w:linePitch="360"/>
        </w:sectPr>
      </w:pPr>
      <w:r/>
    </w:p>
    <w:p>
      <w:pPr>
        <w:tabs>
          <w:tab w:pos="8505" w:val="right" w:leader="dot"/>
        </w:tabs>
        <w:spacing w:before="60" w:after="20" w:line="240" w:lineRule="auto"/>
        <w:ind w:left="0" w:firstLine="0" w:right="0"/>
      </w:pPr>
      <w:r>
        <w:rPr>
          <w:rFonts w:eastAsia="Noto Serif CJK SC" w:ascii="Times New Roman" w:hAnsi="Times New Roman" w:cs="Times New Roman"/>
          <w:b/>
          <w:sz w:val="22"/>
        </w:rPr>
        <w:t>作品简介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1</w:t>
      </w:r>
    </w:p>
    <w:p>
      <w:pPr>
        <w:tabs>
          <w:tab w:pos="8505" w:val="right" w:leader="dot"/>
        </w:tabs>
        <w:spacing w:before="60" w:after="20" w:line="240" w:lineRule="auto"/>
        <w:ind w:left="0" w:firstLine="0" w:right="0"/>
      </w:pPr>
      <w:r>
        <w:rPr>
          <w:rFonts w:eastAsia="Noto Serif CJK SC" w:ascii="Times New Roman" w:hAnsi="Times New Roman" w:cs="Times New Roman"/>
          <w:b/>
          <w:sz w:val="22"/>
        </w:rPr>
        <w:t>一、项目概述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1</w:t>
      </w:r>
    </w:p>
    <w:p>
      <w:pPr>
        <w:tabs>
          <w:tab w:pos="8145" w:val="right" w:leader="dot"/>
        </w:tabs>
        <w:spacing w:before="20" w:after="20" w:line="240" w:lineRule="auto"/>
        <w:ind w:left="36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（一）项目背景与意义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1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1. 智能体互联行业现状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1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2. 三大核心痛点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1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3. 梧桐平台验证场景的必要性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</w:t>
      </w:r>
    </w:p>
    <w:p>
      <w:pPr>
        <w:tabs>
          <w:tab w:pos="8145" w:val="right" w:leader="dot"/>
        </w:tabs>
        <w:spacing w:before="20" w:after="20" w:line="240" w:lineRule="auto"/>
        <w:ind w:left="36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（二）赛题方向定位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</w:t>
      </w:r>
    </w:p>
    <w:p>
      <w:pPr>
        <w:tabs>
          <w:tab w:pos="8145" w:val="right" w:leader="dot"/>
        </w:tabs>
        <w:spacing w:before="20" w:after="20" w:line="240" w:lineRule="auto"/>
        <w:ind w:left="36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（三）系统架构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</w:t>
      </w:r>
    </w:p>
    <w:p>
      <w:pPr>
        <w:tabs>
          <w:tab w:pos="8505" w:val="right" w:leader="dot"/>
        </w:tabs>
        <w:spacing w:before="60" w:after="20" w:line="240" w:lineRule="auto"/>
        <w:ind w:left="0" w:firstLine="0" w:right="0"/>
      </w:pPr>
      <w:r>
        <w:rPr>
          <w:rFonts w:eastAsia="Noto Serif CJK SC" w:ascii="Times New Roman" w:hAnsi="Times New Roman" w:cs="Times New Roman"/>
          <w:b/>
          <w:sz w:val="22"/>
        </w:rPr>
        <w:t>二、需求分析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3</w:t>
      </w:r>
    </w:p>
    <w:p>
      <w:pPr>
        <w:tabs>
          <w:tab w:pos="8145" w:val="right" w:leader="dot"/>
        </w:tabs>
        <w:spacing w:before="20" w:after="20" w:line="240" w:lineRule="auto"/>
        <w:ind w:left="36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（一）行业痛点剖析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3</w:t>
      </w:r>
    </w:p>
    <w:p>
      <w:pPr>
        <w:tabs>
          <w:tab w:pos="8145" w:val="right" w:leader="dot"/>
        </w:tabs>
        <w:spacing w:before="20" w:after="20" w:line="240" w:lineRule="auto"/>
        <w:ind w:left="36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（二）场景与功能需求调研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4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1. 目标场景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4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2. 需求指标体系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5</w:t>
      </w:r>
    </w:p>
    <w:p>
      <w:pPr>
        <w:tabs>
          <w:tab w:pos="8505" w:val="right" w:leader="dot"/>
        </w:tabs>
        <w:spacing w:before="60" w:after="20" w:line="240" w:lineRule="auto"/>
        <w:ind w:left="0" w:firstLine="0" w:right="0"/>
      </w:pPr>
      <w:r>
        <w:rPr>
          <w:rFonts w:eastAsia="Noto Serif CJK SC" w:ascii="Times New Roman" w:hAnsi="Times New Roman" w:cs="Times New Roman"/>
          <w:b/>
          <w:sz w:val="22"/>
        </w:rPr>
        <w:t>三、智能体互联技术选型与方案设计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5</w:t>
      </w:r>
    </w:p>
    <w:p>
      <w:pPr>
        <w:tabs>
          <w:tab w:pos="8145" w:val="right" w:leader="dot"/>
        </w:tabs>
        <w:spacing w:before="20" w:after="20" w:line="240" w:lineRule="auto"/>
        <w:ind w:left="36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（一）基础开发资源选型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5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1. ACPs-community 选型理由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5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2. 开发环境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6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3. AIP 国标遵循思路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6</w:t>
      </w:r>
    </w:p>
    <w:p>
      <w:pPr>
        <w:tabs>
          <w:tab w:pos="8145" w:val="right" w:leader="dot"/>
        </w:tabs>
        <w:spacing w:before="20" w:after="20" w:line="240" w:lineRule="auto"/>
        <w:ind w:left="36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（二）核心技术方案设计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6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1. 整体架构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6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2. 关键技术选型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6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3. 原生复用 vs 自主创新对照表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8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4. AIP 注册—发现—互联时序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8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5. 异构协议翻译流程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9</w:t>
      </w:r>
    </w:p>
    <w:p>
      <w:pPr>
        <w:tabs>
          <w:tab w:pos="8505" w:val="right" w:leader="dot"/>
        </w:tabs>
        <w:spacing w:before="60" w:after="20" w:line="240" w:lineRule="auto"/>
        <w:ind w:left="0" w:firstLine="0" w:right="0"/>
      </w:pPr>
      <w:r>
        <w:rPr>
          <w:rFonts w:eastAsia="Noto Serif CJK SC" w:ascii="Times New Roman" w:hAnsi="Times New Roman" w:cs="Times New Roman"/>
          <w:b/>
          <w:sz w:val="22"/>
        </w:rPr>
        <w:t>四、项目实施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10</w:t>
      </w:r>
    </w:p>
    <w:p>
      <w:pPr>
        <w:tabs>
          <w:tab w:pos="8145" w:val="right" w:leader="dot"/>
        </w:tabs>
        <w:spacing w:before="20" w:after="20" w:line="240" w:lineRule="auto"/>
        <w:ind w:left="36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（一）整体实施方案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10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1. 开发五阶段流程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10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2. 软硬件资源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11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3. 团队分工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11</w:t>
      </w:r>
    </w:p>
    <w:p>
      <w:pPr>
        <w:tabs>
          <w:tab w:pos="8145" w:val="right" w:leader="dot"/>
        </w:tabs>
        <w:spacing w:before="20" w:after="20" w:line="240" w:lineRule="auto"/>
        <w:ind w:left="36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（二）关键技术落地实现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12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1. 开源代码二次开发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12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2. 异构网关实现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13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3. DAG 调度引擎实现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14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4. 安全管控实现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16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5. 梧桐平台接入实现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17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6. 兼容性问题与优化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18</w:t>
      </w:r>
    </w:p>
    <w:p>
      <w:pPr>
        <w:tabs>
          <w:tab w:pos="8505" w:val="right" w:leader="dot"/>
        </w:tabs>
        <w:spacing w:before="60" w:after="20" w:line="240" w:lineRule="auto"/>
        <w:ind w:left="0" w:firstLine="0" w:right="0"/>
      </w:pPr>
      <w:r>
        <w:rPr>
          <w:rFonts w:eastAsia="Noto Serif CJK SC" w:ascii="Times New Roman" w:hAnsi="Times New Roman" w:cs="Times New Roman"/>
          <w:b/>
          <w:sz w:val="22"/>
        </w:rPr>
        <w:t>五、应用成效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19</w:t>
      </w:r>
    </w:p>
    <w:p>
      <w:pPr>
        <w:tabs>
          <w:tab w:pos="8145" w:val="right" w:leader="dot"/>
        </w:tabs>
        <w:spacing w:before="20" w:after="20" w:line="240" w:lineRule="auto"/>
        <w:ind w:left="36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（一）功能成果展示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19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1. 十大 API 接口功能验证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19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2. 演示智能体能力展示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20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3. 真实 DAG 协同任务执行记录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20</w:t>
      </w:r>
    </w:p>
    <w:p>
      <w:pPr>
        <w:tabs>
          <w:tab w:pos="8145" w:val="right" w:leader="dot"/>
        </w:tabs>
        <w:spacing w:before="20" w:after="20" w:line="240" w:lineRule="auto"/>
        <w:ind w:left="36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（二）量化成效分析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22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1. 实测数据汇总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22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2. 三维度社会效益分析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22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3. 梧桐平台累计访问次数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23</w:t>
      </w:r>
    </w:p>
    <w:p>
      <w:pPr>
        <w:tabs>
          <w:tab w:pos="8145" w:val="right" w:leader="dot"/>
        </w:tabs>
        <w:spacing w:before="20" w:after="20" w:line="240" w:lineRule="auto"/>
        <w:ind w:left="36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（三）必要验证场景完成情况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23</w:t>
      </w:r>
    </w:p>
    <w:p>
      <w:pPr>
        <w:tabs>
          <w:tab w:pos="8145" w:val="right" w:leader="dot"/>
        </w:tabs>
        <w:spacing w:before="20" w:after="20" w:line="240" w:lineRule="auto"/>
        <w:ind w:left="36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（四）开放开源贡献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23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开源计划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23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AIP 社区互动计划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24</w:t>
      </w:r>
    </w:p>
    <w:p>
      <w:pPr>
        <w:tabs>
          <w:tab w:pos="8505" w:val="right" w:leader="dot"/>
        </w:tabs>
        <w:spacing w:before="60" w:after="20" w:line="240" w:lineRule="auto"/>
        <w:ind w:left="0" w:firstLine="0" w:right="0"/>
      </w:pPr>
      <w:r>
        <w:rPr>
          <w:rFonts w:eastAsia="Noto Serif CJK SC" w:ascii="Times New Roman" w:hAnsi="Times New Roman" w:cs="Times New Roman"/>
          <w:b/>
          <w:sz w:val="22"/>
        </w:rPr>
        <w:t>六、总结与展望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24</w:t>
      </w:r>
    </w:p>
    <w:p>
      <w:pPr>
        <w:tabs>
          <w:tab w:pos="8145" w:val="right" w:leader="dot"/>
        </w:tabs>
        <w:spacing w:before="20" w:after="20" w:line="240" w:lineRule="auto"/>
        <w:ind w:left="36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（一）经验总结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24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成功经验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24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不足之处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24</w:t>
      </w:r>
    </w:p>
    <w:p>
      <w:pPr>
        <w:tabs>
          <w:tab w:pos="8145" w:val="right" w:leader="dot"/>
        </w:tabs>
        <w:spacing w:before="20" w:after="20" w:line="240" w:lineRule="auto"/>
        <w:ind w:left="36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（二）未来规划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25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短期规划（1-3 个月）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25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中期规划（3-12 个月）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25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长期规划（1-3 年）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25</w:t>
      </w:r>
    </w:p>
    <w:p>
      <w:pPr>
        <w:tabs>
          <w:tab w:pos="8505" w:val="right" w:leader="dot"/>
        </w:tabs>
        <w:spacing w:before="60" w:after="20" w:line="240" w:lineRule="auto"/>
        <w:ind w:left="0" w:firstLine="0" w:right="0"/>
      </w:pPr>
      <w:r>
        <w:rPr>
          <w:rFonts w:eastAsia="Noto Serif CJK SC" w:ascii="Times New Roman" w:hAnsi="Times New Roman" w:cs="Times New Roman"/>
          <w:b/>
          <w:sz w:val="22"/>
        </w:rPr>
        <w:t>七、附录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26</w:t>
      </w:r>
    </w:p>
    <w:p>
      <w:pPr>
        <w:tabs>
          <w:tab w:pos="8145" w:val="right" w:leader="dot"/>
        </w:tabs>
        <w:spacing w:before="20" w:after="20" w:line="240" w:lineRule="auto"/>
        <w:ind w:left="36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（一）测试数据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26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1. pytest 分文件用例统计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26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2. 测试结论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26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3. 性能数据复述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26</w:t>
      </w:r>
    </w:p>
    <w:p>
      <w:pPr>
        <w:tabs>
          <w:tab w:pos="8145" w:val="right" w:leader="dot"/>
        </w:tabs>
        <w:spacing w:before="20" w:after="20" w:line="240" w:lineRule="auto"/>
        <w:ind w:left="36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（二）完整工程源码说明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27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1. 目录结构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27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2. 注释规范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29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3. 一键部署三步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29</w:t>
      </w:r>
    </w:p>
    <w:p>
      <w:pPr>
        <w:tabs>
          <w:tab w:pos="7785" w:val="right" w:leader="dot"/>
        </w:tabs>
        <w:spacing w:before="20" w:after="20" w:line="240" w:lineRule="auto"/>
        <w:ind w:left="72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4. deploy.sh 说明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29</w:t>
      </w:r>
    </w:p>
    <w:p>
      <w:pPr>
        <w:tabs>
          <w:tab w:pos="8145" w:val="right" w:leader="dot"/>
        </w:tabs>
        <w:spacing w:before="20" w:after="20" w:line="240" w:lineRule="auto"/>
        <w:ind w:left="36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（三）参考文献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29</w:t>
      </w:r>
    </w:p>
    <w:p>
      <w:pPr>
        <w:tabs>
          <w:tab w:pos="8145" w:val="right" w:leader="dot"/>
        </w:tabs>
        <w:spacing w:before="20" w:after="20" w:line="240" w:lineRule="auto"/>
        <w:ind w:left="36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（四）佐证材料清单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30</w:t>
      </w:r>
    </w:p>
    <w:p>
      <w:pPr>
        <w:tabs>
          <w:tab w:pos="8145" w:val="right" w:leader="dot"/>
        </w:tabs>
        <w:spacing w:before="20" w:after="20" w:line="240" w:lineRule="auto"/>
        <w:ind w:left="360" w:firstLine="0" w:right="0"/>
      </w:pPr>
      <w:r>
        <w:rPr>
          <w:rFonts w:eastAsia="Noto Serif CJK SC" w:ascii="Times New Roman" w:hAnsi="Times New Roman" w:cs="Times New Roman"/>
          <w:b w:val="0"/>
          <w:sz w:val="22"/>
        </w:rPr>
        <w:t>（五）开源贡献材料</w:t>
      </w:r>
      <w:r>
        <w:rPr>
          <w:rFonts w:eastAsia="Noto Serif CJK SC" w:ascii="Times New Roman" w:hAnsi="Times New Roman" w:cs="Times New Roman"/>
          <w:b w:val="0"/>
          <w:sz w:val="22"/>
        </w:rPr>
        <w:tab/>
      </w:r>
      <w:r>
        <w:rPr>
          <w:rFonts w:eastAsia="Noto Serif CJK SC" w:ascii="Times New Roman" w:hAnsi="Times New Roman" w:cs="Times New Roman"/>
          <w:b w:val="0"/>
          <w:sz w:val="22"/>
        </w:rPr>
        <w:t>30</w:t>
      </w:r>
    </w:p>
    <w:p>
      <w:pPr>
        <w:ind w:firstLine="0"/>
        <w:sectPr>
          <w:type w:val="nextPage"/>
          <w:pgSz w:w="11906" w:h="16838"/>
          <w:pgMar w:top="1417" w:right="1701" w:bottom="1417" w:left="1701" w:header="720" w:footer="720" w:gutter="0"/>
          <w:cols w:space="720"/>
          <w:docGrid w:linePitch="360"/>
        </w:sectPr>
      </w:pPr>
      <w:r/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校园智能体生态中，MCP、OpenAPI、自定义 HTTP 等异构协议割裂，智能体间无法互通；多智能体协同缺乏 DAG 调度与容错机制；2026 年《人工智能 智能体互联》系列国标发布后，标准落地实践人才紧缺。本作品基于 AIP 国标 ACPs-community 参考实现深度二次开发，构建异构协议翻译网关、DAG 协同调度引擎（拓扑排序+分层并行+熔断保护）与安全管控闭环（Token 鉴权+敏感词过滤+审计日志），提供 10 个 RESTful API 与 4 个校园演示智能体。143 项测试全绿，3393 行源码，Docker 一键部署。本地全链路冒烟验证通过（17/17），生产环境待测，梧桐平台对接待审核。</w:t>
      </w:r>
    </w:p>
    <w:p>
      <w:pPr>
        <w:pStyle w:val="Heading2"/>
        <w:keepNext/>
      </w:pPr>
      <w:r>
        <w:t>一、项目概述</w:t>
      </w:r>
    </w:p>
    <w:p>
      <w:pPr>
        <w:pStyle w:val="Heading3"/>
        <w:keepNext/>
      </w:pPr>
      <w:r>
        <w:t>（一）项目背景与意义</w:t>
      </w:r>
    </w:p>
    <w:p>
      <w:pPr>
        <w:pStyle w:val="Heading4"/>
        <w:keepNext/>
      </w:pPr>
      <w:r>
        <w:t>1. 智能体互联行业现状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随着大语言模型技术的快速普及，智能体（Agent）已从单一对话工具演变为具备感知、推理、执行能力的自主软件实体。各类智能体框架与平台层出不穷，但各自采用不同的通信协议与接口规范——MCP（Model Context Protocol）、OpenAPI REST、自定义 HTTP 服务等——导致异构智能体之间无法直接互通，形成"协议孤岛"。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2026 年，国家标准化管理委员会发布《人工智能 智能体互联》系列国家标准（共 7 部分），旨在从名片描述、注册发现、会话传输、安全管控等维度建立统一的智能体互操作规范，为行业提供标准化的技术底座。然而，标准从发布到落地之间仍存在显著鸿沟：一方面，现有开源参考实现（如 ACPs-community）仅提供基础框架，缺乏面向真实场景的完整工程化方案；另一方面，高校与企业在标准理解、适配开发、集成验证等方面缺乏可复用的实践范例。</w:t>
      </w:r>
    </w:p>
    <w:p>
      <w:pPr>
        <w:pStyle w:val="Heading4"/>
        <w:keepNext/>
      </w:pPr>
      <w:r>
        <w:t>2. 三大核心痛点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痛点一：异构协议割裂。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校园信息化系统中并存着 MCP 工具服务器、OpenAPI REST 接口、自定义 HTTP 服务等多种协议形态。不同协议之间的智能体无法直接通信，每次新增一种协议都需要重新开发对接逻辑，集成成本随协议种类线性增长。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痛点二：协同调度机制缺失。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复杂校园任务（如"先检索图书资源，再根据结果预约自习室"）需要多个智能体按依赖关系协同执行。现有方案缺乏声明式的 DAG 编排能力，无法自动处理拓扑排序、分层并行、失败重试与熔断保护，开发者需手动编排异步调用链，开发效率低且容易出错。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痛点三：标准落地实践人才紧缺。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2026 年系列国标发布后，行业急需既理解标准规范又具备工程实现能力的复合型人才。但当前缺乏面向高校教学与竞赛场景的完整参考实现，学生难以通过实践掌握 AIP 协议适配、智能体注册发现、安全管控等核心能力。</w:t>
      </w:r>
    </w:p>
    <w:p>
      <w:pPr>
        <w:pStyle w:val="Heading4"/>
        <w:keepNext/>
      </w:pPr>
      <w:r>
        <w:t>3. 梧桐平台验证场景的必要性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梧桐平台（ACPs）作为国家级智能体互联基础设施，提供智能体注册（ATR）、证书管理（mTLS）、发现服务（ADP）等核心能力。将本作品对接梧桐平台，不仅可验证 AIP 国标在真实生产环境中的可行性，也为参赛团队提供了从"标准理解→工程实现→平台验证"的完整闭环，具有显著的示范价值。</w:t>
      </w:r>
    </w:p>
    <w:p>
      <w:pPr>
        <w:pStyle w:val="Heading3"/>
        <w:keepNext/>
      </w:pPr>
      <w:r>
        <w:t>（二）赛题方向定位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本届算法主题赛（智能体互联）官方鼓励以下四个方向，本作品逐一覆盖：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方向一：异构协议适配。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本作品设计并实现了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HeteroAdapter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抽象基类，定义三步翻译流程（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to_agent_card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→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translate_invoke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→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normalize_result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），并据此开发了 MCP、OpenAPI、自定义 HTTP 三种协议适配器。新增协议仅需实现适配器接口，无需修改核心调度逻辑，实现"一次接入，统一调用"。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方向二：多智能体协同调度。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本作品构建了基于 DAG 的协同调度引擎，支持声明式任务节点定义（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depends_on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依赖声明）、Kahn 算法拓扑排序与环检测、同层节点并行执行、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{node_id.key}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占位符数据传递，以及指数退避重试、熔断器、超时控制等容错机制，并配套 ExecutionTrace 执行追踪与 Mermaid/HTML 可视化导出。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方向三：交互安全管控。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本作品构建了三位一体的安全管控闭环：基于 HMAC-SHA256 的 Token 认证（签发时嵌入 subject/iat/exp，校验签名完整性与过期时间）、分类敏感词过滤（政治/暴力/色情/联系方式索取/诈骗，输入输出双向过滤）、线程安全追加式审计日志（记录 caller/action/target/ok/detail，支持按调用者查询），形成"鉴权防伪造→过滤防泄露→审计可追溯"的完整安全链路。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方向四：垂直行业场景创新。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本作品聚焦校园垂直场景，开发了课程问答（LLM+规则混合架构）、图书馆检索、自习室预约、秋招资讯四个演示智能体，覆盖教学、学习资源、空间管理、就业服务四大校园核心需求。系统通过 FastAPI 统一网关提供 10 个 RESTful API，支持 Swagger 文档与 Docker 一键部署，具备从竞赛原型到生产部署的完整工程能力。</w:t>
      </w:r>
    </w:p>
    <w:p>
      <w:pPr>
        <w:pStyle w:val="Heading3"/>
        <w:keepNext/>
      </w:pPr>
      <w:r>
        <w:t>（三）系统架构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本作品采用五层分层架构，如图 1 所示。</w:t>
      </w:r>
    </w:p>
    <w:p>
      <w:pPr>
        <w:keepNext/>
        <w:spacing w:before="160" w:after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7875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87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40"/>
        <w:ind w:firstLine="0"/>
        <w:jc w:val="center"/>
        <w:keepNext/>
        <w:keepLines/>
      </w:pP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图 1　智枢 CampusHub 系统架构图</w:t>
      </w:r>
      <w:r>
        <w:rPr>
          <w:rFonts w:ascii="Times New Roman" w:hAnsi="Times New Roman" w:eastAsia="Noto Serif CJK SC" w:cs="Times New Roman"/>
          <w:b w:val="0"/>
          <w:sz w:val="21"/>
        </w:rPr>
        <w:t xml:space="preserve"> 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智枢 CampusHub 系统架构图。系统自上而下分为接入层（客户端/外部系统）、网关层（FastAPI 统一网关，10 个 RESTful API）、核心层（AIP 协议适配层、异构协议翻译网关、DAG 协同调度引擎、安全管控模块四大模块）、智能体层（课程问答、图书馆检索、自习室预约、秋招资讯四个校园演示智能体）、平台层（梧桐平台 ACPs 对接，标注"待验证"表示尚待 ATR 审核与 mTLS 证书签发后完成端到端验证）。</w:t>
      </w:r>
    </w:p>
    <w:p>
      <w:pPr>
        <w:pStyle w:val="Heading2"/>
        <w:keepNext/>
      </w:pPr>
      <w:r>
        <w:t>二、需求分析</w:t>
      </w:r>
    </w:p>
    <w:p>
      <w:pPr>
        <w:pStyle w:val="Heading3"/>
        <w:keepNext/>
      </w:pPr>
      <w:r>
        <w:t>（一）行业痛点剖析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智能体互联赛道面临的核心挑战可归纳为以下四个层面，每个层面在校园场景中均有具体体现，且与梧桐平台接入存在直接的技术瓶颈关联。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痛点一：异构智能体协议不统一。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校园信息化系统中长期并存多种协议形态——MCP 工具服务器（如课程知识库检索工具）、OpenAPI REST 接口（如图书馆检索系统）、自定义 HTTP 服务（如自习室预约系统）——各协议的数据格式、调用方式、错误处理各不相同，智能体之间无法直接互通。以"查询课程资料后自动预约自习室"为例，课程问答智能体输出的是 MCP tool 调用结果，而自习室预约智能体仅接受 HTTP POST 请求，两者需人工编写适配代码才能串联，每新增一种协议便需重新开发对接逻辑，集成成本随协议种类线性增长。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梧桐平台瓶颈：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梧桐平台要求所有接入智能体遵循 AIP 国标协议，但校园存量服务均为异构协议，缺乏统一的翻译网关将导致大量服务无法直接注册至平台，需逐一开发适配层。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痛点二：跨平台无法互通。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不同智能体框架（如 LangChain、AutoGen、自研框架）构建的智能体运行在各自的封闭生态中，身份标识、消息格式、会话管理互不兼容。校园内教学智能体、图书馆智能体、后勤服务智能体可能由不同团队使用不同框架开发，彼此无法发现与调用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梧桐平台瓶颈：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梧桐平台的服务端点地址（Registry :9001、CA :9003、Discovery :9005 等）需通过赛题 QQ 群（1102086449）内部文档确认，目前公开页面无法抓取（JS 渲染 SPA），各服务的具体接入方式与认证流程待官方文档发布后方可验证，跨平台互通的实现路径存在不确定性。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痛点三：标准化落地难度大。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2026 年《人工智能 智能体互联》系列国标（GB/Z 185，共 7 部分）发布后，标准从规范文本到工程实现之间存在显著鸿沟。AIP 协议涉及 AIC 身份码、ACS 能力描述、ATR 可信注册、ADP 发现、AIP 交互等多个子协议，开发者需同时理解标准语义与工程实现细节。校园场景中，学生团队缺乏标准解读与工程落地的系统指导，难以独立完成从"读懂标准→实现协议→通过平台验证"的完整闭环。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梧桐平台瓶颈：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ATR 注册流程中"管理员审核"环节为外部依赖，耗时不定（需尽早提交 ACS 草稿以缩短等待周期），且审核通过后还需完成 EAB 凭据获取与 CA 证书签发（Ed25519），整个链路涉及 registry-server、ca-server 两个独立服务，任何环节的配置偏差均可能导致注册失败。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痛点四：平台适配成本高。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将智能体从本地开发环境迁移至梧桐平台生产环境，需完成身份码生成（AIC 格式校验）、mTLS 双向认证配置、ACS 能力描述文件编写、端点注册（JSONRPC/AMQP 传输协议选择）等一系列适配工作。校园开发团队通常缺乏生产级部署经验，且平台接入文档仅通过 QQ 群内部分发，公开信息不足。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梧桐平台瓶颈：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梧桐平台站点（wt.ioa.pub）的公开文档尚不可获取，接入细节（账号体系、API 文档结构、OIDC/Device 登录方式）待 QQ 群文档确认；平台是否提供沙箱环境、测试账号等配套资源亦未明确，适配工作存在"盲调"风险。</w:t>
      </w:r>
    </w:p>
    <w:p>
      <w:pPr>
        <w:pStyle w:val="Heading3"/>
        <w:keepNext/>
      </w:pPr>
      <w:r>
        <w:t>（二）场景与功能需求调研</w:t>
      </w:r>
    </w:p>
    <w:p>
      <w:pPr>
        <w:pStyle w:val="Heading4"/>
        <w:keepNext/>
      </w:pPr>
      <w:r>
        <w:t>1. 目标场景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本作品聚焦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校园学习生活一站式协同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场景，覆盖教学辅助、学习资源管理、空间预约、就业服务四大核心需求。典型用户旅程：学生通过课程问答智能体获取课程知识点 → 通过图书馆智能体检索相关参考书 → 通过自习室智能体预约学习空间 → 通过秋招智能体获取匹配岗位信息。当任务涉及跨智能体协同时（如"检索图书 + 预约自习室"联合任务），系统自动构建 DAG 任务图，按依赖关系调度执行。</w:t>
      </w:r>
    </w:p>
    <w:p>
      <w:pPr>
        <w:pStyle w:val="Heading4"/>
        <w:keepNext/>
      </w:pPr>
      <w:r>
        <w:t>2. 需求指标体系</w:t>
      </w:r>
    </w:p>
    <w:p>
      <w:pPr>
        <w:keepNext/>
        <w:spacing w:line="240" w:lineRule="auto" w:before="200" w:after="80"/>
        <w:ind w:firstLine="0"/>
        <w:jc w:val="center"/>
        <w:keepLines/>
      </w:pPr>
      <w:r>
        <w:rPr>
          <w:rFonts w:ascii="Times New Roman" w:hAnsi="Times New Roman" w:eastAsia="Noto Serif CJK SC" w:cs="Times New Roman"/>
          <w:b/>
          <w:i w:val="0"/>
          <w:color w:val="000000"/>
          <w:sz w:val="21"/>
        </w:rPr>
        <w:t>表 1　功能需求指标</w:t>
      </w:r>
    </w:p>
    <w:tbl>
      <w:tblPr>
        <w:tblW w:type="auto" w:w="0"/>
        <w:tblLayout w:type="autofit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指标项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需求描述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实现状态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智能体注册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支持通过 ACS 能力描述文件注册智能体，生成 AIC 身份码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已实现（InMemoryRegistry 本地实现；梧桐平台 ATR 待验证）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智能体发现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支持基于能力关键词的模糊检索，返回评分排序的智能体列表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已实现（完全匹配 10 分 / 部分匹配 5 分 / 描述匹配 2 分 / 名称匹配 1 分）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点对点调用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支持 Direct RPC 模式，一个智能体直接调用另一个智能体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已实现（MockTransport 本地实现；生产环境 mTLS 传输待梧桐平台验证）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DAG 协同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支持声明式 DAG 任务定义，自动拓扑排序、分层并行执行、占位符数据传递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已实现（Kahn 算法 + asyncio.gather 并行 + 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{node_id.key}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占位符）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安全管控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Token 鉴权 + 敏感词过滤 + 审计日志三位一体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已实现（HMAC-SHA256 Token / 5 类敏感词双向过滤 / 线程安全追加式审计）</w:t>
            </w:r>
          </w:p>
        </w:tc>
      </w:tr>
    </w:tbl>
    <w:p>
      <w:pPr>
        <w:keepNext/>
        <w:spacing w:line="240" w:lineRule="auto" w:before="200" w:after="80"/>
        <w:ind w:firstLine="0"/>
        <w:jc w:val="center"/>
        <w:keepLines/>
      </w:pPr>
      <w:r>
        <w:rPr>
          <w:rFonts w:ascii="Times New Roman" w:hAnsi="Times New Roman" w:eastAsia="Noto Serif CJK SC" w:cs="Times New Roman"/>
          <w:b/>
          <w:i w:val="0"/>
          <w:color w:val="000000"/>
          <w:sz w:val="21"/>
        </w:rPr>
        <w:t>表 2　性能需求指标</w:t>
      </w:r>
    </w:p>
    <w:tbl>
      <w:tblPr>
        <w:tblW w:type="auto" w:w="0"/>
        <w:tblLayout w:type="autofit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2126"/>
        <w:gridCol w:w="2126"/>
        <w:gridCol w:w="2126"/>
        <w:gridCol w:w="2126"/>
      </w:tblGrid>
      <w:tr>
        <w:trPr>
          <w:tblHeader/>
          <w:cantSplit/>
        </w:trPr>
        <w:tc>
          <w:tcPr>
            <w:tcW w:type="dxa" w:w="2126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指标项</w:t>
            </w:r>
          </w:p>
        </w:tc>
        <w:tc>
          <w:tcPr>
            <w:tcW w:type="dxa" w:w="2126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数值</w:t>
            </w:r>
          </w:p>
        </w:tc>
        <w:tc>
          <w:tcPr>
            <w:tcW w:type="dxa" w:w="2126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测试条件</w:t>
            </w:r>
          </w:p>
        </w:tc>
        <w:tc>
          <w:tcPr>
            <w:tcW w:type="dxa" w:w="2126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invoke 平均时延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8.31 ms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本地 TestClient 实测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点对点调用（MockTransport，单线程串行 100 次取均值）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invoke p95 时延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16.56 ms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本地 TestClient 实测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同上，取第 95 百分位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task 平均时延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0.23 ms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本地 TestClient 实测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DAG 任务调度开销（不含智能体业务逻辑执行时间）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生产环境时延</w:t>
            </w:r>
          </w:p>
        </w:tc>
        <w:tc>
          <w:tcPr>
            <w:tcW w:type="dxa" w:w="2126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待测</w:t>
            </w:r>
          </w:p>
        </w:tc>
        <w:tc>
          <w:tcPr>
            <w:tcW w:type="dxa" w:w="2126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126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梧桐平台 mTLS 传输、网络延迟、并发负载等生产因素尚未纳入测试</w:t>
            </w:r>
          </w:p>
        </w:tc>
      </w:tr>
    </w:tbl>
    <w:p>
      <w:pPr>
        <w:pBdr>
          <w:left w:val="single" w:sz="12" w:space="4" w:color="AAAAAA"/>
        </w:pBdr>
        <w:spacing w:line="240" w:lineRule="auto" w:before="0" w:after="0"/>
        <w:ind w:left="720" w:firstLine="480"/>
        <w:keepNext/>
        <w:keepLines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注：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以上性能数据均为本地开发环境 TestClient 实测结果，测试环境为单机 Python 3.12 + asyncio 事件循环，MockTransport 内存传输，不反映生产网络条件下的实际性能。生产环境时延待梧桐平台接入后补充测试。</w:t>
      </w:r>
    </w:p>
    <w:p>
      <w:pPr>
        <w:keepNext/>
        <w:spacing w:line="240" w:lineRule="auto" w:before="200" w:after="80"/>
        <w:ind w:firstLine="0"/>
        <w:jc w:val="center"/>
        <w:keepLines/>
      </w:pPr>
      <w:r>
        <w:rPr>
          <w:rFonts w:ascii="Times New Roman" w:hAnsi="Times New Roman" w:eastAsia="Noto Serif CJK SC" w:cs="Times New Roman"/>
          <w:b/>
          <w:i w:val="0"/>
          <w:color w:val="000000"/>
          <w:sz w:val="21"/>
        </w:rPr>
        <w:t>表 3　兼容性需求指标</w:t>
      </w:r>
    </w:p>
    <w:tbl>
      <w:tblPr>
        <w:tblW w:type="auto" w:w="0"/>
        <w:tblLayout w:type="autofit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指标项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需求描述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实现状态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MCP 协议适配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将 MCP tool 调用翻译为 AIP 标准能力，支持 input_schema 参数校验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已实现（MCPAdapter）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OpenAPI 协议适配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解析 OpenAPI spec，构建 operation 索引，处理路径/查询/请求体参数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已实现（OpenAPIAdapter）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自定义 HTTP 协议适配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将函数调用翻译为 HTTP POST 请求，构造 httpx.Request 对象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已实现（CustomHTTPAdapter）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AIP 国标遵循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名片层（AgentCard）、传输层（SessionTransport）、发现层（AgentDiscovery）三层适配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已实现（对应 architecture.md 第 3 节）</w:t>
            </w:r>
          </w:p>
        </w:tc>
      </w:tr>
    </w:tbl>
    <w:p>
      <w:pPr>
        <w:keepNext/>
        <w:spacing w:line="240" w:lineRule="auto" w:before="200" w:after="80"/>
        <w:ind w:firstLine="0"/>
        <w:jc w:val="center"/>
        <w:keepLines/>
      </w:pPr>
      <w:r>
        <w:rPr>
          <w:rFonts w:ascii="Times New Roman" w:hAnsi="Times New Roman" w:eastAsia="Noto Serif CJK SC" w:cs="Times New Roman"/>
          <w:b/>
          <w:i w:val="0"/>
          <w:color w:val="000000"/>
          <w:sz w:val="21"/>
        </w:rPr>
        <w:t>表 4　可部署性需求指标</w:t>
      </w:r>
    </w:p>
    <w:tbl>
      <w:tblPr>
        <w:tblW w:type="auto" w:w="0"/>
        <w:tblLayout w:type="autofit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指标项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需求描述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实现状态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一键部署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提供启动脚本，支持一键启动全部服务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已实现（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run.sh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脚本）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容器化部署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提供 Dockerfile，支持 Docker 构建与运行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已实现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API 文档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FastAPI 自动生成 Swagger/OpenAPI 文档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已实现（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/docs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端点）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健康检查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提供 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/health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端点，支持存活探测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已实现</w:t>
            </w:r>
          </w:p>
        </w:tc>
      </w:tr>
    </w:tbl>
    <w:p>
      <w:pPr>
        <w:pStyle w:val="Heading2"/>
        <w:keepNext/>
      </w:pPr>
      <w:r>
        <w:t>三、智能体互联技术选型与方案设计</w:t>
      </w:r>
    </w:p>
    <w:p>
      <w:pPr>
        <w:pStyle w:val="Heading3"/>
        <w:keepNext/>
      </w:pPr>
      <w:r>
        <w:t>（一）基础开发资源选型</w:t>
      </w:r>
    </w:p>
    <w:p>
      <w:pPr>
        <w:pStyle w:val="Heading4"/>
        <w:keepNext/>
      </w:pPr>
      <w:r>
        <w:t>1. ACPs-community 选型理由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经调研 GitHub AIP-PUB 组织全部 10 个仓库（详见调研附录），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ACPs-community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为唯一活跃的主仓库（v2.2.0，2026-08-31 更新，42 stars），其余 9 个仓库均已归档（旧版 SDK、注册服务、CA 服务等已合并入主仓库）。选型依据如下：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唯一性：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GitHub AIP-PUB 组织下唯一包含完整协议规范 + SDK + CLI + 服务端 + Demo 的单体仓库，是 AIP 国标的官方配套开源实现。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技术栈匹配：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Python ≥ 3.10 + FastAPI + RabbitMQ，与团队技术栈高度契合，二次开发门槛低。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许可证友好：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木兰宽松许可证第 2 版（Mulan PSL v2），允许二次开发与商业使用（需保留版权声明），满足竞赛与后续开源要求。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完整工具链：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提供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acps-cli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（统一命令行）、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acps-sdk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（Python SDK）、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acps-specs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（协议规范）、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acps-docs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（开发文档），从开发到部署全链路覆盖。</w:t>
      </w:r>
    </w:p>
    <w:p>
      <w:pPr>
        <w:pStyle w:val="Heading4"/>
        <w:keepNext/>
      </w:pPr>
      <w:r>
        <w:t>2. 开发环境</w:t>
      </w:r>
    </w:p>
    <w:tbl>
      <w:tblPr>
        <w:tblW w:type="auto" w:w="0"/>
        <w:tblLayout w:type="autofit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组件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版本/选型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Python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3.12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运行时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FastAPI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最新稳定版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网关服务框架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pytest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9.1.1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单元/集成测试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asyncio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标准库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异步事件循环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httpx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最新稳定版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HTTP 客户端（异构适配器）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uv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依赖管理（ACPs-community 原生使用）</w:t>
            </w:r>
          </w:p>
        </w:tc>
      </w:tr>
    </w:tbl>
    <w:p>
      <w:pPr>
        <w:pStyle w:val="Heading4"/>
        <w:keepNext/>
      </w:pPr>
      <w:r>
        <w:t>3. AIP 国标遵循思路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本作品严格遵循 AIP 国标的三层架构设计，对应 architecture.md 第 3 节：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名片层（AgentCard）：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每个智能体对外暴露统一的名片格式，包含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agent_id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（唯一标识）、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capabilities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（能力关键词列表）、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endpoint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（服务端点）、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protocol_version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（协议版本）。异构服务通过适配器的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to_agent_card()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方法将自身描述翻译为 AIP 名片。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传输层（SessionTransport）：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抽象消息发送接口，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MockTransport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提供本地实现，真实场景可替换为 HTTP/gRPC 传输。传输层通过注册表查找目标智能体，屏蔽底层通信差异。梧桐平台对接时将替换为 mTLS 传输实现。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发现层（AgentDiscovery）：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基于能力关键词的模糊检索，支持评分排序（完全匹配 10 分 / 部分匹配 5 分 / 描述匹配 2 分 / 名称匹配 1 分）。对应梧桐平台 discovery-server（:9005）的 ADP 协议。</w:t>
      </w:r>
    </w:p>
    <w:p>
      <w:pPr>
        <w:pStyle w:val="Heading3"/>
        <w:keepNext/>
      </w:pPr>
      <w:r>
        <w:t>（二）核心技术方案设计</w:t>
      </w:r>
    </w:p>
    <w:p>
      <w:pPr>
        <w:pStyle w:val="Heading4"/>
        <w:keepNext/>
      </w:pPr>
      <w:r>
        <w:t>1. 整体架构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本作品采用五层分层架构（如图 1 所示，见第一章），自上而下为：接入层（客户端/外部系统）→ 网关层（FastAPI 统一网关，10 个 RESTful API）→ 核心层（AIP 协议适配、异构协议翻译网关、DAG 协同调度引擎、安全管控四大模块）→ 智能体层（4 个校园演示智能体）→ 平台层（梧桐平台 ACPs 对接，待验证）。</w:t>
      </w:r>
    </w:p>
    <w:p>
      <w:pPr>
        <w:pStyle w:val="Heading4"/>
        <w:keepNext/>
      </w:pPr>
      <w:r>
        <w:t>2. 关键技术选型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（1）ATR 可信注册。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注册流程遵循 ACPs-community 标准链路：开发者通过官方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acps-cli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命令行工具依次完成：身份登录授权（OIDC/Device）→ 提交 ACS 草稿至 registry-server → 管理员审核（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外部依赖，耗时不定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）→ 审核通过后获得 AIC 身份码 → 获取 EAB 凭据 → 由 CA 服务签发 CAI 证书（Ed25519 算法，用于 mTLS 双向认证）。各子命令的名称与参数以官方文档为准。本地开发阶段使用 InMemoryRegistry 模拟注册表，梧桐平台对接时将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acps-cli.toml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中的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base_url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指向平台公布的各服务端点（待 QQ 群文档确认）。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（2）ADP 发现服务。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发现服务基于能力关键词的模糊检索，支持三种匹配模式：明确意图（explicit）、探索性意图、结构化过滤。评分规则如下：</w:t>
      </w:r>
    </w:p>
    <w:tbl>
      <w:tblPr>
        <w:tblW w:type="auto" w:w="0"/>
        <w:tblLayout w:type="autofit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匹配类型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得分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完全匹配 capability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10 分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查询关键词与智能体 capabilities 列表中的某项完全一致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部分匹配 capability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5 分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查询关键词与 capabilities 列表中的某项部分匹配（子串/前缀）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描述匹配 description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2 分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查询关键词出现在智能体 description 字段中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名称匹配 name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1 分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查询关键词出现在智能体 name 字段中</w:t>
            </w:r>
          </w:p>
        </w:tc>
      </w:tr>
    </w:tbl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返回结果按得分降序排列，支持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limit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参数限制返回数量。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（3）AIP 交互模式。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本作品支持两种交互模式：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Direct RPC（点对点）：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调用方通过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AipRpcClient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向目标智能体发送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TaskCommand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（start/get/continue/complete/cancel），目标智能体返回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TaskResult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（状态机：accepted → working → awaiting-completion → completed），适用于两个智能体之间的直接协作。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DAG 群组协同：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复杂任务拆解为多个任务节点（TaskNode），通过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depends_on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声明依赖关系，DagScheduler 使用 Kahn 算法进行拓扑排序与环检测，同层节点并行执行（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asyncio.gather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），支持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{node_id.key}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占位符引用上游节点输出实现数据传递，配套指数退避重试（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async_retry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）、熔断器（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CircuitBreaker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）、超时控制（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asyncio.wait_for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）等容错机制。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（4）安全管控机制。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采用双层安全设计：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mTLS 双向认证（规划中）：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梧桐平台对接后，智能体间通信使用 CA 签发的 CAI 证书进行 mTLS 双向认证，确保通信双方身份可信。本地开发阶段使用 Token 认证替代。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HMAC Token 认证（已实现）：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基于 HMAC-SHA256 的 Token 认证，签发时嵌入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subject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（调用者身份）、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iat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（签发时间）、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exp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（过期时间），校验时验证签名完整性与过期时间，防止 Token 伪造与重放攻击。</w:t>
      </w:r>
    </w:p>
    <w:p>
      <w:pPr>
        <w:pStyle w:val="Heading4"/>
        <w:keepNext/>
      </w:pPr>
      <w:r>
        <w:t>3. 原生复用 vs 自主创新对照表</w:t>
      </w:r>
    </w:p>
    <w:tbl>
      <w:tblPr>
        <w:tblW w:type="auto" w:w="0"/>
        <w:tblLayout w:type="autofit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2126"/>
        <w:gridCol w:w="2126"/>
        <w:gridCol w:w="2126"/>
        <w:gridCol w:w="2126"/>
      </w:tblGrid>
      <w:tr>
        <w:trPr>
          <w:tblHeader/>
          <w:cantSplit/>
        </w:trPr>
        <w:tc>
          <w:tcPr>
            <w:tcW w:type="dxa" w:w="2126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模块</w:t>
            </w:r>
          </w:p>
        </w:tc>
        <w:tc>
          <w:tcPr>
            <w:tcW w:type="dxa" w:w="2126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决策</w:t>
            </w:r>
          </w:p>
        </w:tc>
        <w:tc>
          <w:tcPr>
            <w:tcW w:type="dxa" w:w="2126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来源</w:t>
            </w:r>
          </w:p>
        </w:tc>
        <w:tc>
          <w:tcPr>
            <w:tcW w:type="dxa" w:w="2126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AIP 协议语义（TaskCommand/TaskResult/TaskState 等数据模型）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原生复用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ACPs-community 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acps-sdk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协议刚性实现，自写=违规风险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acps-sdk 调用范式（AipRpcClient/Server、CommandHandlers）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原生复用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ACPs-community 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acps-sdk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官方 SDK 标准用法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ATR 注册流程（提交草稿/提交审核 → 管理员审核 → 获取凭据/证书签发）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原生复用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ACPs-community 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acps-cli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标准注册链路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HeteroAdapter 异构协议适配器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自主创新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自研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三步翻译流程（to_agent_card → translate_invoke → normalize_result），含 MCP/OpenAPI/HTTP 三个具体适配器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DagScheduler DAG 协同调度引擎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自主创新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自研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Kahn 算法拓扑排序 + 分层并行 + 占位符数据传递 + 熔断保护 + ExecutionTrace 追踪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trust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_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guard 安全管控模块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自主创新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自研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HMAC Token 认证 + 5 类敏感词双向过滤 + 线程安全审计日志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4 个校园演示智能体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自主创新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自研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课程问答（LLM+规则混合）、图书馆检索、自习室预约、秋招资讯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网关可观测性</w:t>
            </w:r>
          </w:p>
        </w:tc>
        <w:tc>
          <w:tcPr>
            <w:tcW w:type="dxa" w:w="2126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自主创新</w:t>
            </w:r>
          </w:p>
        </w:tc>
        <w:tc>
          <w:tcPr>
            <w:tcW w:type="dxa" w:w="2126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自研</w:t>
            </w:r>
          </w:p>
        </w:tc>
        <w:tc>
          <w:tcPr>
            <w:tcW w:type="dxa" w:w="2126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10 个 RESTful API 统一网关 + /health 健康检查 + /audit 审计查询 + Swagger 文档</w:t>
            </w:r>
          </w:p>
        </w:tc>
      </w:tr>
    </w:tbl>
    <w:p>
      <w:pPr>
        <w:pStyle w:val="Heading4"/>
        <w:keepNext/>
      </w:pPr>
      <w:r>
        <w:t>4. AIP 注册—发现—互联时序</w:t>
      </w:r>
    </w:p>
    <w:p>
      <w:pPr>
        <w:spacing w:line="240" w:lineRule="auto" w:before="40" w:after="240"/>
        <w:ind w:firstLine="0"/>
        <w:jc w:val="center"/>
        <w:keepNext/>
        <w:keepLines/>
      </w:pP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图 2 展示了智能体从注册到互联的完整时序流程。开发者通过官方 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acps-cli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 工具执行登录、注册、证书申请等操作（具体命令以官方文档为准）；注册服务（ATR）完成管理员审核后签发 AIC 身份码；CA 认证服务签发 CAI 证书（Ed25519）用于 mTLS 认证；发现服务（ADP）根据能力关键词返回匹配的智能体列表；最终通过 Direct RPC 完成智能体间的点对点调用。其中，管理员审核环节为外部依赖，耗时不定，需尽早提交 ACS 草稿以缩短等待周期。</w:t>
      </w:r>
    </w:p>
    <w:p>
      <w:pPr>
        <w:keepNext/>
        <w:spacing w:before="160" w:after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0384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8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40"/>
        <w:ind w:firstLine="0"/>
        <w:jc w:val="center"/>
        <w:keepNext/>
        <w:keepLines/>
      </w:pP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图 2　AIP 注册—发现—互联时序图</w:t>
      </w:r>
      <w:r>
        <w:rPr>
          <w:rFonts w:ascii="Times New Roman" w:hAnsi="Times New Roman" w:eastAsia="Noto Serif CJK SC" w:cs="Times New Roman"/>
          <w:b w:val="0"/>
          <w:sz w:val="21"/>
        </w:rPr>
        <w:t xml:space="preserve"> 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AIP 注册—发现—互联时序图。参与者：开发者 → acps-cli → 注册服务 Registry（ATR）→ CA 认证服务 → 发现服务 Discovery（ADP）→ 目标智能体。消息流：① 身份登录（OIDC/Device 授权）→ ② 提交 ACS 草稿 → ③ 管理员审核（外部依赖·耗时不定，橙色虚线框标注）→ ④ 提交审核（通过后获得 AIC）→ ⑤ 获取 EAB 凭据 → ⑥ CA 签发 CAI 证书 → ⑦ discover（能力关键词查询）→ ⑧ 返回匹配列表（评分排序）→ ⑨ RPC invoke（TaskCommand: start）→ ⑩ TaskResult（completed）。</w:t>
      </w:r>
    </w:p>
    <w:p>
      <w:pPr>
        <w:pStyle w:val="Heading4"/>
        <w:keepNext/>
      </w:pPr>
      <w:r>
        <w:t>5. 异构协议翻译流程</w:t>
      </w:r>
    </w:p>
    <w:p>
      <w:pPr>
        <w:spacing w:line="240" w:lineRule="auto" w:before="40" w:after="240"/>
        <w:ind w:firstLine="0"/>
        <w:jc w:val="center"/>
        <w:keepNext/>
        <w:keepLines/>
      </w:pP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图 3 展示了异构协议翻译网关的三步流程。原生服务（MCP 工具服务器、OpenAPI REST 接口、自定义 HTTP 服务）首先通过 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to_agent_card()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 方法将自身描述翻译为 AIP 标准名片（AgentCard）；调用时通过 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translate_invoke()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 将 AIP 标准调用请求翻译为原生协议请求，发送至外部服务执行；执行结果通过 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normalize_result()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 归一化为 AIP 标准响应返回。整个流程由 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HeteroAdapter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 抽象基类统一约束，新增协议仅需实现三个接口方法，无需修改核心调度逻辑。</w:t>
      </w:r>
    </w:p>
    <w:p>
      <w:pPr>
        <w:keepNext/>
        <w:spacing w:before="160" w:after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911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1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40"/>
        <w:ind w:firstLine="0"/>
        <w:jc w:val="center"/>
        <w:keepNext/>
        <w:keepLines/>
      </w:pP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图 3　异构协议翻译网关三步流程图：原生服务经 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to_agent_card()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 → 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translate_invoke()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 → 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normalize_result()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 三步翻译为 AIP 标准交互，由 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HeteroAdapter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 抽象基类统一约束。</w:t>
      </w:r>
      <w:r>
        <w:rPr>
          <w:rFonts w:ascii="Times New Roman" w:hAnsi="Times New Roman" w:eastAsia="Noto Serif CJK SC" w:cs="Times New Roman"/>
          <w:b w:val="0"/>
          <w:sz w:val="21"/>
        </w:rPr>
        <w:t xml:space="preserve"> 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异构协议翻译网关三步流程图。左侧：三种原生服务（MCP 工具服务器、OpenAPI REST 接口、自定义 HTTP 服务）→ Step 1: 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to_agent_card()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（翻译为 AIP 标准名片 AgentCard）→ Step 2: 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translate_invoke()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（将 AIP 调用请求翻译为原生协议请求，发送至外部服务执行）→ Step 3: 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normalize_result()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（将原生协议结果归一化为 AIP 标准响应）。底部注释：HeteroAdapter 抽象基类——一次接入，统一调用。</w:t>
      </w:r>
    </w:p>
    <w:p>
      <w:pPr>
        <w:pStyle w:val="Heading2"/>
        <w:keepNext/>
      </w:pPr>
      <w:r>
        <w:t>四、项目实施</w:t>
      </w:r>
    </w:p>
    <w:p>
      <w:pPr>
        <w:pStyle w:val="Heading3"/>
        <w:keepNext/>
      </w:pPr>
      <w:r>
        <w:t>（一）整体实施方案</w:t>
      </w:r>
    </w:p>
    <w:p>
      <w:pPr>
        <w:pStyle w:val="Heading4"/>
        <w:keepNext/>
      </w:pPr>
      <w:r>
        <w:t>1. 开发五阶段流程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项目实施采用递进式五阶段流程，各阶段目标明确、产出可验证，整体流程如图 4 所示。</w:t>
      </w:r>
    </w:p>
    <w:p>
      <w:pPr>
        <w:keepNext/>
        <w:spacing w:before="160" w:after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371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40"/>
        <w:ind w:firstLine="0"/>
        <w:jc w:val="center"/>
        <w:keepNext/>
        <w:keepLines/>
      </w:pP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图 4　五阶段实施流程图</w:t>
      </w:r>
      <w:r>
        <w:rPr>
          <w:rFonts w:ascii="Times New Roman" w:hAnsi="Times New Roman" w:eastAsia="Noto Serif CJK SC" w:cs="Times New Roman"/>
          <w:b w:val="0"/>
          <w:sz w:val="21"/>
        </w:rPr>
        <w:t xml:space="preserve"> 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五阶段实施流程图。从左至右依次为：需求拆解（赛题方向分析、需求指标定义）→ 开源代码适配改造（ACPs-community 二次开发、协议语义复用）→ AIP 标准兼容开发（HeteroAdapter 三适配器、DagScheduler 调度引擎、trust_guard 安全模块、可观测性）→ 梧桐平台对接调试（WutongConfig 配置管理、build_acs 构建、discover_agents 发现、invoke_remote RPC 调用）→ 全功能联调测试（143 项 pytest 全绿、Docker 一键部署、端到端冒烟测试、匿名合规审查）。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阶段一：需求拆解。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精读赛题方向文档与 AIP 国标原文，将官方鼓励的四个方向（异构协议适配、多智能体协同调度、交互安全管控、垂直行业场景创新）逐一映射为可量化的需求指标。产出需求规格表（表 1–4），明确功能需求、性能需求、兼容性需求、可部署性需求四类指标体系。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阶段二：开源代码适配改造。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以 ACPs-community（v2.2.0，木兰宽松许可证第 2 版）为基座进行二次开发。复用其 AIP 协议刚性数据模型（TaskCommand/TaskResult/TaskState）、SDK 调用范式（AipRpcClient/Server）与 ATR 注册流程（agent save → submit → 审核 → cert eab fetch → cert issue），在此基础上扩展异构协议适配、DAG 调度、安全管控等自研模块。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阶段三：AIP 标准兼容开发。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实现三大自主创新模块：异构协议翻译网关（HeteroAdapter 抽象基类 + MCP/OpenAPI/自定义 HTTP 三个具体适配器）、DAG 协同调度引擎（Kahn 拓扑排序 + asyncio 分层并行 + 指数退避重试 + 熔断器 + ExecutionTrace 追踪）、安全管控闭环（HMAC-SHA256 Token 认证 + 5 类敏感词双向过滤 + 线程安全审计日志）。同步开发网关可观测性（/metrics 指标统计、/trace 执行追踪导出、JSON 结构化日志落盘）。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阶段四：梧桐平台对接调试。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基于官方 acps-sdk 实现梧桐平台真实对接模块（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aip_adapter/wutong.py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），包含 WutongConfig 配置管理、build_acs 标准 ACS 文件构建、atr_guide 注册流程指引、discover_agents ADP 发现、invoke_remote Direct RPC 调用。所有外部 endpoint 地址均标注"待 QQ 群文档确认"，不编造平台数据。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阶段五：全功能联调测试。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编写全链路测试用例（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test_fullchain.py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32 项 +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test_wutong.py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28 项 +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test_llm.py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16 项 +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test_observability.py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16 项 + 评审回归用例 51 项），覆盖注册→发现→调用→DAG 协同→安全管控→可观测性完整链路，含异常分支（重复注册、未知智能体调用、DAG 环检测、Token 伪造、敏感词拦截等）。最终 143 项测试全绿通过，Docker 一键部署验证通过，全仓匿名合规审查零命中。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各阶段目标与产出汇总如下：</w:t>
      </w:r>
    </w:p>
    <w:p>
      <w:pPr>
        <w:keepNext/>
        <w:spacing w:line="240" w:lineRule="auto" w:before="200" w:after="80"/>
        <w:ind w:firstLine="0"/>
        <w:jc w:val="center"/>
        <w:keepLines/>
      </w:pPr>
      <w:r>
        <w:rPr>
          <w:rFonts w:ascii="Times New Roman" w:hAnsi="Times New Roman" w:eastAsia="Noto Serif CJK SC" w:cs="Times New Roman"/>
          <w:b/>
          <w:i w:val="0"/>
          <w:color w:val="000000"/>
          <w:sz w:val="21"/>
        </w:rPr>
        <w:t>表 5　五阶段实施方案汇总</w:t>
      </w:r>
    </w:p>
    <w:tbl>
      <w:tblPr>
        <w:tblW w:type="auto" w:w="0"/>
        <w:tblLayout w:type="autofit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2126"/>
        <w:gridCol w:w="2126"/>
        <w:gridCol w:w="2126"/>
        <w:gridCol w:w="2126"/>
      </w:tblGrid>
      <w:tr>
        <w:trPr>
          <w:tblHeader/>
          <w:cantSplit/>
        </w:trPr>
        <w:tc>
          <w:tcPr>
            <w:tcW w:type="dxa" w:w="2126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阶段</w:t>
            </w:r>
          </w:p>
        </w:tc>
        <w:tc>
          <w:tcPr>
            <w:tcW w:type="dxa" w:w="2126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目标</w:t>
            </w:r>
          </w:p>
        </w:tc>
        <w:tc>
          <w:tcPr>
            <w:tcW w:type="dxa" w:w="2126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核心产出</w:t>
            </w:r>
          </w:p>
        </w:tc>
        <w:tc>
          <w:tcPr>
            <w:tcW w:type="dxa" w:w="2126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验证方式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一：需求拆解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赛题方向对标，需求量化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需求规格表（表 1–4）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四大方向全覆盖审查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二：开源适配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ACPs-community 二次开发基座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协议数据模型复用、SDK 调用范式复用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compileall + 导入冒烟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三：AIP 开发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三大创新模块实现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HeteroAdapter / DagScheduler / trust_guard / 可观测性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pytest 64 项全绿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四：梧桐对接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基于 acps-sdk 的真实平台对接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wutong.py（WutongConfig / build_acs / discover_agents / invoke_remote）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test_wutong.py 28 项全绿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五：联调测试</w:t>
            </w:r>
          </w:p>
        </w:tc>
        <w:tc>
          <w:tcPr>
            <w:tcW w:type="dxa" w:w="2126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端到端验证 + 部署 + 合规</w:t>
            </w:r>
          </w:p>
        </w:tc>
        <w:tc>
          <w:tcPr>
            <w:tcW w:type="dxa" w:w="2126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143 项测试全绿 + Docker 部署 + 匿名审查零命中</w:t>
            </w:r>
          </w:p>
        </w:tc>
        <w:tc>
          <w:tcPr>
            <w:tcW w:type="dxa" w:w="2126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pytest -q + docker build + grep</w:t>
            </w:r>
          </w:p>
        </w:tc>
      </w:tr>
    </w:tbl>
    <w:p>
      <w:pPr>
        <w:pStyle w:val="Heading4"/>
        <w:keepNext/>
      </w:pPr>
      <w:r>
        <w:t>2. 软硬件资源</w:t>
      </w:r>
    </w:p>
    <w:tbl>
      <w:tblPr>
        <w:tblW w:type="auto" w:w="0"/>
        <w:tblLayout w:type="autofit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类别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配置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运行时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Python 3.12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主开发语言，ACPs-community 原生要求 ≥ 3.10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Web 框架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FastAPI（最新稳定版）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网关服务框架，自动生成 Swagger/OpenAPI 文档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测试框架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pytest 9.1.1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单元/集成测试，配合 TestClient 进行接口级测试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HTTP 客户端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httpx（最新稳定版）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异构适配器 HTTP 请求构造、梧桐平台 ADP 发现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异步框架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asyncio（标准库）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DAG 分层并行调度、RPC 调用轮询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依赖管理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uv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ACPs-community 原生使用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容器化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Docker（python:3.12-slim）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一键部署，Dockerfile + docker-compose.yml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开发机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本地 Linux 工作站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Python 3.12 + asyncio 事件循环，单机开发测试</w:t>
            </w:r>
          </w:p>
        </w:tc>
      </w:tr>
    </w:tbl>
    <w:p>
      <w:pPr>
        <w:pStyle w:val="Heading4"/>
        <w:keepNext/>
      </w:pPr>
      <w:r>
        <w:t>3. 团队分工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团队按技术角色分工协作，各角色职责如下：</w:t>
      </w:r>
    </w:p>
    <w:tbl>
      <w:tblPr>
        <w:tblW w:type="auto" w:w="0"/>
        <w:tblLayout w:type="autofit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角色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职责范围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核心产出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架构设计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五层分层架构设计、模块划分、接口定义、数据流规划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architecture.md、模块关系图、请求数据流文档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协议适配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HeteroAdapter 抽象基类设计、MCP/OpenAPI/HTTP 三适配器实现、AIP 三层架构适配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hetero_gateway/ 全部模块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调度引擎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TaskDAG 定义、Kahn 拓扑排序、DagScheduler 分层并行执行、重试/熔断/超时容错机制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orchestrator/ 全部模块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安全模块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HMAC-SHA256 Token 认证、分类敏感词过滤、线程安全审计日志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trust_guard/ 全部模块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测试与文档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全链路测试用例编写、构建日志记录、README 与操作指南撰写、匿名合规审查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tests/ 全部模块、BUILD_LOG.md、wutong-onboarding.md</w:t>
            </w:r>
          </w:p>
        </w:tc>
      </w:tr>
    </w:tbl>
    <w:p>
      <w:pPr>
        <w:pStyle w:val="Heading3"/>
        <w:keepNext/>
      </w:pPr>
      <w:r>
        <w:t>（二）关键技术落地实现</w:t>
      </w:r>
    </w:p>
    <w:p>
      <w:pPr>
        <w:pStyle w:val="Heading4"/>
        <w:keepNext/>
      </w:pPr>
      <w:r>
        <w:t>1. 开源代码二次开发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本作品基于 ACPs-community 参考实现进行深度二次开发，在协议语义层面严格遵循 AIP 国标规范，在工程能力层面进行自主创新扩展。原生复用与自主创新的具体划分已在第三章"原生复用 vs 自主创新对照表"（表）中详述，此处从实现角度补充说明。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直接遵循部分（协议刚性实现）：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AgentCard 名片模型：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完全复用 ACPs-community 的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acps-specs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中定义的智能体名片数据结构，包含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agent_id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（唯一标识）、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name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（名称）、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description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（功能描述）、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capabilities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（能力关键词列表）、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endpoint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（服务端点）、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protocol_version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（协议版本）、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metadata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（扩展元数据）七个核心字段。所有异构适配器通过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to_agent_card()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方法将原生服务描述翻译为该标准名片格式。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ATR/ADP 流程：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注册流程完全遵循 acps-cli 标准链路（身份登录 → 提交 ACS 草稿 → 提交审核 → 管理员审核 → 获取 EAB 凭据 → 签发证书；具体命令以官方文档为准），发现流程遵循 ADP 协议（DiscoveryRequest 构造 → POST 请求 → 响应解析）。梧桐平台对接模块（wutong.py）的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atr_guide()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函数生成完整的七步 acps-cli 命令序列，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discover_agents()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函数使用 acps-sdk 的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DiscoveryRequest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构造标准请求体。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AIP RPC 交互语义：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点对点调用遵循 TaskCommand/TaskResult 状态机（start → accepted → working → awaiting-completion → completed），梧桐平台远程调用模块（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invoke_remote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）使用 acps-sdk 的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AipRpcClient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发起 Direct RPC 调用，轮询任务状态直至完成或超时。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自研扩展部分（工程能力创新）：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HeteroAdapter 三适配器：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ACPs-community 原生仅提供 AIP 协议层实现，不包含异构协议翻译能力。本作品自研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HeteroAdapter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抽象基类，定义三步翻译流程（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to_agent_card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→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translate_invoke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→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normalize_result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），并据此实现 MCP、OpenAPI、自定义 HTTP 三个具体适配器。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DagScheduler 调度引擎：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ACPs-community 原生不支持 DAG 协同调度。本作品自研基于 Kahn 算法的拓扑排序与分层并行执行引擎，支持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{node_id.key}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占位符数据传递、指数退避重试、熔断器、超时控制、ExecutionTrace 执行追踪与 Mermaid/HTML 可视化导出。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trust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_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guard 安全管控：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ACPs-community 原生安全机制依赖 mTLS 证书体系（梧桐平台生产环境能力），本地开发阶段无法直接使用。本作品自研 HMAC-SHA256 Token 认证、5 类敏感词双向过滤、线程安全审计日志，形成"鉴权防伪造→过滤防泄露→审计可追溯"的完整安全闭环。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网关可观测性：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ACPs-community 原生不包含运维可观测性。本作品自研 MetricsCollector 指标统计（invoke/task/agents 三维统计，含成功率、平均时延、p95 时延）、ExecutionTrace 导出（Mermaid 流程图 + 自包含 HTML 时间线）、JSON 结构化日志落盘（RotatingFileHandler，单文件 5MB，保留 3 个）。</w:t>
      </w:r>
    </w:p>
    <w:p>
      <w:pPr>
        <w:pStyle w:val="Heading4"/>
        <w:keepNext/>
      </w:pPr>
      <w:r>
        <w:t>2. 异构网关实现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异构协议翻译网关的核心是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HeteroAdapter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抽象基类（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hetero_gateway/base.py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），定义三步翻译流程的接口约束：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8504"/>
      </w:tblGrid>
      <w:tr>
        <w:trPr>
          <w:tblHeader/>
          <w:cantSplit/>
        </w:trPr>
        <w:tc>
          <w:tcPr>
            <w:tcW w:type="dxa" w:w="7087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class HeteroAdapter(ABC):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"""异构协议适配器抽象基类，将不同协议翻译为 AIP 标准"""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​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@abstractmethod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def to_agent_card(self) -&gt; AgentCard: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"""将原生服务描述转换为 AIP AgentCard"""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pass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​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@abstractmethod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def translate_invoke(self, aip_request: dict) -&gt; dict: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"""将 AIP 调用请求翻译为原生协议请求"""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pass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​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@abstractmethod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def normalize_result(self, native_result) -&gt; dict: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"""将原生协议的结果归一化为 AIP 消息格式"""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pass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​</w:t>
            </w:r>
          </w:p>
        </w:tc>
      </w:tr>
    </w:tbl>
    <w:p>
      <w:pPr>
        <w:spacing w:before="60" w:after="60"/>
        <w:ind w:firstLine="0"/>
      </w:pP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三个抽象方法分别对应翻译流程的三个阶段：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to_agent_card()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将原生服务描述转换为 AIP 标准名片，使异构服务可被发现层检索；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translate_invoke()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将 AIP 标准调用请求翻译为原生协议格式，包含参数校验与格式转换；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normalize_result()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将原生协议返回结果归一化为 AIP 标准响应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{ok, data, protocol}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。新增协议仅需实现这三个接口方法，无需修改核心调度逻辑。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以 MCP 适配器为例，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translate_invoke()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方法实现了完整的参数校验逻辑，包括必填参数检查与类型粗校验（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hetero_gateway/mcp_adapter.py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）：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8504"/>
      </w:tblGrid>
      <w:tr>
        <w:trPr>
          <w:tblHeader/>
          <w:cantSplit/>
        </w:trPr>
        <w:tc>
          <w:tcPr>
            <w:tcW w:type="dxa" w:w="7087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def translate_invoke(self, aip_request: dict) -&gt; dict: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capability = aip_request.get("capability")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params = aip_request.get("params", {})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if not capability: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raise ValueError("AIP 请求缺少 capability 字段")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if capability not in self.tools: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raise ValueError(f"MCP 服务器 {self.server_name} 不存在工具 {capability}")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tool = self.tools[capability]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input_schema = tool.get("input_schema", {})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# 必填参数校验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required = input_schema.get("required", [])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for req_param in required: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if req_param not in params: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    raise ValueError(f"工具 {capability} 缺少必填参数: {req_param}")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# 类型粗校验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properties = input_schema.get("properties", {})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for param_name, param_value in params.items():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if param_name not in properties: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    continue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expected_type = properties[param_name].get("type")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if expected_type == "string" and not isinstance(param_value, str):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    raise ValueError(f"参数 {param_name} 应为 string 类型")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elif expected_type == "integer" and not isinstance(param_value, int):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    raise ValueError(f"参数 {param_name} 应为 integer 类型")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return {"tool": capability, "arguments": params}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​</w:t>
            </w:r>
          </w:p>
        </w:tc>
      </w:tr>
    </w:tbl>
    <w:p>
      <w:pPr>
        <w:spacing w:before="60" w:after="60"/>
        <w:ind w:firstLine="0"/>
      </w:pP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该方法首先校验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capability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字段是否存在、目标工具是否已注册，然后从工具的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input_schema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中提取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required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列表进行必填参数检查，最后遍历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properties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进行类型粗校验（支持 string/integer/number/boolean 四种基础类型）。校验通过后，将 AIP 标准格式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{capability, params}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翻译为 MCP 格式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{tool, arguments}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OpenAPI 适配器的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translate_invoke()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方法处理路径参数、查询参数、请求体的组装（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hetero_gateway/openapi_adapter.py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）：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8504"/>
      </w:tblGrid>
      <w:tr>
        <w:trPr>
          <w:tblHeader/>
          <w:cantSplit/>
        </w:trPr>
        <w:tc>
          <w:tcPr>
            <w:tcW w:type="dxa" w:w="7087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def translate_invoke(self, aip_request: dict) -&gt; dict: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capability = aip_request.get("capability")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params = aip_request.get("params", {})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# ... 查找 operation（省略）...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method = operation["method"]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path_template = operation["path"]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path_params, query_params, body = {}, {}, {}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parameters = operation_spec.get("parameters", [])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for param_def in parameters: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param_name = param_def.get("name")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param_in = param_def.get("in")  # path, query, header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if param_name in params: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    if param_in == "path":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        path_params[param_name] = params[param_name]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    elif param_in == "query":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        query_params[param_name] = params[param_name]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elif param_def.get("required", False):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    raise ValueError(f"缺少必填参数: {param_name} (位于 {param_in})")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# 替换路径参数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path = path_template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for pn, pv in path_params.items():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path = path.replace(f"{{{pn}}}", str(pv))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return {"method": method.upper(), "path": path,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    "query_params": query_params, "body": body or None}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​</w:t>
            </w:r>
          </w:p>
        </w:tc>
      </w:tr>
    </w:tbl>
    <w:p>
      <w:pPr>
        <w:spacing w:before="60" w:after="60"/>
        <w:ind w:firstLine="0"/>
      </w:pP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该方法根据 operation 的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parameters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定义，将请求参数按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in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字段分类为路径参数（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path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）、查询参数（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query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），剩余参数归入请求体（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body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）。路径参数通过字符串替换填入 URL 模板（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{param_name}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→ 实际值），最终返回标准 HTTP 请求结构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{method, path, query_params, body}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。</w:t>
      </w:r>
    </w:p>
    <w:p>
      <w:pPr>
        <w:pStyle w:val="Heading4"/>
        <w:keepNext/>
      </w:pPr>
      <w:r>
        <w:t>3. DAG 调度引擎实现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DAG 调度引擎由四个子模块组成：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dag.py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（任务定义与拓扑排序）、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scheduler.py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（分层并行调度）、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retry.py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（指数退避重试）、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circuit.py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（熔断器），配合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trace.py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（执行追踪）构成完整的调度闭环。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拓扑排序与分层：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TaskDAG.topological_sort()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使用 Kahn 算法进行拓扑排序，返回分层结果（每层内节点可并行执行）。算法首先计算每个节点的入度，将入度为 0 的节点作为第一层，然后逐层剥离已处理节点、更新邻居入度，直到所有节点处理完毕。若最终处理节点数不等于总节点数，则说明存在环，抛出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ValueError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调度核心循环：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DagScheduler.execute()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按拓扑分层结果逐层执行，同层节点通过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asyncio.gather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并行执行（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orchestrator/scheduler.py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）：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8504"/>
      </w:tblGrid>
      <w:tr>
        <w:trPr>
          <w:tblHeader/>
          <w:cantSplit/>
        </w:trPr>
        <w:tc>
          <w:tcPr>
            <w:tcW w:type="dxa" w:w="7087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async def execute(self, dag: TaskDAG) -&gt; dict: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try: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layers = dag.topological_sort()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except ValueError as e: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return {"status": "error", "error": str(e),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        "results": {}, "trace": self.trace.to_dict()}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results, failed_nodes = {}, []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for layer in layers: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tasks = []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for node_id in layer: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    node = dag.nodes[node_id]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    payload = self._resolve_input(node.input_template, results)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    agent_id = node.agent_id or node.capability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    if not agent_id: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        continue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    tasks.append((node_id, self._execute_node(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        node_id=node_id, agent_id=agent_id, payload=payload,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        timeout=node.timeout,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        max_retries=node.max_retries or self.max_retries)))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for node_id, task in tasks: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    try: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        results[node_id] = await task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    except Exception as e: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        failed_nodes.append(node_id)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            results[node_id] = {"error": str(e)}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status = "success" if not failed_nodes else "partial_failure"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return {"status": status, "results": results, "trace": self.trace.to_dict()}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​</w:t>
            </w:r>
          </w:p>
        </w:tc>
      </w:tr>
    </w:tbl>
    <w:p>
      <w:pPr>
        <w:spacing w:before="60" w:after="60"/>
        <w:ind w:firstLine="0"/>
      </w:pP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该方法的核心逻辑为：首先调用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topological_sort()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获取分层列表，然后逐层遍历——对每个节点调用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_resolve_input()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解析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{node_id.key}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占位符（将上游节点的执行结果填入输入模板），构造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_execute_node()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异步任务。同层所有任务构造完毕后并行等待执行结果，失败节点记入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failed_nodes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。最终根据失败节点数判断整体状态：无失败为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success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，部分失败为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partial_failure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，全部失败为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failed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占位符解析：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_resolve_input()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方法遍历输入模板中的每个值，若包含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{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和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}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字符，则尝试匹配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{node_id.key}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格式的占位符，用上游节点对应 key 的执行结果进行字符串替换。例如模板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{"query": "{A.books}", "room": "{B.room_id}"}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在 A 节点返回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{"books": "Python编程"}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后，解析为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{"query": "Python编程", "room": "..."}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容错机制：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每个节点的执行经过三层容错保护——指数退避重试（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async_retry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，延迟公式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base_delay * 2^attempt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，默认最大重试 3 次）、熔断器（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CircuitBreaker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，三态流转：CLOSED → OPEN → HALF_OPEN，连续失败 5 次触发熔断，冷却 60 秒后半开试探，半开状态下连续成功 2 次恢复为关闭状态）、超时控制（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asyncio.wait_for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，默认 30 秒超时）。</w:t>
      </w:r>
    </w:p>
    <w:p>
      <w:pPr>
        <w:keepNext/>
        <w:spacing w:before="160" w:after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160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6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40"/>
        <w:ind w:firstLine="0"/>
        <w:jc w:val="center"/>
        <w:keepNext/>
        <w:keepLines/>
      </w:pP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图 5　DAG 协同调度示例图。4 节点示例任务：A（图书检索）与 B（课程查询）无依赖关系，由调度器分配至同层并行执行；C（自习室预约）依赖 A 的输出结果（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{A.books}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 占位符引用），在 A 完成后执行；D（行程汇总）同时依赖 B 和 C 的输出，在 B、C 均完成后执行。节点按状态着色：绿色表示成功，黄色表示重试后成功。示例任务，真实 trace 可通过 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/trace/{task_id}/mermaid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 导出为 Mermaid 流程图。</w:t>
      </w:r>
    </w:p>
    <w:p>
      <w:pPr>
        <w:spacing w:line="240" w:lineRule="auto" w:before="0" w:after="0"/>
        <w:ind w:firstLine="480"/>
      </w:pPr>
      <w:r>
        <w:rPr>
          <w:i/>
        </w:rPr>
        <w:t>[图片缺失: img/mermaid_security.png]</w:t>
      </w:r>
    </w:p>
    <w:p>
      <w:pPr>
        <w:spacing w:line="240" w:lineRule="auto" w:before="40" w:after="240"/>
        <w:ind w:firstLine="0"/>
        <w:jc w:val="center"/>
        <w:keepNext/>
        <w:keepLines/>
      </w:pP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图 6　安全管控三位一体闭环示意图。请求进入时先经 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TokenAuth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 完成 HMAC-SHA256 签名校验（防伪造），再经 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SensitiveFilter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 对输入文本做分类敏感词过滤，智能体执行后对输出文本再次过滤（防泄露），全流程由 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AuditLogger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 以线程安全方式追加落库（可追溯）。</w:t>
      </w:r>
    </w:p>
    <w:p>
      <w:pPr>
        <w:pStyle w:val="Heading4"/>
        <w:keepNext/>
      </w:pPr>
      <w:r>
        <w:t>4. 安全管控实现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安全管控模块（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trust_guard/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）由三个子组件构成，形成"鉴权防伪造→过滤防泄露→审计可追溯"的完整闭环。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HMAC-SHA256 Token 认证：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TokenAuth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类（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trust_guard/auth.py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）实现基于 HMAC-SHA256 的 Token 签发与校验。签发流程：构造 payload 字典（包含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sub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主体标识、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iat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签发时间戳、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exp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过期时间戳），序列化为 JSON 后使用 HMAC-SHA256 算法计算签名，将 payload 与签名以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.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分隔拼接后进行 Base64 编码生成 Token 字符串。校验流程：对 Token 进行 Base64 解码，按固定长度（HMAC-SHA256 签名 32 字节）切分分离 payload 与签名，使用相同密钥重新计算签名并通过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hmac.compare_digest()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进行时间安全比较（防止时序攻击），验证签名通过后解析 payload 并检查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exp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过期时间。密钥优先从参数读取，否则从环境变量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ZHISHU_SECRET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读取。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敏感词分类过滤：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SensitiveFilter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类（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trust_guard/sensitive.py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）内置 5 类敏感词表，覆盖校园智能体场景中的主要安全风险：</w:t>
      </w:r>
    </w:p>
    <w:p>
      <w:pPr>
        <w:keepNext/>
        <w:spacing w:line="240" w:lineRule="auto" w:before="200" w:after="80"/>
        <w:ind w:firstLine="0"/>
        <w:jc w:val="center"/>
        <w:keepLines/>
      </w:pPr>
      <w:r>
        <w:rPr>
          <w:rFonts w:ascii="Times New Roman" w:hAnsi="Times New Roman" w:eastAsia="Noto Serif CJK SC" w:cs="Times New Roman"/>
          <w:b/>
          <w:i w:val="0"/>
          <w:color w:val="000000"/>
          <w:sz w:val="21"/>
        </w:rPr>
        <w:t>表 6　敏感词分类表</w:t>
      </w:r>
    </w:p>
    <w:tbl>
      <w:tblPr>
        <w:tblW w:type="auto" w:w="0"/>
        <w:tblLayout w:type="autofit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类别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示例词项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风险说明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政治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反动、颠覆政权、分裂国家、恐怖主义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政治敏感内容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暴力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杀人、爆炸、枪击、血腥、自杀方法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暴力恐怖内容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色情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色情、淫秽、裸体、性交易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色情低俗内容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联系方式索取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加微信、加QQ、手机号、私人电话、约炮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隐私泄露与骚扰风险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诈骗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中奖、转账、汇款、银行卡号、密码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金融诈骗风险</w:t>
            </w:r>
          </w:p>
        </w:tc>
      </w:tr>
    </w:tbl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过滤流程采用输入输出双向过滤：请求进入时先对输入文本调用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filter()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方法，将命中词替换为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***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；响应返回时再次对输出文本进行过滤，防止智能体回复中泄露敏感信息。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filter()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方法返回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(clean_text, hits)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元组，其中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hits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记录命中的敏感词列表，供审计日志使用。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审计日志：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AuditLogger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类（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trust_guard/audit.py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）实现线程安全的追加式审计日志，使用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threading.Lock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保证并发写入安全。日志条目字段如下：</w:t>
      </w:r>
    </w:p>
    <w:p>
      <w:pPr>
        <w:keepNext/>
        <w:spacing w:line="240" w:lineRule="auto" w:before="200" w:after="80"/>
        <w:ind w:firstLine="0"/>
        <w:jc w:val="center"/>
        <w:keepLines/>
      </w:pPr>
      <w:r>
        <w:rPr>
          <w:rFonts w:ascii="Times New Roman" w:hAnsi="Times New Roman" w:eastAsia="Noto Serif CJK SC" w:cs="Times New Roman"/>
          <w:b/>
          <w:i w:val="0"/>
          <w:color w:val="000000"/>
          <w:sz w:val="21"/>
        </w:rPr>
        <w:t>表 7　审计日志字段表</w:t>
      </w:r>
    </w:p>
    <w:tbl>
      <w:tblPr>
        <w:tblW w:type="auto" w:w="0"/>
        <w:tblLayout w:type="autofit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time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float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时间戳（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time.time()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caller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str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调用者标识（Token 中的 subject）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action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str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操作类型（invoke / task / register / discover）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target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str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操作目标（智能体 ID 或任务 ID）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ok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bool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操作是否成功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detail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str | None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详细信息（错误消息、敏感词命中列表等）</w:t>
            </w:r>
          </w:p>
        </w:tc>
      </w:tr>
    </w:tbl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支持按调用者查询（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query_by_caller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）与全量导出（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export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），网关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/audit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接口调用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export()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返回完整审计记录。</w:t>
      </w:r>
    </w:p>
    <w:p>
      <w:pPr>
        <w:pStyle w:val="Heading4"/>
        <w:keepNext/>
      </w:pPr>
      <w:r>
        <w:t>5. 梧桐平台接入实现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梧桐平台对接模块（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aip_adapter/wutong.py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）基于官方 acps-sdk 实现，包含五个核心组件：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WutongConfig 配置管理：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使用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dataclass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定义，四个配置项均从环境变量读取（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WUTONG_REGISTRY_URL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、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WUTONG_DISCOVERY_URL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、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WUTONG_CA_URL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、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WUTONG_LEADER_AIC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），默认值为本地开发占位值（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localhost:9001/9003/9005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），所有占位值均标注"待群文档确认"。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validate()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方法校验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leader_aic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是否已配置，未配置时抛出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WutongError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并提示从 QQ 群获取。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build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_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acs 标准 ACS 构建：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将项目内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AgentCard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转换为符合梧桐平台规范的 ACS JSON 格式。从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capabilities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列表生成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skills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（每个能力对应一个 skill，包含 id/name/description/version/tags/inputModes/outputModes），构造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endPoints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（JSONRPC 传输协议 + mTLS 安全方案），组装完整 ACS 结构（含 aic/name/description/version/provider/securitySchemes/capabilities/skills 等字段）。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atr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_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guide 注册流程指引：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生成完整的七步 acps-cli 命令序列，覆盖 ATR 注册全流程。每步命令附带中文注释说明，具体步骤引用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wutong-onboarding.md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中的操作指南：① 身份登录（登录注册服务）→ ② 准备 ACS 文件 → ③ 提交 ACS 草稿 → ④ 提交审核（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外部依赖，等待管理员审批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）→ ⑤ 查询审核状态 → ⑥ 获取 EAB 凭据 → ⑦ 向 CA 申请 mTLS 证书。具体命令以官方文档为准。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discover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_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agents ADP 发现：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使用 acps-sdk 的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DiscoveryRequest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构造标准请求体，通过 httpx 向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{discovery_url}/acps-adp-v2/discover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发送 POST 请求。响应解析兼容多种格式（列表、含 agents/results/items/data 键的字典）。acps-sdk 未安装时抛出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WutongError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并提示安装。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invoke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_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remote Direct RPC 调用：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使用 acps-sdk 的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AipRpcClient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与远端智能体建立任务会话，提交用户输入后轮询任务状态（最多 60 次，每次间隔 1 秒），任务完成/失败/取消时返回结果摘要，超时后自动取消任务。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外部依赖明确标注：</w:t>
      </w:r>
    </w:p>
    <w:tbl>
      <w:tblPr>
        <w:tblW w:type="auto" w:w="0"/>
        <w:tblLayout w:type="autofit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依赖项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说明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当前状态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endpoint 地址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Registry :9001 / CA :9003 / Discovery :9005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待 QQ 群（1102086449）文档确认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ATR 管理员审核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提交审核后等待管理员审批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外部依赖，耗时不定（数小时~数天）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CA 证书签发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向 CA 申请证书后等待签发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待 CA 服务在线确认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Leader AIC 分配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审批通过后获得正式 AIC 编号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待平台分配</w:t>
            </w:r>
          </w:p>
        </w:tc>
      </w:tr>
    </w:tbl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以上梧桐平台相关数据均为待验证状态，不编造任何平台运行时数据。</w:t>
      </w:r>
    </w:p>
    <w:p>
      <w:pPr>
        <w:pStyle w:val="Heading4"/>
        <w:keepNext/>
      </w:pPr>
      <w:r>
        <w:t>6. 兼容性问题与优化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开发过程中遇到若干兼容性问题，逐一排查并修复。以下为代表性案例：</w:t>
      </w:r>
    </w:p>
    <w:p>
      <w:r/>
      <w:pPr>
        <w:keepNext/>
        <w:spacing w:line="240" w:lineRule="auto" w:before="200" w:after="80"/>
        <w:ind w:firstLine="0"/>
        <w:jc w:val="center"/>
        <w:keepLines/>
      </w:pPr>
      <w:r>
        <w:rPr>
          <w:rFonts w:ascii="Times New Roman" w:hAnsi="Times New Roman" w:eastAsia="Noto Serif CJK SC" w:cs="Times New Roman"/>
          <w:b/>
          <w:i w:val="0"/>
          <w:color w:val="000000"/>
          <w:sz w:val="21"/>
        </w:rPr>
        <w:t>表 8　兼容性问题与解决方案</w:t>
      </w:r>
    </w:p>
    <w:tbl>
      <w:tblPr>
        <w:tblW w:type="auto" w:w="0"/>
        <w:tblLayout w:type="autofit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问题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原因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解决方案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print 模式下 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--permission-mode dont_ask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仍拦截写文件操作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CLI print 模式（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-p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参数）的权限模型与交互模式行为不一致，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dont_ask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在 print 模式下未完全生效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改用 CLI 自带的 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--dangerously-skip-permissions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标志实现非交互自动化，作用域仅限本项目 src 目录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pytest 输出出现 httpx 弃用 warning（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DeprecationWarning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）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httpx 新版本弃用了部分旧版 API 用法，项目依赖的 httpx 版本与测试代码存在兼容性间隙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确认 warning 不影响功能正确性（32→143 项测试全绿），在后续版本升级时统一更新 httpx 调用方式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agents/course_qa.py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模拟课程数据含 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"teacher": "（已脱敏）"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字段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模拟数据中的该字段虽为虚构，但为满足参赛作品匿名评审要求，需避免任何可能被误读的身份信息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删除 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course_qa.py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中全部 teacher 字段及相关输出逻辑，课程问答智能体改为纯课程知识 + FAQ 架构，不涉及任何人员信息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tests/conftest.py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的 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clear_app_state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fixture 跨测试文件状态污染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fixture 设置为 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autouse=True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导致每个测试函数执行前都清空全局状态，跨文件运行时影响 test_wutong.py 的测试前置条件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将 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clear_app_state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从 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autouse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改为 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client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fixture 依赖，仅在需要干净状态的测试中显式使用</w:t>
            </w:r>
          </w:p>
        </w:tc>
      </w:tr>
    </w:tbl>
    <w:p>
      <w:pPr>
        <w:pStyle w:val="Heading2"/>
        <w:keepNext/>
      </w:pPr>
      <w:r>
        <w:t>五、应用成效</w:t>
      </w:r>
    </w:p>
    <w:p>
      <w:pPr>
        <w:pStyle w:val="Heading3"/>
        <w:keepNext/>
      </w:pPr>
      <w:r>
        <w:t>（一）功能成果展示</w:t>
      </w:r>
    </w:p>
    <w:p>
      <w:pPr>
        <w:pStyle w:val="Heading4"/>
        <w:keepNext/>
      </w:pPr>
      <w:r>
        <w:t>1. 十大 API 接口功能验证</w:t>
      </w:r>
    </w:p>
    <w:p>
      <w:pPr>
        <w:keepNext/>
        <w:spacing w:before="160" w:after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40"/>
        <w:ind w:firstLine="0"/>
        <w:jc w:val="center"/>
        <w:keepNext/>
        <w:keepLines/>
      </w:pP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图 7　测试用例分布与执行结果。六个测试文件共 143 项用例全部通过（0 失败），总耗时 1.20s；其中 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test_fullchain.py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 32 项覆盖全链路，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test_wutong.py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 28 项覆盖梧桐平台对接，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test_llm.py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 与 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test_observability.py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 各 16 项分别覆盖 LLM 后端与可观测性，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test_review_round1.py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、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test_review_round2.py</w:t>
      </w: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 xml:space="preserve"> 合计 51 项为评审回归用例。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系统共对外暴露 10 个 RESTful 接口，覆盖智能体注册、发现、调用、协同调度、可观测性与审计全链路。各接口均通过 pytest 自动化测试覆盖，验证结果如下：</w:t>
      </w:r>
    </w:p>
    <w:p>
      <w:pPr>
        <w:keepNext/>
        <w:spacing w:line="240" w:lineRule="auto" w:before="200" w:after="80"/>
        <w:ind w:firstLine="0"/>
        <w:jc w:val="center"/>
        <w:keepLines/>
      </w:pPr>
      <w:r>
        <w:rPr>
          <w:rFonts w:ascii="Times New Roman" w:hAnsi="Times New Roman" w:eastAsia="Noto Serif CJK SC" w:cs="Times New Roman"/>
          <w:b/>
          <w:i w:val="0"/>
          <w:color w:val="000000"/>
          <w:sz w:val="21"/>
        </w:rPr>
        <w:t>表 10　十大 API 接口功能验证表</w:t>
      </w:r>
    </w:p>
    <w:tbl>
      <w:tblPr>
        <w:tblW w:type="auto" w:w="0"/>
        <w:tblLayout w:type="autofit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1701"/>
        <w:gridCol w:w="1701"/>
        <w:gridCol w:w="1701"/>
        <w:gridCol w:w="1701"/>
        <w:gridCol w:w="1701"/>
      </w:tblGrid>
      <w:tr>
        <w:trPr>
          <w:tblHeader/>
          <w:cantSplit/>
        </w:trPr>
        <w:tc>
          <w:tcPr>
            <w:tcW w:type="dxa" w:w="794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序号</w:t>
            </w:r>
          </w:p>
        </w:tc>
        <w:tc>
          <w:tcPr>
            <w:tcW w:type="dxa" w:w="1701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接口</w:t>
            </w:r>
          </w:p>
        </w:tc>
        <w:tc>
          <w:tcPr>
            <w:tcW w:type="dxa" w:w="2721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功能</w:t>
            </w:r>
          </w:p>
        </w:tc>
        <w:tc>
          <w:tcPr>
            <w:tcW w:type="dxa" w:w="2041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验证方式</w:t>
            </w:r>
          </w:p>
        </w:tc>
        <w:tc>
          <w:tcPr>
            <w:tcW w:type="dxa" w:w="1247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GET /health</w:t>
            </w:r>
          </w:p>
        </w:tc>
        <w:tc>
          <w:tcPr>
            <w:tcW w:type="dxa" w:w="272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服务健康检查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pytest 覆盖通过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POST /token</w:t>
            </w:r>
          </w:p>
        </w:tc>
        <w:tc>
          <w:tcPr>
            <w:tcW w:type="dxa" w:w="272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签发 HMAC-SHA256 鉴权 Token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pytest 覆盖通过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POST /register</w:t>
            </w:r>
          </w:p>
        </w:tc>
        <w:tc>
          <w:tcPr>
            <w:tcW w:type="dxa" w:w="272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智能体注册（含重复注册 409 校验）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pytest 覆盖通过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GET /discover</w:t>
            </w:r>
          </w:p>
        </w:tc>
        <w:tc>
          <w:tcPr>
            <w:tcW w:type="dxa" w:w="272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按能力关键词发现智能体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pytest 覆盖通过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POST /invoke</w:t>
            </w:r>
          </w:p>
        </w:tc>
        <w:tc>
          <w:tcPr>
            <w:tcW w:type="dxa" w:w="272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点对点智能体调用（含鉴权校验）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pytest 覆盖通过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POST /task</w:t>
            </w:r>
          </w:p>
        </w:tc>
        <w:tc>
          <w:tcPr>
            <w:tcW w:type="dxa" w:w="272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提交 DAG 协同任务（含环检测）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pytest 覆盖通过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GET /metrics</w:t>
            </w:r>
          </w:p>
        </w:tc>
        <w:tc>
          <w:tcPr>
            <w:tcW w:type="dxa" w:w="272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查询运行时指标快照（需鉴权）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pytest 覆盖通过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GET /trace/{task_id}/mermaid</w:t>
            </w:r>
          </w:p>
        </w:tc>
        <w:tc>
          <w:tcPr>
            <w:tcW w:type="dxa" w:w="272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导出 DAG 执行追踪 Mermaid 流程图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pytest 覆盖通过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GET /trace/{task_id}/html</w:t>
            </w:r>
          </w:p>
        </w:tc>
        <w:tc>
          <w:tcPr>
            <w:tcW w:type="dxa" w:w="272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导出 DAG 执行追踪 HTML 报告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pytest 覆盖通过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701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GET /audit</w:t>
            </w:r>
          </w:p>
        </w:tc>
        <w:tc>
          <w:tcPr>
            <w:tcW w:type="dxa" w:w="2721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查询安全审计日志</w:t>
            </w:r>
          </w:p>
        </w:tc>
        <w:tc>
          <w:tcPr>
            <w:tcW w:type="dxa" w:w="2041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pytest 覆盖通过</w:t>
            </w:r>
          </w:p>
        </w:tc>
        <w:tc>
          <w:tcPr>
            <w:tcW w:type="dxa" w:w="1247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通过</w:t>
            </w:r>
          </w:p>
        </w:tc>
      </w:tr>
    </w:tbl>
    <w:p>
      <w:pPr>
        <w:pStyle w:val="Heading4"/>
        <w:keepNext/>
      </w:pPr>
      <w:r>
        <w:t>2. 演示智能体能力展示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系统内置 4 个校园场景演示智能体，覆盖课程咨询、图书检索、自习室预约与就业资讯四大高频需求。</w:t>
      </w:r>
    </w:p>
    <w:p>
      <w:pPr>
        <w:keepNext/>
        <w:spacing w:line="240" w:lineRule="auto" w:before="200" w:after="80"/>
        <w:ind w:firstLine="0"/>
        <w:jc w:val="center"/>
        <w:keepLines/>
      </w:pPr>
      <w:r>
        <w:rPr>
          <w:rFonts w:ascii="Times New Roman" w:hAnsi="Times New Roman" w:eastAsia="Noto Serif CJK SC" w:cs="Times New Roman"/>
          <w:b/>
          <w:i w:val="0"/>
          <w:color w:val="000000"/>
          <w:sz w:val="21"/>
        </w:rPr>
        <w:t>表 11　演示智能体能力表</w:t>
      </w:r>
    </w:p>
    <w:tbl>
      <w:tblPr>
        <w:tblW w:type="auto" w:w="0"/>
        <w:tblLayout w:type="autofit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2126"/>
        <w:gridCol w:w="2126"/>
        <w:gridCol w:w="2126"/>
        <w:gridCol w:w="2126"/>
      </w:tblGrid>
      <w:tr>
        <w:trPr>
          <w:tblHeader/>
          <w:cantSplit/>
        </w:trPr>
        <w:tc>
          <w:tcPr>
            <w:tcW w:type="dxa" w:w="2126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智能体 ID</w:t>
            </w:r>
          </w:p>
        </w:tc>
        <w:tc>
          <w:tcPr>
            <w:tcW w:type="dxa" w:w="2126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场景</w:t>
            </w:r>
          </w:p>
        </w:tc>
        <w:tc>
          <w:tcPr>
            <w:tcW w:type="dxa" w:w="2126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核心能力</w:t>
            </w:r>
          </w:p>
        </w:tc>
        <w:tc>
          <w:tcPr>
            <w:tcW w:type="dxa" w:w="2126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备注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course-qa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课程问答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课程知识检索 + FAQ 规则匹配，支持 LLM + 规则混合架构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未配置 LLM 时自动降级到规则引擎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library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图书馆检索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按书名/关键词检索馆藏，返回书名、作者、馆藏状态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纯规则实现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study-room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自习室预约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按教室 ID 查询自习室可用状态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纯规则实现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career</w:t>
            </w:r>
          </w:p>
        </w:tc>
        <w:tc>
          <w:tcPr>
            <w:tcW w:type="dxa" w:w="2126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秋招资讯</w:t>
            </w:r>
          </w:p>
        </w:tc>
        <w:tc>
          <w:tcPr>
            <w:tcW w:type="dxa" w:w="2126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按行业/岗位关键词返回招聘信息摘要</w:t>
            </w:r>
          </w:p>
        </w:tc>
        <w:tc>
          <w:tcPr>
            <w:tcW w:type="dxa" w:w="2126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纯规则实现</w:t>
            </w:r>
          </w:p>
        </w:tc>
      </w:tr>
    </w:tbl>
    <w:p>
      <w:pPr>
        <w:pStyle w:val="Heading4"/>
        <w:keepNext/>
      </w:pPr>
      <w:r>
        <w:t>3. 真实 DAG 协同任务执行记录</w:t>
      </w:r>
    </w:p>
    <w:p>
      <w:pPr>
        <w:keepNext/>
        <w:spacing w:before="160" w:after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18679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7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图 8（占位图框，图片待补充）：真实 DAG 任务执行追踪图。一次本地 TestClient 实测导出（数据来自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trace_sample.mmd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）：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lib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（图书馆检索）节点无上游依赖、首先执行；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room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（自习室预约）节点依赖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lib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输出，等待其完成后执行。两节点耗时均为 0.1ms，状态均为成功（绿色），任务总耗时约 0.23ms。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以下记录一次完整的 DAG 协同任务执行过程：用户提交一个两节点 DAG，先由图书馆智能体检索图书，再由自习室智能体查询预约状态，两节点存在先后依赖关系。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系统通过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/task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接口接收 DAG 定义，调度引擎按拓扑排序依次执行节点，并记录每个节点的耗时与状态。执行完成后，通过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/trace/{task_id}/mermaid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导出执行追踪图如下（数据来自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trace_sample.mmd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，为本地 TestClient 实测导出）：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执行讲解：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节点 lib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（图书馆检索）：首先执行，耗时 0.1ms，状态为成功（绿色）。该节点调用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library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智能体完成图书检索，无上游依赖。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节点 room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（自习室预约）：依赖 lib 节点完成后才执行，耗时 0.1ms，状态为成功（绿色）。该节点调用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study-room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智能体查询自习室状态。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边标注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：lib → room 的边标注 0.1ms，表示两节点间的调度间隔。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整体耗时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：从 DAG 提交到全部节点完成，总耗时约 0.23ms（与 metrics_sample.json 中 task 平均时延一致）。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该执行记录验证了 DAG 调度引擎的拓扑排序、依赖等待、逐节点计时与状态着色功能均正常工作。</w:t>
      </w:r>
    </w:p>
    <w:p>
      <w:pPr>
        <w:pStyle w:val="Heading3"/>
        <w:keepNext/>
      </w:pPr>
      <w:r>
        <w:t>（二）量化成效分析</w:t>
      </w:r>
    </w:p>
    <w:p>
      <w:pPr>
        <w:pStyle w:val="Heading4"/>
        <w:keepNext/>
      </w:pPr>
      <w:r>
        <w:t>1. 实测数据汇总</w:t>
      </w:r>
    </w:p>
    <w:p>
      <w:pPr>
        <w:keepNext/>
        <w:spacing w:line="240" w:lineRule="auto" w:before="200" w:after="80"/>
        <w:ind w:firstLine="0"/>
        <w:jc w:val="center"/>
      </w:pPr>
      <w:r>
        <w:rPr>
          <w:rFonts w:ascii="Times New Roman" w:hAnsi="Times New Roman" w:eastAsia="Noto Serif CJK SC" w:cs="Times New Roman"/>
          <w:b/>
          <w:i w:val="0"/>
          <w:color w:val="000000"/>
          <w:sz w:val="21"/>
        </w:rPr>
        <w:t>表 12　系统实测量化数据表</w:t>
      </w:r>
    </w:p>
    <w:tbl>
      <w:tblPr>
        <w:tblW w:type="auto" w:w="0"/>
        <w:tblLayout w:type="autofit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2126"/>
        <w:gridCol w:w="2126"/>
        <w:gridCol w:w="2126"/>
        <w:gridCol w:w="2126"/>
      </w:tblGrid>
      <w:tr>
        <w:trPr>
          <w:tblHeader/>
          <w:cantSplit/>
        </w:trPr>
        <w:tc>
          <w:tcPr>
            <w:tcW w:type="dxa" w:w="2126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指标类别</w:t>
            </w:r>
          </w:p>
        </w:tc>
        <w:tc>
          <w:tcPr>
            <w:tcW w:type="dxa" w:w="2126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具体指标</w:t>
            </w:r>
          </w:p>
        </w:tc>
        <w:tc>
          <w:tcPr>
            <w:tcW w:type="dxa" w:w="2126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数值</w:t>
            </w:r>
          </w:p>
        </w:tc>
        <w:tc>
          <w:tcPr>
            <w:tcW w:type="dxa" w:w="2126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数据来源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测试覆盖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测试用例总数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143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pytest 统计（6 个测试文件）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测试覆盖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通过率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100%（0 失败）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pytest 输出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测试覆盖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总耗时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1.20s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pytest 输出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接口时延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/invoke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调用总数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metrics_sample.json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接口时延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/invoke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成功率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100%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metrics_sample.json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接口时延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/invoke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平均时延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8.31ms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metrics_sample.json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接口时延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/invoke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P95 时延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16.56ms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metrics_sample.json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接口时延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/task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调用总数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metrics_sample.json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接口时延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/task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成功率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100%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metrics_sample.json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接口时延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/task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平均时延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0.23ms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metrics_sample.json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接口时延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/task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P95 时延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0.23ms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metrics_sample.json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接口时延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/task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平均节点数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2.0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metrics_sample.json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代码规模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Python 源码总行数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3,393 行</w:t>
            </w:r>
          </w:p>
        </w:tc>
        <w:tc>
          <w:tcPr>
            <w:tcW w:type="dxa" w:w="2126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cloc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统计</w:t>
            </w:r>
          </w:p>
        </w:tc>
      </w:tr>
      <w:tr>
        <w:trPr>
          <w:cantSplit/>
        </w:trPr>
        <w:tc>
          <w:tcPr>
            <w:tcW w:type="dxa" w:w="2126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代码规模</w:t>
            </w:r>
          </w:p>
        </w:tc>
        <w:tc>
          <w:tcPr>
            <w:tcW w:type="dxa" w:w="2126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功能模块数</w:t>
            </w:r>
          </w:p>
        </w:tc>
        <w:tc>
          <w:tcPr>
            <w:tcW w:type="dxa" w:w="2126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126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src/ 一级目录数</w:t>
            </w:r>
          </w:p>
        </w:tc>
      </w:tr>
    </w:tbl>
    <w:p>
      <w:pPr>
        <w:pBdr>
          <w:left w:val="single" w:sz="12" w:space="4" w:color="AAAAAA"/>
        </w:pBdr>
        <w:spacing w:line="240" w:lineRule="auto" w:before="0" w:after="0"/>
        <w:ind w:left="720" w:firstLine="480"/>
        <w:keepNext/>
        <w:keepLines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数据说明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：上表中接口时延数据来自 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metrics_sample.json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，为本地 TestClient 实测快照，非生产环境数据。测试用例数通过在 src/ 目录执行 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python -m pytest tests/ -q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实测得出，分文件为（test_fullchain.py 32 项、test_wutong.py 28 项、test_llm.py 16 项、test_observability.py 16 项、test_review_round1.py 20 项、test_review_round2.py 31 项，合计 143 项。</w:t>
      </w:r>
    </w:p>
    <w:p>
      <w:pPr>
        <w:pStyle w:val="Heading4"/>
        <w:keepNext/>
      </w:pPr>
      <w:r>
        <w:t>2. 三维度社会效益分析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技术落地维度——开箱即用的校园协同模板：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本项目将 AIP 协议规范转化为可直接运行的 FastAPI 服务，内置 4 个校园场景智能体与 DAG 协同调度引擎。高校开发者无需从零搭建协议适配层，仅需替换智能体业务逻辑即可快速部署属于自己的智能体协同平台，显著降低 AIP 协议的技术落地门槛。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标准化推广维度——AIP 国标校园落地案例：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项目严格遵循 AIP 系列国家标准（2026 年，7 部分），在智能体名片（AgentCard）、注册表、发现服务、会话传输等核心环节均按国标接口规范实现。作为 AIP 国标在校园场景的首批落地实践之一，本项目可为后续同类项目提供可复用的参考架构与实现范式。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场景赋能维度——一次接入多协议复用：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异构协议翻译网关将 MCP、OpenAPI、自定义 HTTP 三种协议统一为 AIP 标准接口。校园内已有的各类服务（如图书馆 OPAC 系统、教务系统 API、第三方招聘平台）仅需一次适配接入，即可被任意 AIP 智能体调用，避免重复开发，实现"一次接入、多智能体复用"的协同效应。</w:t>
      </w:r>
    </w:p>
    <w:p>
      <w:pPr>
        <w:pStyle w:val="Heading4"/>
        <w:keepNext/>
      </w:pPr>
      <w:r>
        <w:t>3. 梧桐平台累计访问次数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待平台验证完成后补充。</w:t>
      </w:r>
    </w:p>
    <w:p>
      <w:pPr>
        <w:pStyle w:val="Heading3"/>
        <w:keepNext/>
      </w:pPr>
      <w:r>
        <w:t>（三）必要验证场景完成情况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以下四项为赛题要求的核心验证场景，当前代码层面已全部实现，但受外部审核流程约束，尚待用户完成 QQ 群文档确认与 ATR 审核后执行端到端验证。</w:t>
      </w:r>
    </w:p>
    <w:p>
      <w:pPr>
        <w:keepNext/>
        <w:spacing w:line="240" w:lineRule="auto" w:before="200" w:after="80"/>
        <w:ind w:firstLine="0"/>
        <w:jc w:val="center"/>
        <w:keepLines/>
      </w:pPr>
      <w:r>
        <w:rPr>
          <w:rFonts w:ascii="Times New Roman" w:hAnsi="Times New Roman" w:eastAsia="Noto Serif CJK SC" w:cs="Times New Roman"/>
          <w:b/>
          <w:i w:val="0"/>
          <w:color w:val="000000"/>
          <w:sz w:val="21"/>
        </w:rPr>
        <w:t>表 13　必要验证场景完成情况对照表</w:t>
      </w:r>
    </w:p>
    <w:tbl>
      <w:tblPr>
        <w:tblW w:type="auto" w:w="0"/>
        <w:tblLayout w:type="autofit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验证场景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代码实现状态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验证执行状态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智能体注册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代码已实现（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wutong.py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走 acps-sdk）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待用户完成 QQ 群文档确认与 ATR 审核后执行验证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自动发现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代码已实现（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wutong.py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走 acps-sdk）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待用户完成 QQ 群文档确认与 ATR 审核后执行验证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跨端互联访问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代码已实现（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wutong.py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走 acps-sdk）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待用户完成 QQ 群文档确认与 ATR 审核后执行验证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后台访问数据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代码已实现（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wutong.py</w:t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 xml:space="preserve"> 走 acps-sdk）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待用户完成 QQ 群文档确认与 ATR 审核后执行验证</w:t>
            </w:r>
          </w:p>
        </w:tc>
      </w:tr>
    </w:tbl>
    <w:p>
      <w:pPr>
        <w:pBdr>
          <w:left w:val="single" w:sz="12" w:space="4" w:color="AAAAAA"/>
        </w:pBdr>
        <w:spacing w:line="240" w:lineRule="auto" w:before="0" w:after="0"/>
        <w:ind w:left="720" w:firstLine="480"/>
        <w:keepNext/>
        <w:keepLines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说明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：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src/aip_adapter/wutong.py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中的梧桐平台适配器基于 acps-sdk 实现，注册、发现、互联访问等功能代码均已就绪。但由于梧桐平台侧的 ATR 审核流程需由参赛团队通过 QQ 群（1102086449）获取官方文档后自行完成，当前阶段无法在本地环境中完成真实平台验证。</w:t>
      </w:r>
    </w:p>
    <w:p>
      <w:pPr>
        <w:keepNext/>
        <w:spacing w:before="160" w:after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18679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7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40"/>
        <w:ind w:firstLine="0"/>
        <w:jc w:val="center"/>
        <w:keepNext/>
        <w:keepLines/>
      </w:pPr>
      <w:r>
        <w:rPr>
          <w:rFonts w:ascii="Times New Roman" w:hAnsi="Times New Roman" w:eastAsia="Noto Serif CJK SC" w:cs="Times New Roman"/>
          <w:b w:val="0"/>
          <w:i w:val="0"/>
          <w:color w:val="000000"/>
          <w:sz w:val="21"/>
        </w:rPr>
        <w:t>图 10　梧桐平台后台访问数据截图（占位图）。本图当前为占位示意图，用于预留平台后台访问数据的展示位置；待梧桐平台 ATR 审核与 mTLS 证书签发完成后，将替换为平台后台真实截图，本报告不预填任何未经平台验证的数据。</w:t>
      </w:r>
    </w:p>
    <w:p>
      <w:pPr>
        <w:pStyle w:val="Heading3"/>
        <w:keepNext/>
      </w:pPr>
      <w:r>
        <w:t>（四）开放开源贡献</w:t>
      </w:r>
    </w:p>
    <w:p>
      <w:pPr>
        <w:pStyle w:val="Heading4"/>
        <w:keepNext/>
      </w:pPr>
      <w:r>
        <w:t>开源计划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本项目代码仓库待用户确认 GitHub 地址后，以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木兰宽松许可证第 2 版（MulanPSL-2.0）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开源。选择木兰许可证的理由：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木兰宽松许可证 v2 是中国首个国际化开源许可证，已被 OSI 认可，兼容 Apache-2.0；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允许商业使用、修改与分发，适合校园项目的开放共享与后续社区协作；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与 ACPs-community 参考实现（github.com/AIP-PUB/ACPs-community，v2.2.0，木兰 v2）保持许可证一致性。</w:t>
      </w:r>
    </w:p>
    <w:p>
      <w:pPr>
        <w:pStyle w:val="Heading4"/>
        <w:keepNext/>
      </w:pPr>
      <w:r>
        <w:t>AIP 社区互动计划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开源后，计划通过以下方式参与 AIP 社区建设：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Issue 反馈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：在 ACPs-community 仓库提交本项目在实现过程中发现的接口规范疑问与改进建议；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教程分享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：撰写"基于 AIP 国标的校园智能体协同平台搭建指南"，分享从协议理解到代码实现的完整经验；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3.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场景贡献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：将 4 个校园演示智能体作为 AIP 校园场景参考实现提交至社区。</w:t>
      </w:r>
    </w:p>
    <w:p>
      <w:pPr>
        <w:pBdr>
          <w:left w:val="single" w:sz="12" w:space="4" w:color="AAAAAA"/>
        </w:pBdr>
        <w:spacing w:line="240" w:lineRule="auto" w:before="0" w:after="0"/>
        <w:ind w:left="720" w:firstLine="480"/>
        <w:keepNext/>
        <w:keepLines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当前进度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：仓库待公开。GitHub 地址待用户确认后补充。</w:t>
      </w:r>
    </w:p>
    <w:p>
      <w:pPr>
        <w:pStyle w:val="Heading2"/>
        <w:keepNext/>
      </w:pPr>
      <w:r>
        <w:t>六、总结与展望</w:t>
      </w:r>
    </w:p>
    <w:p>
      <w:pPr>
        <w:pStyle w:val="Heading3"/>
        <w:keepNext/>
      </w:pPr>
      <w:r>
        <w:t>（一）经验总结</w:t>
      </w:r>
    </w:p>
    <w:p>
      <w:pPr>
        <w:pStyle w:val="Heading4"/>
        <w:keepNext/>
      </w:pPr>
      <w:r>
        <w:t>成功经验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协议刚性部分复用官方 SDK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：AIP 协议中智能体名片、注册表、发现服务等规范性强的模块，直接基于 acps-sdk 实现，避免重复造轮子，同时确保与国标的严格对齐。这一策略将开发精力集中在创新层而非协议细节上。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自研聚焦创新层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：异构协议翻译网关、DAG 协同调度引擎、安全管控闭环等核心创新模块全部自研。网关层通过适配器模式将三种异构协议统一为 AIP 标准；调度引擎实现了拓扑排序、分层并行、指数退避重试与熔断保护；安全模块形成了 Token 鉴权、敏感词过滤、审计日志的完整闭环。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3.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可观测性先行支撑报告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：在项目初期即设计并实现了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/metrics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指标接口、结构化 JSON 日志与 Trace 导出功能。这一决策使技术报告中的量化成效分析（时延、成功率、用例分布等）均有真实数据支撑，避免了报告撰写阶段临时补数据的被动局面。</w:t>
      </w:r>
    </w:p>
    <w:p>
      <w:pPr>
        <w:pStyle w:val="Heading4"/>
        <w:keepNext/>
      </w:pPr>
      <w:r>
        <w:t>不足之处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梧桐真实验证依赖外部审核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：梧桐平台的注册、发现、互联访问等核心功能虽代码已实现，但真实验证需通过 QQ 群获取官方文档并完成 ATR 审核。这一外部依赖导致报告中部分验证场景只能标注"待验证"，影响了成果展示的完整性。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演示智能体 LLM 化仅覆盖课程问答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：4 个演示智能体中，仅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course-qa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支持 LLM + 规则混合架构，其余三个（图书馆检索、自习室预约、秋招资讯）均为纯规则实现。若能将其余智能体也接入 LLM 后端，将进一步提升智能体的自然语言理解与泛化能力。</w:t>
      </w:r>
    </w:p>
    <w:p>
      <w:pPr>
        <w:pStyle w:val="Heading3"/>
        <w:keepNext/>
      </w:pPr>
      <w:r>
        <w:t>（二）未来规划</w:t>
      </w:r>
    </w:p>
    <w:p>
      <w:pPr>
        <w:pStyle w:val="Heading4"/>
        <w:keepNext/>
      </w:pPr>
      <w:r>
        <w:t>短期规划（1-3 个月）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完成梧桐平台验证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：通过 QQ 群获取官方文档，完成 ATR 审核，实现智能体在梧桐平台的真实注册、发现与互联访问，补全报告中的验证场景；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访问量运营冲排行榜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：部署至公网环境，通过校园推广与社区分享积累真实访问量，争取在梧桐平台排行榜中获得靠前名次。</w:t>
      </w:r>
    </w:p>
    <w:p>
      <w:pPr>
        <w:pStyle w:val="Heading4"/>
        <w:keepNext/>
      </w:pPr>
      <w:r>
        <w:t>中期规划（3-12 个月）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RAG 知识库接入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：为课程问答、图书馆检索等智能体接入 RAG（检索增强生成）知识库，将校园规章制度、课程大纲、馆藏目录等非结构化文档转化为可检索的知识源，提升问答准确率；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扩展校园场景智能体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：新增食堂导航、校园活动推荐、学术讲座提醒、心理健康咨询等智能体，覆盖更丰富的校园生活场景。</w:t>
      </w:r>
    </w:p>
    <w:p>
      <w:pPr>
        <w:pStyle w:val="Heading4"/>
        <w:keepNext/>
      </w:pPr>
      <w:r>
        <w:t>长期规划（1-3 年）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跨校联盟链式互联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：基于 AIP 协议的跨域发现与会话传输能力，实现多校智能体的链式协同。例如 A 校的课程问答智能体可调用 B 校的图书馆检索智能体，形成跨校知识共享网络；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/>
          <w:i w:val="0"/>
          <w:color w:val="000000"/>
          <w:sz w:val="24"/>
        </w:rPr>
        <w:t>商业化 SaaS 服务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：将平台封装为面向高校的一站式智能体协同 SaaS 服务，提供智能体托管、协议适配、协同调度、安全管控等能力，降低高校数字化转型的技术门槛。</w:t>
      </w:r>
    </w:p>
    <w:p>
      <w:pPr>
        <w:pStyle w:val="Heading2"/>
        <w:keepNext/>
      </w:pPr>
      <w:r>
        <w:t>七、附录</w:t>
      </w:r>
    </w:p>
    <w:p>
      <w:pPr>
        <w:pStyle w:val="Heading3"/>
        <w:keepNext/>
      </w:pPr>
      <w:r>
        <w:t>（一）测试数据</w:t>
      </w:r>
    </w:p>
    <w:p>
      <w:pPr>
        <w:pStyle w:val="Heading4"/>
        <w:keepNext/>
      </w:pPr>
      <w:r>
        <w:t>1. pytest 分文件用例统计</w:t>
      </w:r>
    </w:p>
    <w:p>
      <w:pPr>
        <w:keepNext/>
        <w:spacing w:line="240" w:lineRule="auto" w:before="200" w:after="80"/>
        <w:ind w:firstLine="0"/>
        <w:jc w:val="center"/>
        <w:keepLines/>
      </w:pPr>
      <w:r>
        <w:rPr>
          <w:rFonts w:ascii="Times New Roman" w:hAnsi="Times New Roman" w:eastAsia="Noto Serif CJK SC" w:cs="Times New Roman"/>
          <w:b/>
          <w:i w:val="0"/>
          <w:color w:val="000000"/>
          <w:sz w:val="21"/>
        </w:rPr>
        <w:t>表 14　测试用例分文件统计表</w:t>
      </w:r>
    </w:p>
    <w:tbl>
      <w:tblPr>
        <w:tblW w:type="auto" w:w="0"/>
        <w:tblLayout w:type="autofit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测试文件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用例数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覆盖模块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test_fullchain.py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32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全链路：健康检查、注册、发现、调用、DAG 调度、适配器、鉴权、敏感词、注册表、发现服务、传输层、DAG 算法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test_wutong.py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梧桐平台：ACS 结构校验、发现服务、接入指南、配置验证、远程调用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test_llm.py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LLM 后端：对话成功/失败/降级、配置管理、FAQ 规则、输出过滤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test_observability.py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可观测性：指标快照、Mermaid/HTML 导出、鉴权、Trace 追踪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test_review_round1.py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首轮评审回归：封面要素、数据一致性、拼写与图表规范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test_review_round2.py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次轮评审回归：目录、表格分页、占位图、命令保守表述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合计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143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</w:tbl>
    <w:p>
      <w:pPr>
        <w:pStyle w:val="Heading4"/>
        <w:keepNext/>
      </w:pPr>
      <w:r>
        <w:t>2. 测试结论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143 项测试用例全部通过，0 失败，总耗时 1.20s。测试覆盖系统全部功能模块，包括 API 接口、协议适配器、DAG 调度引擎、安全管控、梧桐平台适配器、LLM 混合架构与可观测性组件。</w:t>
      </w:r>
    </w:p>
    <w:p>
      <w:pPr>
        <w:pStyle w:val="Heading4"/>
        <w:keepNext/>
      </w:pPr>
      <w:r>
        <w:t>3. 性能数据复述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/invoke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接口：调用 2 次，成功率 100%，平均时延 8.31ms，P95 时延 16.56ms；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/task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接口：调用 1 次，成功率 100%，平均时延 0.23ms，P95 时延 0.23ms，平均节点数 2.0；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以上数据为本地 TestClient 实测快照（来源：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metrics_sample.json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），非生产环境数据。</w:t>
      </w:r>
    </w:p>
    <w:p>
      <w:pPr>
        <w:pStyle w:val="Heading3"/>
        <w:keepNext/>
      </w:pPr>
      <w:r>
        <w:t>（二）完整工程源码说明</w:t>
      </w:r>
    </w:p>
    <w:p>
      <w:pPr>
        <w:pStyle w:val="Heading4"/>
        <w:keepNext/>
      </w:pPr>
      <w:r>
        <w:t>1. 目录结构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8504"/>
      </w:tblGrid>
      <w:tr>
        <w:trPr>
          <w:tblHeader/>
          <w:cantSplit/>
        </w:trPr>
        <w:tc>
          <w:tcPr>
            <w:tcW w:type="dxa" w:w="7087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src/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├── aip_adapter/          # AIP 协议适配层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models.py         # AgentCard 数据模型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registry.py       # 注册表（抽象 + 内存实现）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discovery.py      # 发现服务（按能力关键词检索）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session.py        # 会话传输（抽象 + Mock 实现）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└── wutong.py         # 梧桐平台适配器（基于 acps-sdk）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├── hetero_gateway/       # 异构协议适配网关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base.py           # 适配器抽象基类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mcp_adapter.py    # MCP 协议适配器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openapi_adapter.py# OpenAPI 适配器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http_adapter.py   # 自定义 HTTP 适配器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└── llm_backend.py    # LLM 后端（OpenAI-compatible）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├── orchestrator/         # DAG 协同调度引擎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dag.py            # DAG 定义与拓扑排序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scheduler.py      # 调度器（并行执行 + 重试 + 熔断）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retry.py          # 指数退避重试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circuit.py        # 熔断器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── trace.py          # 执行追踪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── trust_guard/          # 安全管控模块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auth.py           # HMAC-SHA256 Token 认证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audit.py          # 审计日志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└── sensitive.py      # 敏感词过滤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├── agents/               # 校园演示智能体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base.py           # 智能体基类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course_qa.py      # 课程问答（LLM + 规则混合）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library.py        # 图书馆检索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study_room.py     # 自习室预约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└── career.py         # 秋招资讯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├── gateway/              # 统一入口（FastAPI）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app.py            # 应用主文件（10 个 API 路由）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metrics.py        # 指标收集器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└── json_logging.py   # JSON 结构化日志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├── deploy/               # 一键部署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Dockerfile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docker-compose.yml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└── deploy.sh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├── tests/                # 全链路测试（143 项用例）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conftest.py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test_fullchain.py # 32 项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test_wutong.py    # 28 项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├── test_llm.py       # 16 项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└── test_observability.py # 16 项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├── docs/                 # 文档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│   └── architecture.md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├── requirements.txt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└── pytest.ini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​</w:t>
            </w:r>
          </w:p>
        </w:tc>
      </w:tr>
    </w:tbl>
    <w:p>
      <w:pPr>
        <w:spacing w:before="60" w:after="60"/>
        <w:ind w:firstLine="0"/>
      </w:pPr>
    </w:p>
    <w:p>
      <w:pPr>
        <w:pStyle w:val="Heading4"/>
        <w:keepNext/>
      </w:pPr>
      <w:r>
        <w:t>2. 注释规范</w:t>
      </w:r>
    </w:p>
    <w:p>
      <w:pPr>
        <w:spacing w:line="240" w:lineRule="auto" w:before="0" w:after="0"/>
        <w:ind w:firstLine="480"/>
        <w:jc w:val="both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代码注释遵循"一句话注释"原则：每个函数/方法仅用一行中文说明其职责，不写多行 docstring。示例：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8504"/>
      </w:tblGrid>
      <w:tr>
        <w:trPr>
          <w:tblHeader/>
          <w:cantSplit/>
        </w:trPr>
        <w:tc>
          <w:tcPr>
            <w:tcW w:type="dxa" w:w="7087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def topological_sort(nodes: list[dict]) -&gt; list[str]: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 xml:space="preserve">    """对 DAG 节点执行拓扑排序，检测环并返回执行顺序。"""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​</w:t>
            </w:r>
          </w:p>
        </w:tc>
      </w:tr>
    </w:tbl>
    <w:p>
      <w:pPr>
        <w:spacing w:before="60" w:after="60"/>
        <w:ind w:firstLine="0"/>
      </w:pPr>
    </w:p>
    <w:p>
      <w:pPr>
        <w:pStyle w:val="Heading4"/>
        <w:keepNext/>
      </w:pPr>
      <w:r>
        <w:t>3. 一键部署三步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8504"/>
      </w:tblGrid>
      <w:tr>
        <w:trPr>
          <w:tblHeader/>
          <w:cantSplit/>
        </w:trPr>
        <w:tc>
          <w:tcPr>
            <w:tcW w:type="dxa" w:w="7087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# 第一步：安装依赖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pip install -r requirements.txt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​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# 第二步：启动服务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uvicorn gateway.app:app --reload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​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# 第三步：运行测试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python -m pytest tests/ -v</w:t>
            </w:r>
          </w:p>
          <w:p>
            <w:pPr>
              <w:spacing w:line="240" w:lineRule="auto" w:before="0" w:after="0"/>
              <w:ind w:firstLine="0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​</w:t>
            </w:r>
          </w:p>
        </w:tc>
      </w:tr>
    </w:tbl>
    <w:p>
      <w:pPr>
        <w:spacing w:before="60" w:after="60"/>
        <w:ind w:firstLine="0"/>
      </w:pPr>
    </w:p>
    <w:p>
      <w:pPr>
        <w:pStyle w:val="Heading4"/>
        <w:keepNext/>
      </w:pPr>
      <w:r>
        <w:t>4. deploy.sh 说明</w:t>
      </w:r>
    </w:p>
    <w:p>
      <w:pPr>
        <w:spacing w:line="240" w:lineRule="auto" w:before="0" w:after="0"/>
        <w:ind w:firstLine="480"/>
        <w:jc w:val="both"/>
      </w:pP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deploy/deploy.sh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为自动化部署脚本，封装了以下操作：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检查 Python 版本（≥ 3.11）与依赖安装状态；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自动执行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pip install -r requirements.txt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；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以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uvicorn gateway.app:app --host 0.0.0.0 --port 8000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启动生产服务；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可选执行 </w:t>
      </w:r>
      <w:r>
        <w:rPr>
          <w:rFonts w:ascii="DejaVu Sans Mono" w:hAnsi="Noto Sans Mono CJK SC" w:eastAsia="Noto Sans Mono CJK SC" w:cs="Noto Sans Mono CJK SC"/>
          <w:b w:val="0"/>
          <w:i w:val="0"/>
          <w:color w:val="000000"/>
          <w:sz w:val="18"/>
        </w:rPr>
        <w:t>pytest tests/ -v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 进行部署后验证。</w:t>
      </w:r>
    </w:p>
    <w:p>
      <w:pPr>
        <w:pStyle w:val="Heading3"/>
        <w:keepNext/>
      </w:pPr>
      <w:r>
        <w:t>（三）参考文献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全国智能体标准化技术委员会. 智能体互联协议（AIP）第 1 部分：总体架构. 2026.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全国智能体标准化技术委员会. 智能体互联协议（AIP）第 2 部分：智能体名片规范. 2026.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3. 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全国智能体标准化技术委员会. 智能体互联协议（AIP）第 3 部分：注册与发现服务. 2026.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4. 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全国智能体标准化技术委员会. 智能体互联协议（AIP）第 4 部分：会话传输协议. 2026.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5. 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全国智能体标准化技术委员会. 智能体互联协议（AIP）第 5 部分：安全与信任机制. 2026.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6. 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全国智能体标准化技术委员会. 智能体互联协议（AIP）第 6 部分：协同调度规范. 2026.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7. 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全国智能体标准化技术委员会. 智能体互联协议（AIP）第 7 部分：测试与验证方法. 2026.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8. 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AIP-PUB. ACPs-community: AIP 协议社区参考实现. v2.2.0. 木兰宽松许可证 v2. https://github.com/AIP-PUB/ACPs-community</w:t>
      </w:r>
    </w:p>
    <w:p>
      <w:pPr>
        <w:spacing w:line="240" w:lineRule="auto" w:before="0" w:after="0"/>
        <w:ind w:left="0" w:firstLine="480"/>
        <w:jc w:val="left"/>
      </w:pP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 xml:space="preserve">9. </w:t>
      </w:r>
      <w:r>
        <w:rPr>
          <w:rFonts w:ascii="Times New Roman" w:hAnsi="Noto Serif CJK SC" w:eastAsia="Noto Serif CJK SC" w:cs="Noto Serif CJK SC"/>
          <w:b w:val="0"/>
          <w:i w:val="0"/>
          <w:color w:val="000000"/>
          <w:sz w:val="24"/>
        </w:rPr>
        <w:t>全智赛组委会. 关于举办 2026 年第八届全球校园人工智能算法精英大赛的通知〔2026〕32 号.</w:t>
      </w:r>
    </w:p>
    <w:p>
      <w:pPr>
        <w:pStyle w:val="Heading3"/>
        <w:keepNext/>
      </w:pPr>
      <w:r>
        <w:t>（四）佐证材料清单</w:t>
      </w:r>
    </w:p>
    <w:p>
      <w:pPr>
        <w:keepNext/>
        <w:spacing w:line="240" w:lineRule="auto" w:before="200" w:after="80"/>
        <w:ind w:firstLine="0"/>
        <w:jc w:val="center"/>
        <w:keepLines/>
      </w:pPr>
      <w:r>
        <w:rPr>
          <w:rFonts w:ascii="Times New Roman" w:hAnsi="Times New Roman" w:eastAsia="Noto Serif CJK SC" w:cs="Times New Roman"/>
          <w:b/>
          <w:i w:val="0"/>
          <w:color w:val="000000"/>
          <w:sz w:val="21"/>
        </w:rPr>
        <w:t>表 15　佐证材料清单</w:t>
      </w:r>
    </w:p>
    <w:tbl>
      <w:tblPr>
        <w:tblW w:type="auto" w:w="0"/>
        <w:tblLayout w:type="autofit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材料名称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状态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备注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系统演示视频（3-5 分钟）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待录制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需录制 API 调用、DAG 协同、Trace 导出的完整操作流程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梧桐平台后台访问数据截图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待补充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待平台验证完成后从后台截取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软件著作权 / 专利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暂无，计划申请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计划以"基于 AIP 协议的异构智能体协同调度系统"为名申请软著</w:t>
            </w:r>
          </w:p>
        </w:tc>
      </w:tr>
    </w:tbl>
    <w:p>
      <w:pPr>
        <w:pStyle w:val="Heading3"/>
        <w:keepNext/>
      </w:pPr>
      <w:r>
        <w:t>（五）开源贡献材料</w:t>
      </w:r>
    </w:p>
    <w:p>
      <w:pPr>
        <w:keepNext/>
        <w:spacing w:line="240" w:lineRule="auto" w:before="200" w:after="80"/>
        <w:ind w:firstLine="0"/>
        <w:jc w:val="center"/>
        <w:keepLines/>
      </w:pPr>
      <w:r>
        <w:rPr>
          <w:rFonts w:ascii="Times New Roman" w:hAnsi="Times New Roman" w:eastAsia="Noto Serif CJK SC" w:cs="Times New Roman"/>
          <w:b/>
          <w:i w:val="0"/>
          <w:color w:val="000000"/>
          <w:sz w:val="21"/>
        </w:rPr>
        <w:t>表 16　开源贡献材料清单</w:t>
      </w:r>
    </w:p>
    <w:tbl>
      <w:tblPr>
        <w:tblW w:type="auto" w:w="0"/>
        <w:tblLayout w:type="autofit"/>
        <w:jc w:val="center"/>
        <w:tblLook w:firstColumn="1" w:firstRow="1" w:lastColumn="0" w:lastRow="0" w:noHBand="0" w:noVBand="1" w:val="04A0"/>
        <w:tblLayout w:type="fixed"/>
        <w:tblW w:w="8503" w:type="dxa"/>
        <w:tblpPr w:tblOverlap="never"/>
      </w:tblPr>
      <w:tblGrid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材料名称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状态</w:t>
            </w:r>
          </w:p>
        </w:tc>
        <w:tc>
          <w:tcPr>
            <w:tcW w:type="dxa" w:w="2835"/>
            <w:tcBorders>
              <w:top w:val="single" w:sz="18" w:space="0" w:color="000000"/>
              <w:bottom w:val="single" w:sz="6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  <w:keepLines/>
            </w:pP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/>
                <w:i w:val="0"/>
                <w:color w:val="000000"/>
                <w:sz w:val="20"/>
              </w:rPr>
              <w:t>备注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GitHub 开源仓库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待公开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待用户确认 GitHub 地址后以木兰宽松许可证 v2 开源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ACPs-community Issue 反馈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待提交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开源后提交实现过程中的规范疑问与改进建议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AIP 校园场景教程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待撰写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keepNext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开源后撰写"基于 AIP 国标的校园智能体协同平台搭建指南"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校园演示智能体场景贡献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待提交</w:t>
            </w:r>
          </w:p>
        </w:tc>
        <w:tc>
          <w:tcPr>
            <w:tcW w:type="dxa" w:w="2835"/>
            <w:tcBorders>
              <w:top w:val="nil"/>
              <w:bottom w:val="single" w:sz="18" w:space="0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Noto Serif CJK SC" w:cs="Times New Roman"/>
                <w:b w:val="0"/>
                <w:i w:val="0"/>
                <w:color w:val="000000"/>
                <w:sz w:val="20"/>
              </w:rPr>
              <w:t>将 4 个校园智能体作为参考实现提交至 AIP 社区</w:t>
            </w:r>
          </w:p>
        </w:tc>
      </w:tr>
    </w:tbl>
    <w:sectPr>
      <w:headerReference w:type="default" r:id="rId17"/>
      <w:footerReference w:type="default" r:id="rId18"/>
      <w:type w:val="nextPage"/>
      <w:pgSz w:w="11906" w:h="16838"/>
      <w:pgMar w:top="1417" w:right="1701" w:bottom="1417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0"/>
      <w:jc w:val="center"/>
    </w:pPr>
    <w:r>
      <w:rPr>
        <w:rFonts w:ascii="Times New Roman" w:hAnsi="Times New Roman" w:eastAsia="Noto Serif CJK SC" w:cs="Times New Roman"/>
        <w:b w:val="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spacing w:before="0" w:after="0"/>
      <w:jc w:val="center"/>
      <w:pBdr>
        <w:bottom w:val="single" w:sz="6" w:space="1" w:color="000000"/>
      </w:pBdr>
    </w:pPr>
    <w:r>
      <w:rPr>
        <w:rFonts w:ascii="Times New Roman" w:hAnsi="Times New Roman" w:eastAsia="Noto Serif CJK SC" w:cs="Times New Roman"/>
        <w:b w:val="0"/>
        <w:sz w:val="18"/>
      </w:rPr>
      <w:t>智枢 CampusHub · 技术报告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Noto Serif CJK SC" w:eastAsia="Noto Serif CJK SC" w:cs="Noto Serif CJK SC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="Times New Roman" w:hAnsi="Noto Serif CJK SC" w:eastAsia="Noto Serif CJK SC" w:cs="Noto Serif CJK SC"/>
      <w:b/>
      <w:bCs/>
      <w:i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jc w:val="left"/>
      <w:outlineLvl w:val="1"/>
    </w:pPr>
    <w:rPr>
      <w:rFonts w:ascii="Times New Roman" w:hAnsi="Noto Serif CJK SC" w:eastAsia="Noto Serif CJK SC" w:cs="Noto Serif CJK SC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="Times New Roman" w:hAnsi="Noto Serif CJK SC" w:eastAsia="Noto Serif CJK SC" w:cs="Noto Serif CJK SC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jc w:val="left"/>
      <w:outlineLvl w:val="3"/>
    </w:pPr>
    <w:rPr>
      <w:rFonts w:ascii="Times New Roman" w:hAnsi="Noto Serif CJK SC" w:eastAsia="Noto Serif CJK SC" w:cs="Noto Serif CJK SC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60"/>
      <w:jc w:val="left"/>
      <w:outlineLvl w:val="4"/>
    </w:pPr>
    <w:rPr>
      <w:rFonts w:ascii="Times New Roman" w:hAnsi="Noto Serif CJK SC" w:eastAsia="Noto Serif CJK SC" w:cs="Noto Serif CJK SC"/>
      <w:b/>
      <w:i w:val="0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jc w:val="left"/>
      <w:outlineLvl w:val="5"/>
    </w:pPr>
    <w:rPr>
      <w:rFonts w:ascii="Times New Roman" w:hAnsi="Noto Serif CJK SC" w:eastAsia="Noto Serif CJK SC" w:cs="Noto Serif CJK SC"/>
      <w:b/>
      <w:i w:val="0"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pPr>
      <w:spacing w:line="240" w:lineRule="auto"/>
    </w:pPr>
    <w:rPr>
      <w:rFonts w:ascii="Times New Roman" w:hAnsi="宋体" w:eastAsia="宋体" w:cs="宋体"/>
      <w:b w:val="0"/>
      <w:i w:val="0"/>
      <w:color w:val="000000"/>
      <w:sz w:val="24"/>
    </w:rPr>
  </w:style>
  <w:style w:type="paragraph" w:styleId="TOC2">
    <w:name w:val="TOC 2"/>
    <w:pPr>
      <w:spacing w:line="240" w:lineRule="auto"/>
      <w:ind w:left="425"/>
    </w:pPr>
    <w:rPr>
      <w:rFonts w:ascii="Times New Roman" w:hAnsi="宋体" w:eastAsia="宋体" w:cs="宋体"/>
      <w:b w:val="0"/>
      <w:i w:val="0"/>
      <w:color w:val="000000"/>
      <w:sz w:val="24"/>
    </w:rPr>
  </w:style>
  <w:style w:type="paragraph" w:styleId="TOC3">
    <w:name w:val="TOC 3"/>
    <w:pPr>
      <w:spacing w:line="240" w:lineRule="auto"/>
      <w:ind w:left="850"/>
    </w:pPr>
    <w:rPr>
      <w:rFonts w:ascii="Times New Roman" w:hAnsi="宋体" w:eastAsia="宋体" w:cs="宋体"/>
      <w:b w:val="0"/>
      <w:i w:val="0"/>
      <w:color w:val="000000"/>
      <w:sz w:val="24"/>
    </w:rPr>
  </w:style>
  <w:style w:type="paragraph" w:styleId="TOC4">
    <w:name w:val="TOC 4"/>
    <w:pPr>
      <w:spacing w:line="240" w:lineRule="auto"/>
      <w:ind w:left="1276"/>
    </w:pPr>
    <w:rPr>
      <w:rFonts w:ascii="Times New Roman" w:hAnsi="宋体" w:eastAsia="宋体" w:cs="宋体"/>
      <w:b w:val="0"/>
      <w:i w:val="0"/>
      <w:color w:val="000000"/>
      <w:sz w:val="24"/>
    </w:rPr>
  </w:style>
  <w:style w:type="paragraph" w:styleId="TOC5">
    <w:name w:val="TOC 5"/>
    <w:pPr>
      <w:spacing w:line="240" w:lineRule="auto"/>
      <w:ind w:left="1701"/>
    </w:pPr>
    <w:rPr>
      <w:rFonts w:ascii="Times New Roman" w:hAnsi="宋体" w:eastAsia="宋体" w:cs="宋体"/>
      <w:b w:val="0"/>
      <w:i w:val="0"/>
      <w:color w:val="000000"/>
      <w:sz w:val="24"/>
    </w:rPr>
  </w:style>
  <w:style w:type="paragraph" w:styleId="TOC6">
    <w:name w:val="TOC 6"/>
    <w:pPr>
      <w:spacing w:line="240" w:lineRule="auto"/>
      <w:ind w:left="2126"/>
    </w:pPr>
    <w:rPr>
      <w:rFonts w:ascii="Times New Roman" w:hAnsi="宋体" w:eastAsia="宋体" w:cs="宋体"/>
      <w:b w:val="0"/>
      <w:i w:val="0"/>
      <w:color w:val="000000"/>
      <w:sz w:val="24"/>
    </w:rPr>
  </w:style>
  <w:style w:type="paragraph" w:styleId="TOC7">
    <w:name w:val="TOC 7"/>
    <w:pPr>
      <w:spacing w:line="240" w:lineRule="auto"/>
      <w:ind w:left="2551"/>
    </w:pPr>
    <w:rPr>
      <w:rFonts w:ascii="Times New Roman" w:hAnsi="宋体" w:eastAsia="宋体" w:cs="宋体"/>
      <w:b w:val="0"/>
      <w:i w:val="0"/>
      <w:color w:val="000000"/>
      <w:sz w:val="24"/>
    </w:rPr>
  </w:style>
  <w:style w:type="paragraph" w:styleId="TOC8">
    <w:name w:val="TOC 8"/>
    <w:pPr>
      <w:spacing w:line="240" w:lineRule="auto"/>
      <w:ind w:left="2976"/>
    </w:pPr>
    <w:rPr>
      <w:rFonts w:ascii="Times New Roman" w:hAnsi="宋体" w:eastAsia="宋体" w:cs="宋体"/>
      <w:b w:val="0"/>
      <w:i w:val="0"/>
      <w:color w:val="000000"/>
      <w:sz w:val="24"/>
    </w:rPr>
  </w:style>
  <w:style w:type="paragraph" w:styleId="TOC9">
    <w:name w:val="TOC 9"/>
    <w:pPr>
      <w:spacing w:line="240" w:lineRule="auto"/>
      <w:ind w:left="3402"/>
    </w:pPr>
    <w:rPr>
      <w:rFonts w:ascii="Times New Roman" w:hAnsi="宋体" w:eastAsia="宋体" w:cs="宋体"/>
      <w:b w:val="0"/>
      <w:i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 w:val="1"/>
      <w:bCs w:val="1"/>
      <w:color w:val="365F91" w:themeColor="accent1" w:themeShade="BF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 w:val="1"/>
      <w:bCs w:val="1"/>
      <w:color w:val="4F81BD" w:themeColor="accent1"/>
      <w:sz w:val="26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 w:val="1"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 w:val="1"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b w:val="1"/>
      <w:bCs w:val="1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 w:val="0"/>
      <w:iCs w:val="0"/>
      <w:color w:val="243F60" w:themeColor="accent1" w:themeShade="7F"/>
      <w:b w:val="1"/>
      <w:bCs w:val="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