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eastAsia="Microsoft YaHei"/>
          <w:b/>
          <w:color w:val="1F4E79"/>
          <w:sz w:val="56"/>
        </w:rPr>
        <w:t>Stock MA Tracker</w:t>
      </w:r>
    </w:p>
    <w:p>
      <w:pPr>
        <w:jc w:val="center"/>
      </w:pPr>
      <w:r>
        <w:rPr>
          <w:color w:val="595959"/>
          <w:sz w:val="36"/>
        </w:rPr>
        <w:t>System Design Document</w:t>
      </w:r>
    </w:p>
    <w:p>
      <w:pPr>
        <w:spacing w:before="200"/>
        <w:jc w:val="center"/>
      </w:pPr>
      <w:r>
        <w:rPr>
          <w:b/>
          <w:color w:val="2E74B5"/>
          <w:sz w:val="24"/>
        </w:rPr>
        <w:t>QQQ SMA200 Signal Engine with TQQQ Strategy Notifications</w:t>
      </w:r>
    </w:p>
    <w:p>
      <w:pPr>
        <w:spacing w:before="480"/>
      </w:pP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F4E79"/>
          </w:tcPr>
          <w:p>
            <w:r/>
            <w:r>
              <w:rPr>
                <w:b/>
                <w:color w:val="FFFFFF"/>
                <w:sz w:val="18"/>
              </w:rPr>
              <w:t>Document status</w:t>
            </w:r>
          </w:p>
        </w:tc>
        <w:tc>
          <w:tcPr>
            <w:tcW w:type="dxa" w:w="4997"/>
            <w:vAlign w:val="center"/>
          </w:tcPr>
          <w:p>
            <w:r/>
            <w:r>
              <w:rPr>
                <w:b w:val="0"/>
                <w:sz w:val="18"/>
              </w:rPr>
              <w:t>Draft for implementation</w:t>
            </w:r>
          </w:p>
        </w:tc>
      </w:tr>
      <w:tr>
        <w:tc>
          <w:tcPr>
            <w:tcW w:type="dxa" w:w="4997"/>
            <w:vAlign w:val="center"/>
            <w:shd w:fill="1F4E79"/>
          </w:tcPr>
          <w:p>
            <w:r/>
            <w:r>
              <w:rPr>
                <w:b/>
                <w:color w:val="FFFFFF"/>
                <w:sz w:val="18"/>
              </w:rPr>
              <w:t>Version</w:t>
            </w:r>
          </w:p>
        </w:tc>
        <w:tc>
          <w:tcPr>
            <w:tcW w:type="dxa" w:w="4997"/>
            <w:vAlign w:val="center"/>
            <w:shd w:fill="F7F9FB"/>
          </w:tcPr>
          <w:p>
            <w:r/>
            <w:r>
              <w:rPr>
                <w:b w:val="0"/>
                <w:sz w:val="18"/>
              </w:rPr>
              <w:t>0.1</w:t>
            </w:r>
          </w:p>
        </w:tc>
      </w:tr>
      <w:tr>
        <w:tc>
          <w:tcPr>
            <w:tcW w:type="dxa" w:w="4997"/>
            <w:vAlign w:val="center"/>
            <w:shd w:fill="1F4E79"/>
          </w:tcPr>
          <w:p>
            <w:r/>
            <w:r>
              <w:rPr>
                <w:b/>
                <w:color w:val="FFFFFF"/>
                <w:sz w:val="18"/>
              </w:rPr>
              <w:t>Project version</w:t>
            </w:r>
          </w:p>
        </w:tc>
        <w:tc>
          <w:tcPr>
            <w:tcW w:type="dxa" w:w="4997"/>
            <w:vAlign w:val="center"/>
          </w:tcPr>
          <w:p>
            <w:r/>
            <w:r>
              <w:rPr>
                <w:b w:val="0"/>
                <w:sz w:val="18"/>
              </w:rPr>
              <w:t>Target v0.1.0 → v1.0.0</w:t>
            </w:r>
          </w:p>
        </w:tc>
      </w:tr>
      <w:tr>
        <w:tc>
          <w:tcPr>
            <w:tcW w:type="dxa" w:w="4997"/>
            <w:vAlign w:val="center"/>
            <w:shd w:fill="1F4E79"/>
          </w:tcPr>
          <w:p>
            <w:r/>
            <w:r>
              <w:rPr>
                <w:b/>
                <w:color w:val="FFFFFF"/>
                <w:sz w:val="18"/>
              </w:rPr>
              <w:t>Repository</w:t>
            </w:r>
          </w:p>
        </w:tc>
        <w:tc>
          <w:tcPr>
            <w:tcW w:type="dxa" w:w="4997"/>
            <w:vAlign w:val="center"/>
            <w:shd w:fill="F7F9FB"/>
          </w:tcPr>
          <w:p>
            <w:r/>
            <w:r>
              <w:rPr>
                <w:b w:val="0"/>
                <w:sz w:val="18"/>
              </w:rPr>
              <w:t>stock-ma-tracker</w:t>
            </w:r>
          </w:p>
        </w:tc>
      </w:tr>
      <w:tr>
        <w:tc>
          <w:tcPr>
            <w:tcW w:type="dxa" w:w="4997"/>
            <w:vAlign w:val="center"/>
            <w:shd w:fill="1F4E79"/>
          </w:tcPr>
          <w:p>
            <w:r/>
            <w:r>
              <w:rPr>
                <w:b/>
                <w:color w:val="FFFFFF"/>
                <w:sz w:val="18"/>
              </w:rPr>
              <w:t>Primary runtime</w:t>
            </w:r>
          </w:p>
        </w:tc>
        <w:tc>
          <w:tcPr>
            <w:tcW w:type="dxa" w:w="4997"/>
            <w:vAlign w:val="center"/>
          </w:tcPr>
          <w:p>
            <w:r/>
            <w:r>
              <w:rPr>
                <w:b w:val="0"/>
                <w:sz w:val="18"/>
              </w:rPr>
              <w:t>Python + GitHub Actions</w:t>
            </w:r>
          </w:p>
        </w:tc>
      </w:tr>
      <w:tr>
        <w:tc>
          <w:tcPr>
            <w:tcW w:type="dxa" w:w="4997"/>
            <w:vAlign w:val="center"/>
            <w:shd w:fill="1F4E79"/>
          </w:tcPr>
          <w:p>
            <w:r/>
            <w:r>
              <w:rPr>
                <w:b/>
                <w:color w:val="FFFFFF"/>
                <w:sz w:val="18"/>
              </w:rPr>
              <w:t>Date</w:t>
            </w:r>
          </w:p>
        </w:tc>
        <w:tc>
          <w:tcPr>
            <w:tcW w:type="dxa" w:w="4997"/>
            <w:vAlign w:val="center"/>
            <w:shd w:fill="F7F9FB"/>
          </w:tcPr>
          <w:p>
            <w:r/>
            <w:r>
              <w:rPr>
                <w:b w:val="0"/>
                <w:sz w:val="18"/>
              </w:rPr>
              <w:t>July 2026</w:t>
            </w:r>
          </w:p>
        </w:tc>
      </w:tr>
    </w:tbl>
    <w:p>
      <w:pPr>
        <w:spacing w:before="600"/>
        <w:jc w:val="center"/>
      </w:pPr>
      <w:r>
        <w:rPr>
          <w:b/>
          <w:sz w:val="22"/>
        </w:rPr>
        <w:t>Purpose</w:t>
      </w:r>
    </w:p>
    <w:p>
      <w:pPr>
        <w:ind w:left="1008" w:right="1008"/>
        <w:jc w:val="center"/>
      </w:pPr>
      <w:r>
        <w:rPr>
          <w:i/>
        </w:rPr>
        <w:t>Define a maintainable, testable, versioned notification system that uses QQQ daily prices and a buffered SMA200 strategy to generate TQQQ-oriented risk signals, charts, and Telegram notifications.</w:t>
      </w:r>
    </w:p>
    <w:p>
      <w:r>
        <w:br w:type="page"/>
      </w:r>
    </w:p>
    <w:p>
      <w:pPr>
        <w:pStyle w:val="Heading1"/>
      </w:pPr>
      <w:r>
        <w:t>1. Executive Summary</w:t>
      </w:r>
    </w:p>
    <w:p>
      <w:r>
        <w:t>Stock MA Tracker is a scheduled market-signal notification service. It uses QQQ as the signal instrument, computes a 200-day simple moving average, applies asymmetric thresholds, persists market data and strategy state, generates a chart, and sends Telegram notifications. The first production release is intentionally notification-only and will not place trades.</w:t>
      </w:r>
    </w:p>
    <w:tbl>
      <w:tblPr>
        <w:tblW w:type="auto" w:w="0"/>
        <w:jc w:val="center"/>
        <w:tblLook w:firstColumn="1" w:firstRow="1" w:lastColumn="0" w:lastRow="0" w:noHBand="0" w:noVBand="1" w:val="04A0"/>
      </w:tblPr>
      <w:tblGrid>
        <w:gridCol w:w="9994"/>
      </w:tblGrid>
      <w:tr>
        <w:tc>
          <w:tcPr>
            <w:tcW w:type="dxa" w:w="9994"/>
            <w:shd w:fill="EAF2F8"/>
          </w:tcPr>
          <w:p>
            <w:r>
              <w:rPr>
                <w:b/>
                <w:sz w:val="20"/>
              </w:rPr>
              <w:t>Core design principle: network access is incremental, local calculations are deterministic, strategy logic is pure, and every external dependency is isolated behind a replaceable interface.</w:t>
            </w:r>
          </w:p>
        </w:tc>
      </w:tr>
    </w:tbl>
    <w:p>
      <w:pPr>
        <w:pStyle w:val="Heading1"/>
      </w:pPr>
      <w:r>
        <w:t>2. Goals and Non-Goals</w:t>
      </w:r>
    </w:p>
    <w:p>
      <w:pPr>
        <w:pStyle w:val="Heading2"/>
      </w:pPr>
      <w:r>
        <w:t>2.1 Goals</w:t>
      </w:r>
    </w:p>
    <w:p>
      <w:pPr>
        <w:pStyle w:val="ListBullet"/>
      </w:pPr>
      <w:r>
        <w:t>Fetch and persist QQQ daily OHLCV data with first-run initialization and small-window incremental synchronization.</w:t>
      </w:r>
    </w:p>
    <w:p>
      <w:pPr>
        <w:pStyle w:val="ListBullet"/>
      </w:pPr>
      <w:r>
        <w:t>Calculate SMA200 and buffered thresholds consistently from a single normalized dataset.</w:t>
      </w:r>
    </w:p>
    <w:p>
      <w:pPr>
        <w:pStyle w:val="ListBullet"/>
      </w:pPr>
      <w:r>
        <w:t>Maintain a deterministic Risk On / Risk Off / Unknown state machine with neutral-zone hysteresis.</w:t>
      </w:r>
    </w:p>
    <w:p>
      <w:pPr>
        <w:pStyle w:val="ListBullet"/>
      </w:pPr>
      <w:r>
        <w:t>Generate a visual chart containing QQQ Close, SMA200, the upper threshold, and the lower threshold.</w:t>
      </w:r>
    </w:p>
    <w:p>
      <w:pPr>
        <w:pStyle w:val="ListBullet"/>
      </w:pPr>
      <w:r>
        <w:t>Send deduplicated Telegram notifications after market close.</w:t>
      </w:r>
    </w:p>
    <w:p>
      <w:pPr>
        <w:pStyle w:val="ListBullet"/>
      </w:pPr>
      <w:r>
        <w:t>Support versioned strategy configuration, testing, dry-run execution, backfill, and future data-provider replacement.</w:t>
      </w:r>
    </w:p>
    <w:p>
      <w:pPr>
        <w:pStyle w:val="ListBullet"/>
      </w:pPr>
      <w:r>
        <w:t>Run reliably in GitHub Actions without requiring a standalone server.</w:t>
      </w:r>
    </w:p>
    <w:p>
      <w:pPr>
        <w:pStyle w:val="Heading2"/>
      </w:pPr>
      <w:r>
        <w:t>2.2 Non-Goals for v1</w:t>
      </w:r>
    </w:p>
    <w:p>
      <w:pPr>
        <w:pStyle w:val="ListBullet"/>
      </w:pPr>
      <w:r>
        <w:t>No automated brokerage login or order placement.</w:t>
      </w:r>
    </w:p>
    <w:p>
      <w:pPr>
        <w:pStyle w:val="ListBullet"/>
      </w:pPr>
      <w:r>
        <w:t>No intraday trading signals.</w:t>
      </w:r>
    </w:p>
    <w:p>
      <w:pPr>
        <w:pStyle w:val="ListBullet"/>
      </w:pPr>
      <w:r>
        <w:t>No portfolio sizing, tax optimization, or execution-price guarantees.</w:t>
      </w:r>
    </w:p>
    <w:p>
      <w:pPr>
        <w:pStyle w:val="ListBullet"/>
      </w:pPr>
      <w:r>
        <w:t>No institutional-grade market-data SLA.</w:t>
      </w:r>
    </w:p>
    <w:p>
      <w:pPr>
        <w:pStyle w:val="ListBullet"/>
      </w:pPr>
      <w:r>
        <w:t>No web dashboard in the initial release.</w:t>
      </w:r>
    </w:p>
    <w:p>
      <w:pPr>
        <w:pStyle w:val="Heading1"/>
      </w:pPr>
      <w:r>
        <w:t>3. Functional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F4E79"/>
          </w:tcPr>
          <w:p>
            <w:r/>
            <w:r>
              <w:rPr>
                <w:b/>
                <w:color w:val="FFFFFF"/>
                <w:sz w:val="17"/>
              </w:rPr>
              <w:t>ID</w:t>
            </w:r>
          </w:p>
        </w:tc>
        <w:tc>
          <w:tcPr>
            <w:tcW w:type="dxa" w:w="3331"/>
            <w:vAlign w:val="center"/>
            <w:shd w:fill="1F4E79"/>
          </w:tcPr>
          <w:p>
            <w:r/>
            <w:r>
              <w:rPr>
                <w:b/>
                <w:color w:val="FFFFFF"/>
                <w:sz w:val="17"/>
              </w:rPr>
              <w:t>Requirement</w:t>
            </w:r>
          </w:p>
        </w:tc>
        <w:tc>
          <w:tcPr>
            <w:tcW w:type="dxa" w:w="3331"/>
            <w:vAlign w:val="center"/>
            <w:shd w:fill="1F4E79"/>
          </w:tcPr>
          <w:p>
            <w:r/>
            <w:r>
              <w:rPr>
                <w:b/>
                <w:color w:val="FFFFFF"/>
                <w:sz w:val="17"/>
              </w:rPr>
              <w:t>Acceptance statement</w:t>
            </w:r>
          </w:p>
        </w:tc>
      </w:tr>
      <w:tr>
        <w:tc>
          <w:tcPr>
            <w:tcW w:type="dxa" w:w="3331"/>
            <w:vAlign w:val="center"/>
          </w:tcPr>
          <w:p>
            <w:r/>
            <w:r>
              <w:rPr>
                <w:b/>
                <w:sz w:val="16"/>
              </w:rPr>
              <w:t>FR-1</w:t>
            </w:r>
          </w:p>
        </w:tc>
        <w:tc>
          <w:tcPr>
            <w:tcW w:type="dxa" w:w="3331"/>
            <w:vAlign w:val="center"/>
          </w:tcPr>
          <w:p>
            <w:r/>
            <w:r>
              <w:rPr>
                <w:b w:val="0"/>
                <w:sz w:val="16"/>
              </w:rPr>
              <w:t>Initialize data</w:t>
            </w:r>
          </w:p>
        </w:tc>
        <w:tc>
          <w:tcPr>
            <w:tcW w:type="dxa" w:w="3331"/>
            <w:vAlign w:val="center"/>
          </w:tcPr>
          <w:p>
            <w:r/>
            <w:r>
              <w:rPr>
                <w:b w:val="0"/>
                <w:sz w:val="16"/>
              </w:rPr>
              <w:t>If no local dataset exists, download at least two years of QQQ daily history.</w:t>
            </w:r>
          </w:p>
        </w:tc>
      </w:tr>
      <w:tr>
        <w:tc>
          <w:tcPr>
            <w:tcW w:type="dxa" w:w="3331"/>
            <w:vAlign w:val="center"/>
          </w:tcPr>
          <w:p>
            <w:r/>
            <w:r>
              <w:rPr>
                <w:b/>
                <w:sz w:val="16"/>
              </w:rPr>
              <w:t>FR-2</w:t>
            </w:r>
          </w:p>
        </w:tc>
        <w:tc>
          <w:tcPr>
            <w:tcW w:type="dxa" w:w="3331"/>
            <w:vAlign w:val="center"/>
          </w:tcPr>
          <w:p>
            <w:r/>
            <w:r>
              <w:rPr>
                <w:b w:val="0"/>
                <w:sz w:val="16"/>
              </w:rPr>
              <w:t>Incremental sync</w:t>
            </w:r>
          </w:p>
        </w:tc>
        <w:tc>
          <w:tcPr>
            <w:tcW w:type="dxa" w:w="3331"/>
            <w:vAlign w:val="center"/>
          </w:tcPr>
          <w:p>
            <w:r/>
            <w:r>
              <w:rPr>
                <w:b w:val="0"/>
                <w:sz w:val="16"/>
              </w:rPr>
              <w:t>On normal runs, fetch a small overlapping date window and upsert by market date.</w:t>
            </w:r>
          </w:p>
        </w:tc>
      </w:tr>
      <w:tr>
        <w:tc>
          <w:tcPr>
            <w:tcW w:type="dxa" w:w="3331"/>
            <w:vAlign w:val="center"/>
          </w:tcPr>
          <w:p>
            <w:r/>
            <w:r>
              <w:rPr>
                <w:b/>
                <w:sz w:val="16"/>
              </w:rPr>
              <w:t>FR-3</w:t>
            </w:r>
          </w:p>
        </w:tc>
        <w:tc>
          <w:tcPr>
            <w:tcW w:type="dxa" w:w="3331"/>
            <w:vAlign w:val="center"/>
          </w:tcPr>
          <w:p>
            <w:r/>
            <w:r>
              <w:rPr>
                <w:b w:val="0"/>
                <w:sz w:val="16"/>
              </w:rPr>
              <w:t>Retention</w:t>
            </w:r>
          </w:p>
        </w:tc>
        <w:tc>
          <w:tcPr>
            <w:tcW w:type="dxa" w:w="3331"/>
            <w:vAlign w:val="center"/>
          </w:tcPr>
          <w:p>
            <w:r/>
            <w:r>
              <w:rPr>
                <w:b w:val="0"/>
                <w:sz w:val="16"/>
              </w:rPr>
              <w:t>Persist the most recent 400 trading rows by default.</w:t>
            </w:r>
          </w:p>
        </w:tc>
      </w:tr>
      <w:tr>
        <w:tc>
          <w:tcPr>
            <w:tcW w:type="dxa" w:w="3331"/>
            <w:vAlign w:val="center"/>
          </w:tcPr>
          <w:p>
            <w:r/>
            <w:r>
              <w:rPr>
                <w:b/>
                <w:sz w:val="16"/>
              </w:rPr>
              <w:t>FR-4</w:t>
            </w:r>
          </w:p>
        </w:tc>
        <w:tc>
          <w:tcPr>
            <w:tcW w:type="dxa" w:w="3331"/>
            <w:vAlign w:val="center"/>
          </w:tcPr>
          <w:p>
            <w:r/>
            <w:r>
              <w:rPr>
                <w:b w:val="0"/>
                <w:sz w:val="16"/>
              </w:rPr>
              <w:t>Indicator</w:t>
            </w:r>
          </w:p>
        </w:tc>
        <w:tc>
          <w:tcPr>
            <w:tcW w:type="dxa" w:w="3331"/>
            <w:vAlign w:val="center"/>
          </w:tcPr>
          <w:p>
            <w:r/>
            <w:r>
              <w:rPr>
                <w:b w:val="0"/>
                <w:sz w:val="16"/>
              </w:rPr>
              <w:t>Compute SMA200 from adjusted daily closing prices.</w:t>
            </w:r>
          </w:p>
        </w:tc>
      </w:tr>
      <w:tr>
        <w:tc>
          <w:tcPr>
            <w:tcW w:type="dxa" w:w="3331"/>
            <w:vAlign w:val="center"/>
          </w:tcPr>
          <w:p>
            <w:r/>
            <w:r>
              <w:rPr>
                <w:b/>
                <w:sz w:val="16"/>
              </w:rPr>
              <w:t>FR-5</w:t>
            </w:r>
          </w:p>
        </w:tc>
        <w:tc>
          <w:tcPr>
            <w:tcW w:type="dxa" w:w="3331"/>
            <w:vAlign w:val="center"/>
          </w:tcPr>
          <w:p>
            <w:r/>
            <w:r>
              <w:rPr>
                <w:b w:val="0"/>
                <w:sz w:val="16"/>
              </w:rPr>
              <w:t>Thresholds</w:t>
            </w:r>
          </w:p>
        </w:tc>
        <w:tc>
          <w:tcPr>
            <w:tcW w:type="dxa" w:w="3331"/>
            <w:vAlign w:val="center"/>
          </w:tcPr>
          <w:p>
            <w:r/>
            <w:r>
              <w:rPr>
                <w:b w:val="0"/>
                <w:sz w:val="16"/>
              </w:rPr>
              <w:t>Compute upper = SMA200 × 1.04 and lower = SMA200 × 0.97.</w:t>
            </w:r>
          </w:p>
        </w:tc>
      </w:tr>
      <w:tr>
        <w:tc>
          <w:tcPr>
            <w:tcW w:type="dxa" w:w="3331"/>
            <w:vAlign w:val="center"/>
          </w:tcPr>
          <w:p>
            <w:r/>
            <w:r>
              <w:rPr>
                <w:b/>
                <w:sz w:val="16"/>
              </w:rPr>
              <w:t>FR-6</w:t>
            </w:r>
          </w:p>
        </w:tc>
        <w:tc>
          <w:tcPr>
            <w:tcW w:type="dxa" w:w="3331"/>
            <w:vAlign w:val="center"/>
          </w:tcPr>
          <w:p>
            <w:r/>
            <w:r>
              <w:rPr>
                <w:b w:val="0"/>
                <w:sz w:val="16"/>
              </w:rPr>
              <w:t>State machine</w:t>
            </w:r>
          </w:p>
        </w:tc>
        <w:tc>
          <w:tcPr>
            <w:tcW w:type="dxa" w:w="3331"/>
            <w:vAlign w:val="center"/>
          </w:tcPr>
          <w:p>
            <w:r/>
            <w:r>
              <w:rPr>
                <w:b w:val="0"/>
                <w:sz w:val="16"/>
              </w:rPr>
              <w:t>At or above upper: Risk On. At or below lower: Risk Off. Between thresholds: preserve previous state.</w:t>
            </w:r>
          </w:p>
        </w:tc>
      </w:tr>
      <w:tr>
        <w:tc>
          <w:tcPr>
            <w:tcW w:type="dxa" w:w="3331"/>
            <w:vAlign w:val="center"/>
          </w:tcPr>
          <w:p>
            <w:r/>
            <w:r>
              <w:rPr>
                <w:b/>
                <w:sz w:val="16"/>
              </w:rPr>
              <w:t>FR-7</w:t>
            </w:r>
          </w:p>
        </w:tc>
        <w:tc>
          <w:tcPr>
            <w:tcW w:type="dxa" w:w="3331"/>
            <w:vAlign w:val="center"/>
          </w:tcPr>
          <w:p>
            <w:r/>
            <w:r>
              <w:rPr>
                <w:b w:val="0"/>
                <w:sz w:val="16"/>
              </w:rPr>
              <w:t>Initial neutral</w:t>
            </w:r>
          </w:p>
        </w:tc>
        <w:tc>
          <w:tcPr>
            <w:tcW w:type="dxa" w:w="3331"/>
            <w:vAlign w:val="center"/>
          </w:tcPr>
          <w:p>
            <w:r/>
            <w:r>
              <w:rPr>
                <w:b w:val="0"/>
                <w:sz w:val="16"/>
              </w:rPr>
              <w:t>If no previous state exists and price is in the neutral zone, return Unknown.</w:t>
            </w:r>
          </w:p>
        </w:tc>
      </w:tr>
      <w:tr>
        <w:tc>
          <w:tcPr>
            <w:tcW w:type="dxa" w:w="3331"/>
            <w:vAlign w:val="center"/>
          </w:tcPr>
          <w:p>
            <w:r/>
            <w:r>
              <w:rPr>
                <w:b/>
                <w:sz w:val="16"/>
              </w:rPr>
              <w:t>FR-8</w:t>
            </w:r>
          </w:p>
        </w:tc>
        <w:tc>
          <w:tcPr>
            <w:tcW w:type="dxa" w:w="3331"/>
            <w:vAlign w:val="center"/>
          </w:tcPr>
          <w:p>
            <w:r/>
            <w:r>
              <w:rPr>
                <w:b w:val="0"/>
                <w:sz w:val="16"/>
              </w:rPr>
              <w:t>Visualization</w:t>
            </w:r>
          </w:p>
        </w:tc>
        <w:tc>
          <w:tcPr>
            <w:tcW w:type="dxa" w:w="3331"/>
            <w:vAlign w:val="center"/>
          </w:tcPr>
          <w:p>
            <w:r/>
            <w:r>
              <w:rPr>
                <w:b w:val="0"/>
                <w:sz w:val="16"/>
              </w:rPr>
              <w:t>Generate a PNG chart with Close, SMA200, thresholds, latest values, and current state.</w:t>
            </w:r>
          </w:p>
        </w:tc>
      </w:tr>
      <w:tr>
        <w:tc>
          <w:tcPr>
            <w:tcW w:type="dxa" w:w="3331"/>
            <w:vAlign w:val="center"/>
          </w:tcPr>
          <w:p>
            <w:r/>
            <w:r>
              <w:rPr>
                <w:b/>
                <w:sz w:val="16"/>
              </w:rPr>
              <w:t>FR-9</w:t>
            </w:r>
          </w:p>
        </w:tc>
        <w:tc>
          <w:tcPr>
            <w:tcW w:type="dxa" w:w="3331"/>
            <w:vAlign w:val="center"/>
          </w:tcPr>
          <w:p>
            <w:r/>
            <w:r>
              <w:rPr>
                <w:b w:val="0"/>
                <w:sz w:val="16"/>
              </w:rPr>
              <w:t>Notification</w:t>
            </w:r>
          </w:p>
        </w:tc>
        <w:tc>
          <w:tcPr>
            <w:tcW w:type="dxa" w:w="3331"/>
            <w:vAlign w:val="center"/>
          </w:tcPr>
          <w:p>
            <w:r/>
            <w:r>
              <w:rPr>
                <w:b w:val="0"/>
                <w:sz w:val="16"/>
              </w:rPr>
              <w:t>Send Telegram text or photo notification according to notification mode.</w:t>
            </w:r>
          </w:p>
        </w:tc>
      </w:tr>
      <w:tr>
        <w:tc>
          <w:tcPr>
            <w:tcW w:type="dxa" w:w="3331"/>
            <w:vAlign w:val="center"/>
          </w:tcPr>
          <w:p>
            <w:r/>
            <w:r>
              <w:rPr>
                <w:b/>
                <w:sz w:val="16"/>
              </w:rPr>
              <w:t>FR-10</w:t>
            </w:r>
          </w:p>
        </w:tc>
        <w:tc>
          <w:tcPr>
            <w:tcW w:type="dxa" w:w="3331"/>
            <w:vAlign w:val="center"/>
          </w:tcPr>
          <w:p>
            <w:r/>
            <w:r>
              <w:rPr>
                <w:b w:val="0"/>
                <w:sz w:val="16"/>
              </w:rPr>
              <w:t>Deduplication</w:t>
            </w:r>
          </w:p>
        </w:tc>
        <w:tc>
          <w:tcPr>
            <w:tcW w:type="dxa" w:w="3331"/>
            <w:vAlign w:val="center"/>
          </w:tcPr>
          <w:p>
            <w:r/>
            <w:r>
              <w:rPr>
                <w:b w:val="0"/>
                <w:sz w:val="16"/>
              </w:rPr>
              <w:t>Do not send the same notification more than once for the same symbol, strategy version, market date, and state.</w:t>
            </w:r>
          </w:p>
        </w:tc>
      </w:tr>
      <w:tr>
        <w:tc>
          <w:tcPr>
            <w:tcW w:type="dxa" w:w="3331"/>
            <w:vAlign w:val="center"/>
          </w:tcPr>
          <w:p>
            <w:r/>
            <w:r>
              <w:rPr>
                <w:b/>
                <w:sz w:val="16"/>
              </w:rPr>
              <w:t>FR-11</w:t>
            </w:r>
          </w:p>
        </w:tc>
        <w:tc>
          <w:tcPr>
            <w:tcW w:type="dxa" w:w="3331"/>
            <w:vAlign w:val="center"/>
          </w:tcPr>
          <w:p>
            <w:r/>
            <w:r>
              <w:rPr>
                <w:b w:val="0"/>
                <w:sz w:val="16"/>
              </w:rPr>
              <w:t>Audit trail</w:t>
            </w:r>
          </w:p>
        </w:tc>
        <w:tc>
          <w:tcPr>
            <w:tcW w:type="dxa" w:w="3331"/>
            <w:vAlign w:val="center"/>
          </w:tcPr>
          <w:p>
            <w:r/>
            <w:r>
              <w:rPr>
                <w:b w:val="0"/>
                <w:sz w:val="16"/>
              </w:rPr>
              <w:t>Persist daily strategy evaluation records and the current state.</w:t>
            </w:r>
          </w:p>
        </w:tc>
      </w:tr>
      <w:tr>
        <w:tc>
          <w:tcPr>
            <w:tcW w:type="dxa" w:w="3331"/>
            <w:vAlign w:val="center"/>
          </w:tcPr>
          <w:p>
            <w:r/>
            <w:r>
              <w:rPr>
                <w:b/>
                <w:sz w:val="16"/>
              </w:rPr>
              <w:t>FR-12</w:t>
            </w:r>
          </w:p>
        </w:tc>
        <w:tc>
          <w:tcPr>
            <w:tcW w:type="dxa" w:w="3331"/>
            <w:vAlign w:val="center"/>
          </w:tcPr>
          <w:p>
            <w:r/>
            <w:r>
              <w:rPr>
                <w:b w:val="0"/>
                <w:sz w:val="16"/>
              </w:rPr>
              <w:t>Manual execution</w:t>
            </w:r>
          </w:p>
        </w:tc>
        <w:tc>
          <w:tcPr>
            <w:tcW w:type="dxa" w:w="3331"/>
            <w:vAlign w:val="center"/>
          </w:tcPr>
          <w:p>
            <w:r/>
            <w:r>
              <w:rPr>
                <w:b w:val="0"/>
                <w:sz w:val="16"/>
              </w:rPr>
              <w:t>Support workflow_dispatch and local CLI execution.</w:t>
            </w:r>
          </w:p>
        </w:tc>
      </w:tr>
      <w:tr>
        <w:tc>
          <w:tcPr>
            <w:tcW w:type="dxa" w:w="3331"/>
            <w:vAlign w:val="center"/>
          </w:tcPr>
          <w:p>
            <w:r/>
            <w:r>
              <w:rPr>
                <w:b/>
                <w:sz w:val="16"/>
              </w:rPr>
              <w:t>FR-13</w:t>
            </w:r>
          </w:p>
        </w:tc>
        <w:tc>
          <w:tcPr>
            <w:tcW w:type="dxa" w:w="3331"/>
            <w:vAlign w:val="center"/>
          </w:tcPr>
          <w:p>
            <w:r/>
            <w:r>
              <w:rPr>
                <w:b w:val="0"/>
                <w:sz w:val="16"/>
              </w:rPr>
              <w:t>Full reconciliation</w:t>
            </w:r>
          </w:p>
        </w:tc>
        <w:tc>
          <w:tcPr>
            <w:tcW w:type="dxa" w:w="3331"/>
            <w:vAlign w:val="center"/>
          </w:tcPr>
          <w:p>
            <w:r/>
            <w:r>
              <w:rPr>
                <w:b w:val="0"/>
                <w:sz w:val="16"/>
              </w:rPr>
              <w:t>Support a periodic or explicit full historical refresh.</w:t>
            </w:r>
          </w:p>
        </w:tc>
      </w:tr>
    </w:tbl>
    <w:p>
      <w:pPr>
        <w:pStyle w:val="Heading1"/>
      </w:pPr>
      <w:r>
        <w:t>4. Non-Functional Requirements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F4E79"/>
          </w:tcPr>
          <w:p>
            <w:r/>
            <w:r>
              <w:rPr>
                <w:b/>
                <w:color w:val="FFFFFF"/>
                <w:sz w:val="17"/>
              </w:rPr>
              <w:t>Quality attribute</w:t>
            </w:r>
          </w:p>
        </w:tc>
        <w:tc>
          <w:tcPr>
            <w:tcW w:type="dxa" w:w="4997"/>
            <w:vAlign w:val="center"/>
            <w:shd w:fill="1F4E79"/>
          </w:tcPr>
          <w:p>
            <w:r/>
            <w:r>
              <w:rPr>
                <w:b/>
                <w:color w:val="FFFFFF"/>
                <w:sz w:val="17"/>
              </w:rPr>
              <w:t>Requirement</w:t>
            </w:r>
          </w:p>
        </w:tc>
      </w:tr>
      <w:tr>
        <w:tc>
          <w:tcPr>
            <w:tcW w:type="dxa" w:w="4997"/>
            <w:vAlign w:val="center"/>
          </w:tcPr>
          <w:p>
            <w:r/>
            <w:r>
              <w:rPr>
                <w:b/>
                <w:sz w:val="16"/>
              </w:rPr>
              <w:t>Reliability</w:t>
            </w:r>
          </w:p>
        </w:tc>
        <w:tc>
          <w:tcPr>
            <w:tcW w:type="dxa" w:w="4997"/>
            <w:vAlign w:val="center"/>
          </w:tcPr>
          <w:p>
            <w:r/>
            <w:r>
              <w:rPr>
                <w:b w:val="0"/>
                <w:sz w:val="16"/>
              </w:rPr>
              <w:t>No new market data, weekends, holidays, and repeated executions are normal conditions, not fatal errors.</w:t>
            </w:r>
          </w:p>
        </w:tc>
      </w:tr>
      <w:tr>
        <w:tc>
          <w:tcPr>
            <w:tcW w:type="dxa" w:w="4997"/>
            <w:vAlign w:val="center"/>
          </w:tcPr>
          <w:p>
            <w:r/>
            <w:r>
              <w:rPr>
                <w:b/>
                <w:sz w:val="16"/>
              </w:rPr>
              <w:t>Maintainability</w:t>
            </w:r>
          </w:p>
        </w:tc>
        <w:tc>
          <w:tcPr>
            <w:tcW w:type="dxa" w:w="4997"/>
            <w:vAlign w:val="center"/>
          </w:tcPr>
          <w:p>
            <w:r/>
            <w:r>
              <w:rPr>
                <w:b w:val="0"/>
                <w:sz w:val="16"/>
              </w:rPr>
              <w:t>Data provider, storage, indicators, strategy, charting, and notifications must be separate modules.</w:t>
            </w:r>
          </w:p>
        </w:tc>
      </w:tr>
      <w:tr>
        <w:tc>
          <w:tcPr>
            <w:tcW w:type="dxa" w:w="4997"/>
            <w:vAlign w:val="center"/>
          </w:tcPr>
          <w:p>
            <w:r/>
            <w:r>
              <w:rPr>
                <w:b/>
                <w:sz w:val="16"/>
              </w:rPr>
              <w:t>Testability</w:t>
            </w:r>
          </w:p>
        </w:tc>
        <w:tc>
          <w:tcPr>
            <w:tcW w:type="dxa" w:w="4997"/>
            <w:vAlign w:val="center"/>
          </w:tcPr>
          <w:p>
            <w:r/>
            <w:r>
              <w:rPr>
                <w:b w:val="0"/>
                <w:sz w:val="16"/>
              </w:rPr>
              <w:t>Strategy and indicator calculations must not perform network or filesystem I/O.</w:t>
            </w:r>
          </w:p>
        </w:tc>
      </w:tr>
      <w:tr>
        <w:tc>
          <w:tcPr>
            <w:tcW w:type="dxa" w:w="4997"/>
            <w:vAlign w:val="center"/>
          </w:tcPr>
          <w:p>
            <w:r/>
            <w:r>
              <w:rPr>
                <w:b/>
                <w:sz w:val="16"/>
              </w:rPr>
              <w:t>Security</w:t>
            </w:r>
          </w:p>
        </w:tc>
        <w:tc>
          <w:tcPr>
            <w:tcW w:type="dxa" w:w="4997"/>
            <w:vAlign w:val="center"/>
          </w:tcPr>
          <w:p>
            <w:r/>
            <w:r>
              <w:rPr>
                <w:b w:val="0"/>
                <w:sz w:val="16"/>
              </w:rPr>
              <w:t>Telegram credentials are environment variables or GitHub Secrets; never committed or logged.</w:t>
            </w:r>
          </w:p>
        </w:tc>
      </w:tr>
      <w:tr>
        <w:tc>
          <w:tcPr>
            <w:tcW w:type="dxa" w:w="4997"/>
            <w:vAlign w:val="center"/>
          </w:tcPr>
          <w:p>
            <w:r/>
            <w:r>
              <w:rPr>
                <w:b/>
                <w:sz w:val="16"/>
              </w:rPr>
              <w:t>Observability</w:t>
            </w:r>
          </w:p>
        </w:tc>
        <w:tc>
          <w:tcPr>
            <w:tcW w:type="dxa" w:w="4997"/>
            <w:vAlign w:val="center"/>
          </w:tcPr>
          <w:p>
            <w:r/>
            <w:r>
              <w:rPr>
                <w:b w:val="0"/>
                <w:sz w:val="16"/>
              </w:rPr>
              <w:t>Every run logs sync mode, market date, processed time, state transition, notification decision, and failure category.</w:t>
            </w:r>
          </w:p>
        </w:tc>
      </w:tr>
      <w:tr>
        <w:tc>
          <w:tcPr>
            <w:tcW w:type="dxa" w:w="4997"/>
            <w:vAlign w:val="center"/>
          </w:tcPr>
          <w:p>
            <w:r/>
            <w:r>
              <w:rPr>
                <w:b/>
                <w:sz w:val="16"/>
              </w:rPr>
              <w:t>Reproducibility</w:t>
            </w:r>
          </w:p>
        </w:tc>
        <w:tc>
          <w:tcPr>
            <w:tcW w:type="dxa" w:w="4997"/>
            <w:vAlign w:val="center"/>
          </w:tcPr>
          <w:p>
            <w:r/>
            <w:r>
              <w:rPr>
                <w:b w:val="0"/>
                <w:sz w:val="16"/>
              </w:rPr>
              <w:t>Signal history records strategy version and effective parameters or a configuration hash.</w:t>
            </w:r>
          </w:p>
        </w:tc>
      </w:tr>
      <w:tr>
        <w:tc>
          <w:tcPr>
            <w:tcW w:type="dxa" w:w="4997"/>
            <w:vAlign w:val="center"/>
          </w:tcPr>
          <w:p>
            <w:r/>
            <w:r>
              <w:rPr>
                <w:b/>
                <w:sz w:val="16"/>
              </w:rPr>
              <w:t>Portability</w:t>
            </w:r>
          </w:p>
        </w:tc>
        <w:tc>
          <w:tcPr>
            <w:tcW w:type="dxa" w:w="4997"/>
            <w:vAlign w:val="center"/>
          </w:tcPr>
          <w:p>
            <w:r/>
            <w:r>
              <w:rPr>
                <w:b w:val="0"/>
                <w:sz w:val="16"/>
              </w:rPr>
              <w:t>The application must run locally on macOS and remotely on GitHub-hosted Ubuntu runners.</w:t>
            </w:r>
          </w:p>
        </w:tc>
      </w:tr>
      <w:tr>
        <w:tc>
          <w:tcPr>
            <w:tcW w:type="dxa" w:w="4997"/>
            <w:vAlign w:val="center"/>
          </w:tcPr>
          <w:p>
            <w:r/>
            <w:r>
              <w:rPr>
                <w:b/>
                <w:sz w:val="16"/>
              </w:rPr>
              <w:t>Data integrity</w:t>
            </w:r>
          </w:p>
        </w:tc>
        <w:tc>
          <w:tcPr>
            <w:tcW w:type="dxa" w:w="4997"/>
            <w:vAlign w:val="center"/>
          </w:tcPr>
          <w:p>
            <w:r/>
            <w:r>
              <w:rPr>
                <w:b w:val="0"/>
                <w:sz w:val="16"/>
              </w:rPr>
              <w:t>CSV writes are atomic and validated before replacing the prior valid dataset.</w:t>
            </w:r>
          </w:p>
        </w:tc>
      </w:tr>
    </w:tbl>
    <w:p>
      <w:pPr>
        <w:pStyle w:val="Heading1"/>
      </w:pPr>
      <w:r>
        <w:t>5. Architecture</w:t>
      </w:r>
    </w:p>
    <w:p>
      <w:r>
        <w:t>The system follows a layered architecture. Each layer has one responsibility and communicates through typed models or interfaces.</w:t>
      </w:r>
    </w:p>
    <w:p>
      <w:pPr>
        <w:pStyle w:val="CodeBlock"/>
        <w:spacing w:after="120"/>
      </w:pPr>
      <w:r>
        <w:t>GitHub Actions / CLI</w:t>
        <w:br/>
        <w:t xml:space="preserve">        │</w:t>
        <w:br/>
        <w:t xml:space="preserve">        ▼</w:t>
        <w:br/>
        <w:t>Application Service (DailyRunner)</w:t>
        <w:br/>
        <w:t xml:space="preserve">        │</w:t>
        <w:br/>
        <w:t xml:space="preserve">        ├── MarketDataProvider ── YahooProvider</w:t>
        <w:br/>
        <w:t xml:space="preserve">        ├── MarketDataRepository ── CsvRepository</w:t>
        <w:br/>
        <w:t xml:space="preserve">        ├── IndicatorEngine ── SMA calculator</w:t>
        <w:br/>
        <w:t xml:space="preserve">        ├── Strategy ── SmaBufferStrategyV1</w:t>
        <w:br/>
        <w:t xml:space="preserve">        ├── ChartGenerator ── MatplotlibChartGenerator</w:t>
        <w:br/>
        <w:t xml:space="preserve">        ├── Notifier ── TelegramNotifier</w:t>
        <w:br/>
        <w:t xml:space="preserve">        ├── StateRepository ── JsonStateRepository</w:t>
        <w:br/>
        <w:t xml:space="preserve">        └── SignalHistoryRepository ── CsvSignalHistoryRepository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F4E79"/>
          </w:tcPr>
          <w:p>
            <w:r/>
            <w:r>
              <w:rPr>
                <w:b/>
                <w:color w:val="FFFFFF"/>
                <w:sz w:val="17"/>
              </w:rPr>
              <w:t>Component</w:t>
            </w:r>
          </w:p>
        </w:tc>
        <w:tc>
          <w:tcPr>
            <w:tcW w:type="dxa" w:w="4997"/>
            <w:vAlign w:val="center"/>
            <w:shd w:fill="1F4E79"/>
          </w:tcPr>
          <w:p>
            <w:r/>
            <w:r>
              <w:rPr>
                <w:b/>
                <w:color w:val="FFFFFF"/>
                <w:sz w:val="17"/>
              </w:rPr>
              <w:t>Responsibility</w:t>
            </w:r>
          </w:p>
        </w:tc>
      </w:tr>
      <w:tr>
        <w:tc>
          <w:tcPr>
            <w:tcW w:type="dxa" w:w="4997"/>
            <w:vAlign w:val="center"/>
          </w:tcPr>
          <w:p>
            <w:r/>
            <w:r>
              <w:rPr>
                <w:b/>
                <w:sz w:val="16"/>
              </w:rPr>
              <w:t>CLI / Workflow</w:t>
            </w:r>
          </w:p>
        </w:tc>
        <w:tc>
          <w:tcPr>
            <w:tcW w:type="dxa" w:w="4997"/>
            <w:vAlign w:val="center"/>
          </w:tcPr>
          <w:p>
            <w:r/>
            <w:r>
              <w:rPr>
                <w:b w:val="0"/>
                <w:sz w:val="16"/>
              </w:rPr>
              <w:t>Selects execution mode, loads configuration, assembles dependencies, and returns an exit status.</w:t>
            </w:r>
          </w:p>
        </w:tc>
      </w:tr>
      <w:tr>
        <w:tc>
          <w:tcPr>
            <w:tcW w:type="dxa" w:w="4997"/>
            <w:vAlign w:val="center"/>
          </w:tcPr>
          <w:p>
            <w:r/>
            <w:r>
              <w:rPr>
                <w:b/>
                <w:sz w:val="16"/>
              </w:rPr>
              <w:t>DailyRunner</w:t>
            </w:r>
          </w:p>
        </w:tc>
        <w:tc>
          <w:tcPr>
            <w:tcW w:type="dxa" w:w="4997"/>
            <w:vAlign w:val="center"/>
          </w:tcPr>
          <w:p>
            <w:r/>
            <w:r>
              <w:rPr>
                <w:b w:val="0"/>
                <w:sz w:val="16"/>
              </w:rPr>
              <w:t>Orchestrates synchronization, validation, indicator calculation, strategy evaluation, charting, notification, and persistence.</w:t>
            </w:r>
          </w:p>
        </w:tc>
      </w:tr>
      <w:tr>
        <w:tc>
          <w:tcPr>
            <w:tcW w:type="dxa" w:w="4997"/>
            <w:vAlign w:val="center"/>
          </w:tcPr>
          <w:p>
            <w:r/>
            <w:r>
              <w:rPr>
                <w:b/>
                <w:sz w:val="16"/>
              </w:rPr>
              <w:t>MarketDataProvider</w:t>
            </w:r>
          </w:p>
        </w:tc>
        <w:tc>
          <w:tcPr>
            <w:tcW w:type="dxa" w:w="4997"/>
            <w:vAlign w:val="center"/>
          </w:tcPr>
          <w:p>
            <w:r/>
            <w:r>
              <w:rPr>
                <w:b w:val="0"/>
                <w:sz w:val="16"/>
              </w:rPr>
              <w:t>Retrieves external data; the first implementation uses Yahoo Finance.</w:t>
            </w:r>
          </w:p>
        </w:tc>
      </w:tr>
      <w:tr>
        <w:tc>
          <w:tcPr>
            <w:tcW w:type="dxa" w:w="4997"/>
            <w:vAlign w:val="center"/>
          </w:tcPr>
          <w:p>
            <w:r/>
            <w:r>
              <w:rPr>
                <w:b/>
                <w:sz w:val="16"/>
              </w:rPr>
              <w:t>MarketDataRepository</w:t>
            </w:r>
          </w:p>
        </w:tc>
        <w:tc>
          <w:tcPr>
            <w:tcW w:type="dxa" w:w="4997"/>
            <w:vAlign w:val="center"/>
          </w:tcPr>
          <w:p>
            <w:r/>
            <w:r>
              <w:rPr>
                <w:b w:val="0"/>
                <w:sz w:val="16"/>
              </w:rPr>
              <w:t>Loads and atomically stores normalized OHLCV data.</w:t>
            </w:r>
          </w:p>
        </w:tc>
      </w:tr>
      <w:tr>
        <w:tc>
          <w:tcPr>
            <w:tcW w:type="dxa" w:w="4997"/>
            <w:vAlign w:val="center"/>
          </w:tcPr>
          <w:p>
            <w:r/>
            <w:r>
              <w:rPr>
                <w:b/>
                <w:sz w:val="16"/>
              </w:rPr>
              <w:t>IndicatorEngine</w:t>
            </w:r>
          </w:p>
        </w:tc>
        <w:tc>
          <w:tcPr>
            <w:tcW w:type="dxa" w:w="4997"/>
            <w:vAlign w:val="center"/>
          </w:tcPr>
          <w:p>
            <w:r/>
            <w:r>
              <w:rPr>
                <w:b w:val="0"/>
                <w:sz w:val="16"/>
              </w:rPr>
              <w:t>Produces derived series exactly once for both strategy and chart consumers.</w:t>
            </w:r>
          </w:p>
        </w:tc>
      </w:tr>
      <w:tr>
        <w:tc>
          <w:tcPr>
            <w:tcW w:type="dxa" w:w="4997"/>
            <w:vAlign w:val="center"/>
          </w:tcPr>
          <w:p>
            <w:r/>
            <w:r>
              <w:rPr>
                <w:b/>
                <w:sz w:val="16"/>
              </w:rPr>
              <w:t>Strategy</w:t>
            </w:r>
          </w:p>
        </w:tc>
        <w:tc>
          <w:tcPr>
            <w:tcW w:type="dxa" w:w="4997"/>
            <w:vAlign w:val="center"/>
          </w:tcPr>
          <w:p>
            <w:r/>
            <w:r>
              <w:rPr>
                <w:b w:val="0"/>
                <w:sz w:val="16"/>
              </w:rPr>
              <w:t>Pure deterministic state evaluation with no I/O.</w:t>
            </w:r>
          </w:p>
        </w:tc>
      </w:tr>
      <w:tr>
        <w:tc>
          <w:tcPr>
            <w:tcW w:type="dxa" w:w="4997"/>
            <w:vAlign w:val="center"/>
          </w:tcPr>
          <w:p>
            <w:r/>
            <w:r>
              <w:rPr>
                <w:b/>
                <w:sz w:val="16"/>
              </w:rPr>
              <w:t>StateRepository</w:t>
            </w:r>
          </w:p>
        </w:tc>
        <w:tc>
          <w:tcPr>
            <w:tcW w:type="dxa" w:w="4997"/>
            <w:vAlign w:val="center"/>
          </w:tcPr>
          <w:p>
            <w:r/>
            <w:r>
              <w:rPr>
                <w:b w:val="0"/>
                <w:sz w:val="16"/>
              </w:rPr>
              <w:t>Persists current state, last processed date, and deduplication keys.</w:t>
            </w:r>
          </w:p>
        </w:tc>
      </w:tr>
      <w:tr>
        <w:tc>
          <w:tcPr>
            <w:tcW w:type="dxa" w:w="4997"/>
            <w:vAlign w:val="center"/>
          </w:tcPr>
          <w:p>
            <w:r/>
            <w:r>
              <w:rPr>
                <w:b/>
                <w:sz w:val="16"/>
              </w:rPr>
              <w:t>SignalHistoryRepository</w:t>
            </w:r>
          </w:p>
        </w:tc>
        <w:tc>
          <w:tcPr>
            <w:tcW w:type="dxa" w:w="4997"/>
            <w:vAlign w:val="center"/>
          </w:tcPr>
          <w:p>
            <w:r/>
            <w:r>
              <w:rPr>
                <w:b w:val="0"/>
                <w:sz w:val="16"/>
              </w:rPr>
              <w:t>Persists daily evaluations for audit, comparison, and future backtesting.</w:t>
            </w:r>
          </w:p>
        </w:tc>
      </w:tr>
      <w:tr>
        <w:tc>
          <w:tcPr>
            <w:tcW w:type="dxa" w:w="4997"/>
            <w:vAlign w:val="center"/>
          </w:tcPr>
          <w:p>
            <w:r/>
            <w:r>
              <w:rPr>
                <w:b/>
                <w:sz w:val="16"/>
              </w:rPr>
              <w:t>ChartGenerator</w:t>
            </w:r>
          </w:p>
        </w:tc>
        <w:tc>
          <w:tcPr>
            <w:tcW w:type="dxa" w:w="4997"/>
            <w:vAlign w:val="center"/>
          </w:tcPr>
          <w:p>
            <w:r/>
            <w:r>
              <w:rPr>
                <w:b w:val="0"/>
                <w:sz w:val="16"/>
              </w:rPr>
              <w:t>Renders current and historical strategy context as a temporary PNG.</w:t>
            </w:r>
          </w:p>
        </w:tc>
      </w:tr>
      <w:tr>
        <w:tc>
          <w:tcPr>
            <w:tcW w:type="dxa" w:w="4997"/>
            <w:vAlign w:val="center"/>
          </w:tcPr>
          <w:p>
            <w:r/>
            <w:r>
              <w:rPr>
                <w:b/>
                <w:sz w:val="16"/>
              </w:rPr>
              <w:t>Notifier</w:t>
            </w:r>
          </w:p>
        </w:tc>
        <w:tc>
          <w:tcPr>
            <w:tcW w:type="dxa" w:w="4997"/>
            <w:vAlign w:val="center"/>
          </w:tcPr>
          <w:p>
            <w:r/>
            <w:r>
              <w:rPr>
                <w:b w:val="0"/>
                <w:sz w:val="16"/>
              </w:rPr>
              <w:t>Sends messages and images; notification success controls notification-state persistence.</w:t>
            </w:r>
          </w:p>
        </w:tc>
      </w:tr>
    </w:tbl>
    <w:p>
      <w:pPr>
        <w:pStyle w:val="Heading1"/>
      </w:pPr>
      <w:r>
        <w:t>6. Runtime Data Flow</w:t>
      </w:r>
    </w:p>
    <w:p>
      <w:pPr>
        <w:pStyle w:val="ListNumber"/>
      </w:pPr>
      <w:r>
        <w:t>Checkout the repository and load configuration.</w:t>
      </w:r>
    </w:p>
    <w:p>
      <w:pPr>
        <w:pStyle w:val="ListNumber"/>
      </w:pPr>
      <w:r>
        <w:t>Load the local QQQ dataset and current strategy state.</w:t>
      </w:r>
    </w:p>
    <w:p>
      <w:pPr>
        <w:pStyle w:val="ListNumber"/>
      </w:pPr>
      <w:r>
        <w:t>Choose initial, incremental, or full synchronization mode.</w:t>
      </w:r>
    </w:p>
    <w:p>
      <w:pPr>
        <w:pStyle w:val="ListNumber"/>
      </w:pPr>
      <w:r>
        <w:t>Fetch external market data and normalize its schema and timezone.</w:t>
      </w:r>
    </w:p>
    <w:p>
      <w:pPr>
        <w:pStyle w:val="ListNumber"/>
      </w:pPr>
      <w:r>
        <w:t>Validate and upsert rows by market date; preserve the last known valid file until replacement succeeds.</w:t>
      </w:r>
    </w:p>
    <w:p>
      <w:pPr>
        <w:pStyle w:val="ListNumber"/>
      </w:pPr>
      <w:r>
        <w:t>Compute SMA200, upper threshold, and lower threshold over the full retained dataset.</w:t>
      </w:r>
    </w:p>
    <w:p>
      <w:pPr>
        <w:pStyle w:val="ListNumber"/>
      </w:pPr>
      <w:r>
        <w:t>Evaluate the latest row using the prior strategy state.</w:t>
      </w:r>
    </w:p>
    <w:p>
      <w:pPr>
        <w:pStyle w:val="ListNumber"/>
      </w:pPr>
      <w:r>
        <w:t>Write the daily signal-history record idempotently.</w:t>
      </w:r>
    </w:p>
    <w:p>
      <w:pPr>
        <w:pStyle w:val="ListNumber"/>
      </w:pPr>
      <w:r>
        <w:t>Generate the chart from the same calculated indicator dataset.</w:t>
      </w:r>
    </w:p>
    <w:p>
      <w:pPr>
        <w:pStyle w:val="ListNumber"/>
      </w:pPr>
      <w:r>
        <w:t>Determine whether a notification is required and whether it is a duplicate.</w:t>
      </w:r>
    </w:p>
    <w:p>
      <w:pPr>
        <w:pStyle w:val="ListNumber"/>
      </w:pPr>
      <w:r>
        <w:t>Send Telegram notification. Only after success, persist notification-specific state.</w:t>
      </w:r>
    </w:p>
    <w:p>
      <w:pPr>
        <w:pStyle w:val="ListNumber"/>
      </w:pPr>
      <w:r>
        <w:t>Persist the current strategy state and updated market data.</w:t>
      </w:r>
    </w:p>
    <w:p>
      <w:pPr>
        <w:pStyle w:val="ListNumber"/>
      </w:pPr>
      <w:r>
        <w:t>If running in GitHub Actions and tracked files changed, commit and push the data/state updates.</w:t>
      </w:r>
    </w:p>
    <w:p>
      <w:pPr>
        <w:pStyle w:val="Heading1"/>
      </w:pPr>
      <w:r>
        <w:t>7. Data Model and Persistence</w:t>
      </w:r>
    </w:p>
    <w:p>
      <w:pPr>
        <w:pStyle w:val="Heading2"/>
      </w:pPr>
      <w:r>
        <w:t>7.1 Market Data CSV</w:t>
      </w:r>
    </w:p>
    <w:p>
      <w:pPr>
        <w:pStyle w:val="CodeBlock"/>
        <w:spacing w:after="120"/>
      </w:pPr>
      <w:r>
        <w:t>data/QQQ_daily.csv</w:t>
        <w:br/>
        <w:t>Date,Open,High,Low,Close,Volume</w:t>
        <w:br/>
        <w:t>2026-07-17,609.100000,615.200000,608.300000,613.120000,44715200</w:t>
      </w:r>
    </w:p>
    <w:p>
      <w:r>
        <w:t>The Close field represents the configured adjusted-price series. The repository retains a bounded rolling history, defaulting to 400 trading rows.</w:t>
      </w:r>
    </w:p>
    <w:p>
      <w:pPr>
        <w:pStyle w:val="Heading2"/>
      </w:pPr>
      <w:r>
        <w:t>7.2 Current State JSON</w:t>
      </w:r>
    </w:p>
    <w:p>
      <w:pPr>
        <w:pStyle w:val="CodeBlock"/>
        <w:spacing w:after="120"/>
      </w:pPr>
      <w:r>
        <w:t>state/QQQ_sma_buffer_v1.json</w:t>
        <w:br/>
        <w:t>{</w:t>
        <w:br/>
        <w:t xml:space="preserve">  "schema_version": 1,</w:t>
        <w:br/>
        <w:t xml:space="preserve">  "strategy_name": "sma_buffer",</w:t>
        <w:br/>
        <w:t xml:space="preserve">  "strategy_version": 1,</w:t>
        <w:br/>
        <w:t xml:space="preserve">  "symbol": "QQQ",</w:t>
        <w:br/>
        <w:t xml:space="preserve">  "current_state": "RISK_ON",</w:t>
        <w:br/>
        <w:t xml:space="preserve">  "last_processed_market_date": "2026-07-17",</w:t>
        <w:br/>
        <w:t xml:space="preserve">  "last_notification_key": "QQQ:sma_buffer:v1:2026-07-17:RISK_ON",</w:t>
        <w:br/>
        <w:t xml:space="preserve">  "processed_at": "2026-07-17T23:06:10Z",</w:t>
        <w:br/>
        <w:t xml:space="preserve">  "last_close": 613.12,</w:t>
        <w:br/>
        <w:t xml:space="preserve">  "last_sma": 575.42</w:t>
        <w:br/>
        <w:t>}</w:t>
      </w:r>
    </w:p>
    <w:p>
      <w:pPr>
        <w:pStyle w:val="Heading2"/>
      </w:pPr>
      <w:r>
        <w:t>7.3 Signal History CSV</w:t>
      </w:r>
    </w:p>
    <w:p>
      <w:pPr>
        <w:pStyle w:val="CodeBlock"/>
        <w:spacing w:after="120"/>
      </w:pPr>
      <w:r>
        <w:t>history/signals_v1.csv</w:t>
        <w:br/>
        <w:t>MarketDate,Close,SMA200,UpperThreshold,LowerThreshold,PreviousState,CurrentState,Changed,StrategyVersion,ConfigHash,ProcessedAt</w:t>
      </w:r>
    </w:p>
    <w:p>
      <w:r>
        <w:t>Uniqueness key: MarketDate + SignalSymbol + StrategyName + StrategyVersion. A rerun updates or ignores the same logical record rather than appending duplicates.</w:t>
      </w:r>
    </w:p>
    <w:p>
      <w:pPr>
        <w:pStyle w:val="Heading1"/>
      </w:pPr>
      <w:r>
        <w:t>8. Market Data Synchronization</w:t>
      </w:r>
    </w:p>
    <w:p>
      <w:pPr>
        <w:pStyle w:val="Heading2"/>
      </w:pPr>
      <w:r>
        <w:t>8.1 Initial Sync</w:t>
      </w:r>
    </w:p>
    <w:p>
      <w:r>
        <w:t>When the local CSV does not exist or lacks enough valid rows, retrieve at least two years of daily history. Normalize, validate, and retain the latest 400 trading rows.</w:t>
      </w:r>
    </w:p>
    <w:p>
      <w:pPr>
        <w:pStyle w:val="Heading2"/>
      </w:pPr>
      <w:r>
        <w:t>8.2 Incremental Sync</w:t>
      </w:r>
    </w:p>
    <w:p>
      <w:r>
        <w:t>On a normal run, start seven calendar days before the latest saved market date and request through tomorrow because the provider end date is exclusive. Merge by Date and keep the newly fetched row when dates overlap.</w:t>
      </w:r>
    </w:p>
    <w:p>
      <w:r>
        <w:t>The overlap is deliberate: it repairs missed workflow runs, delayed provider publication, and recent corrections while keeping the network request small.</w:t>
      </w:r>
    </w:p>
    <w:p>
      <w:pPr>
        <w:pStyle w:val="Heading2"/>
      </w:pPr>
      <w:r>
        <w:t>8.3 Full Reconciliation</w:t>
      </w:r>
    </w:p>
    <w:p>
      <w:r>
        <w:t>A full refresh is triggered manually or when the last full-sync date exceeds a configured threshold, initially 30 days. It re-downloads the historical window and reconciles adjusted-price revisions.</w:t>
      </w:r>
    </w:p>
    <w:p>
      <w:pPr>
        <w:pStyle w:val="Heading1"/>
      </w:pPr>
      <w:r>
        <w:t>9. Indicator and Strategy Specification</w:t>
      </w:r>
    </w:p>
    <w:p>
      <w:pPr>
        <w:pStyle w:val="Heading2"/>
      </w:pPr>
      <w:r>
        <w:t>9.1 Indicator</w:t>
      </w:r>
    </w:p>
    <w:p>
      <w:r>
        <w:t>For each trading day t, SMA200 is the arithmetic mean of the latest 200 valid adjusted closing prices, including day t. Calculations retain full precision; formatting rounds only for display.</w:t>
      </w:r>
    </w:p>
    <w:p>
      <w:pPr>
        <w:pStyle w:val="CodeBlock"/>
        <w:spacing w:after="120"/>
      </w:pPr>
      <w:r>
        <w:t>SMA200(t) = mean(Close[t-199 : t])</w:t>
        <w:br/>
        <w:t>Upper(t)  = SMA200(t) × 1.04</w:t>
        <w:br/>
        <w:t>Lower(t)  = SMA200(t) × 0.97</w:t>
      </w:r>
    </w:p>
    <w:p>
      <w:pPr>
        <w:pStyle w:val="Heading2"/>
      </w:pPr>
      <w:r>
        <w:t>9.2 State Machine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F4E79"/>
          </w:tcPr>
          <w:p>
            <w:r/>
            <w:r>
              <w:rPr>
                <w:b/>
                <w:color w:val="FFFFFF"/>
                <w:sz w:val="16"/>
              </w:rPr>
              <w:t>Condition</w:t>
            </w:r>
          </w:p>
        </w:tc>
        <w:tc>
          <w:tcPr>
            <w:tcW w:type="dxa" w:w="2498"/>
            <w:vAlign w:val="center"/>
            <w:shd w:fill="1F4E79"/>
          </w:tcPr>
          <w:p>
            <w:r/>
            <w:r>
              <w:rPr>
                <w:b/>
                <w:color w:val="FFFFFF"/>
                <w:sz w:val="16"/>
              </w:rPr>
              <w:t>Previous state</w:t>
            </w:r>
          </w:p>
        </w:tc>
        <w:tc>
          <w:tcPr>
            <w:tcW w:type="dxa" w:w="2498"/>
            <w:vAlign w:val="center"/>
            <w:shd w:fill="1F4E79"/>
          </w:tcPr>
          <w:p>
            <w:r/>
            <w:r>
              <w:rPr>
                <w:b/>
                <w:color w:val="FFFFFF"/>
                <w:sz w:val="16"/>
              </w:rPr>
              <w:t>New state</w:t>
            </w:r>
          </w:p>
        </w:tc>
        <w:tc>
          <w:tcPr>
            <w:tcW w:type="dxa" w:w="2498"/>
            <w:vAlign w:val="center"/>
            <w:shd w:fill="1F4E79"/>
          </w:tcPr>
          <w:p>
            <w:r/>
            <w:r>
              <w:rPr>
                <w:b/>
                <w:color w:val="FFFFFF"/>
                <w:sz w:val="16"/>
              </w:rPr>
              <w:t>Interpretation</w:t>
            </w:r>
          </w:p>
        </w:tc>
      </w:tr>
      <w:tr>
        <w:tc>
          <w:tcPr>
            <w:tcW w:type="dxa" w:w="2498"/>
            <w:vAlign w:val="center"/>
          </w:tcPr>
          <w:p>
            <w:r/>
            <w:r>
              <w:rPr>
                <w:b w:val="0"/>
                <w:sz w:val="16"/>
              </w:rPr>
              <w:t>Close ≥ Upper</w:t>
            </w:r>
          </w:p>
        </w:tc>
        <w:tc>
          <w:tcPr>
            <w:tcW w:type="dxa" w:w="2498"/>
            <w:vAlign w:val="center"/>
          </w:tcPr>
          <w:p>
            <w:r/>
            <w:r>
              <w:rPr>
                <w:b w:val="0"/>
                <w:sz w:val="16"/>
              </w:rPr>
              <w:t>Any</w:t>
            </w:r>
          </w:p>
        </w:tc>
        <w:tc>
          <w:tcPr>
            <w:tcW w:type="dxa" w:w="2498"/>
            <w:vAlign w:val="center"/>
          </w:tcPr>
          <w:p>
            <w:r/>
            <w:r>
              <w:rPr>
                <w:b/>
                <w:sz w:val="16"/>
              </w:rPr>
              <w:t>RISK_ON</w:t>
            </w:r>
          </w:p>
        </w:tc>
        <w:tc>
          <w:tcPr>
            <w:tcW w:type="dxa" w:w="2498"/>
            <w:vAlign w:val="center"/>
          </w:tcPr>
          <w:p>
            <w:r/>
            <w:r>
              <w:rPr>
                <w:b w:val="0"/>
                <w:sz w:val="16"/>
              </w:rPr>
              <w:t>Strong QQQ trend; TQQQ exposure permitted by the strategy.</w:t>
            </w:r>
          </w:p>
        </w:tc>
      </w:tr>
      <w:tr>
        <w:tc>
          <w:tcPr>
            <w:tcW w:type="dxa" w:w="2498"/>
            <w:vAlign w:val="center"/>
          </w:tcPr>
          <w:p>
            <w:r/>
            <w:r>
              <w:rPr>
                <w:b w:val="0"/>
                <w:sz w:val="16"/>
              </w:rPr>
              <w:t>Close ≤ Lower</w:t>
            </w:r>
          </w:p>
        </w:tc>
        <w:tc>
          <w:tcPr>
            <w:tcW w:type="dxa" w:w="2498"/>
            <w:vAlign w:val="center"/>
          </w:tcPr>
          <w:p>
            <w:r/>
            <w:r>
              <w:rPr>
                <w:b w:val="0"/>
                <w:sz w:val="16"/>
              </w:rPr>
              <w:t>Any</w:t>
            </w:r>
          </w:p>
        </w:tc>
        <w:tc>
          <w:tcPr>
            <w:tcW w:type="dxa" w:w="2498"/>
            <w:vAlign w:val="center"/>
          </w:tcPr>
          <w:p>
            <w:r/>
            <w:r>
              <w:rPr>
                <w:b/>
                <w:sz w:val="16"/>
              </w:rPr>
              <w:t>RISK_OFF</w:t>
            </w:r>
          </w:p>
        </w:tc>
        <w:tc>
          <w:tcPr>
            <w:tcW w:type="dxa" w:w="2498"/>
            <w:vAlign w:val="center"/>
          </w:tcPr>
          <w:p>
            <w:r/>
            <w:r>
              <w:rPr>
                <w:b w:val="0"/>
                <w:sz w:val="16"/>
              </w:rPr>
              <w:t>Weak QQQ trend; reduce or avoid TQQQ exposure.</w:t>
            </w:r>
          </w:p>
        </w:tc>
      </w:tr>
      <w:tr>
        <w:tc>
          <w:tcPr>
            <w:tcW w:type="dxa" w:w="2498"/>
            <w:vAlign w:val="center"/>
          </w:tcPr>
          <w:p>
            <w:r/>
            <w:r>
              <w:rPr>
                <w:b w:val="0"/>
                <w:sz w:val="16"/>
              </w:rPr>
              <w:t>Lower &lt; Close &lt; Upper</w:t>
            </w:r>
          </w:p>
        </w:tc>
        <w:tc>
          <w:tcPr>
            <w:tcW w:type="dxa" w:w="2498"/>
            <w:vAlign w:val="center"/>
          </w:tcPr>
          <w:p>
            <w:r/>
            <w:r>
              <w:rPr>
                <w:b w:val="0"/>
                <w:sz w:val="16"/>
              </w:rPr>
              <w:t>RISK_ON</w:t>
            </w:r>
          </w:p>
        </w:tc>
        <w:tc>
          <w:tcPr>
            <w:tcW w:type="dxa" w:w="2498"/>
            <w:vAlign w:val="center"/>
          </w:tcPr>
          <w:p>
            <w:r/>
            <w:r>
              <w:rPr>
                <w:b/>
                <w:sz w:val="16"/>
              </w:rPr>
              <w:t>RISK_ON</w:t>
            </w:r>
          </w:p>
        </w:tc>
        <w:tc>
          <w:tcPr>
            <w:tcW w:type="dxa" w:w="2498"/>
            <w:vAlign w:val="center"/>
          </w:tcPr>
          <w:p>
            <w:r/>
            <w:r>
              <w:rPr>
                <w:b w:val="0"/>
                <w:sz w:val="16"/>
              </w:rPr>
              <w:t>Neutral zone preserves the prior bullish state.</w:t>
            </w:r>
          </w:p>
        </w:tc>
      </w:tr>
      <w:tr>
        <w:tc>
          <w:tcPr>
            <w:tcW w:type="dxa" w:w="2498"/>
            <w:vAlign w:val="center"/>
          </w:tcPr>
          <w:p>
            <w:r/>
            <w:r>
              <w:rPr>
                <w:b w:val="0"/>
                <w:sz w:val="16"/>
              </w:rPr>
              <w:t>Lower &lt; Close &lt; Upper</w:t>
            </w:r>
          </w:p>
        </w:tc>
        <w:tc>
          <w:tcPr>
            <w:tcW w:type="dxa" w:w="2498"/>
            <w:vAlign w:val="center"/>
          </w:tcPr>
          <w:p>
            <w:r/>
            <w:r>
              <w:rPr>
                <w:b w:val="0"/>
                <w:sz w:val="16"/>
              </w:rPr>
              <w:t>RISK_OFF</w:t>
            </w:r>
          </w:p>
        </w:tc>
        <w:tc>
          <w:tcPr>
            <w:tcW w:type="dxa" w:w="2498"/>
            <w:vAlign w:val="center"/>
          </w:tcPr>
          <w:p>
            <w:r/>
            <w:r>
              <w:rPr>
                <w:b/>
                <w:sz w:val="16"/>
              </w:rPr>
              <w:t>RISK_OFF</w:t>
            </w:r>
          </w:p>
        </w:tc>
        <w:tc>
          <w:tcPr>
            <w:tcW w:type="dxa" w:w="2498"/>
            <w:vAlign w:val="center"/>
          </w:tcPr>
          <w:p>
            <w:r/>
            <w:r>
              <w:rPr>
                <w:b w:val="0"/>
                <w:sz w:val="16"/>
              </w:rPr>
              <w:t>Neutral zone preserves the prior defensive state.</w:t>
            </w:r>
          </w:p>
        </w:tc>
      </w:tr>
      <w:tr>
        <w:tc>
          <w:tcPr>
            <w:tcW w:type="dxa" w:w="2498"/>
            <w:vAlign w:val="center"/>
          </w:tcPr>
          <w:p>
            <w:r/>
            <w:r>
              <w:rPr>
                <w:b w:val="0"/>
                <w:sz w:val="16"/>
              </w:rPr>
              <w:t>Lower &lt; Close &lt; Upper</w:t>
            </w:r>
          </w:p>
        </w:tc>
        <w:tc>
          <w:tcPr>
            <w:tcW w:type="dxa" w:w="2498"/>
            <w:vAlign w:val="center"/>
          </w:tcPr>
          <w:p>
            <w:r/>
            <w:r>
              <w:rPr>
                <w:b w:val="0"/>
                <w:sz w:val="16"/>
              </w:rPr>
              <w:t>UNKNOWN</w:t>
            </w:r>
          </w:p>
        </w:tc>
        <w:tc>
          <w:tcPr>
            <w:tcW w:type="dxa" w:w="2498"/>
            <w:vAlign w:val="center"/>
          </w:tcPr>
          <w:p>
            <w:r/>
            <w:r>
              <w:rPr>
                <w:b/>
                <w:sz w:val="16"/>
              </w:rPr>
              <w:t>UNKNOWN</w:t>
            </w:r>
          </w:p>
        </w:tc>
        <w:tc>
          <w:tcPr>
            <w:tcW w:type="dxa" w:w="2498"/>
            <w:vAlign w:val="center"/>
          </w:tcPr>
          <w:p>
            <w:r/>
            <w:r>
              <w:rPr>
                <w:b w:val="0"/>
                <w:sz w:val="16"/>
              </w:rPr>
              <w:t>No state is inferred before a threshold is reached.</w:t>
            </w:r>
          </w:p>
        </w:tc>
      </w:tr>
    </w:tbl>
    <w:p>
      <w:pPr>
        <w:pStyle w:val="Heading2"/>
      </w:pPr>
      <w:r>
        <w:t>9.3 Signal Result Model</w:t>
      </w:r>
    </w:p>
    <w:p>
      <w:pPr>
        <w:pStyle w:val="CodeBlock"/>
        <w:spacing w:after="120"/>
      </w:pPr>
      <w:r>
        <w:t>StrategyResult</w:t>
        <w:br/>
        <w:t>- market_date</w:t>
        <w:br/>
        <w:t>- previous_state</w:t>
        <w:br/>
        <w:t>- current_state</w:t>
        <w:br/>
        <w:t>- state_changed</w:t>
        <w:br/>
        <w:t>- close</w:t>
        <w:br/>
        <w:t>- sma200</w:t>
        <w:br/>
        <w:t>- upper_threshold</w:t>
        <w:br/>
        <w:t>- lower_threshold</w:t>
        <w:br/>
        <w:t>- distance_from_sma_percent</w:t>
        <w:br/>
        <w:t>- reason</w:t>
        <w:br/>
        <w:t>- strategy_name</w:t>
        <w:br/>
        <w:t>- strategy_version</w:t>
        <w:br/>
        <w:t>- config_hash</w:t>
      </w:r>
    </w:p>
    <w:p>
      <w:pPr>
        <w:pStyle w:val="Heading1"/>
      </w:pPr>
      <w:r>
        <w:t>10. Notification Design</w:t>
      </w:r>
    </w:p>
    <w:p>
      <w:r>
        <w:t>The notifier supports two modes: signal_only and daily_summary. Production v1 defaults to signal_only; development and shadow testing may use daily_summary.</w:t>
      </w:r>
    </w:p>
    <w:p>
      <w:pPr>
        <w:pStyle w:val="CodeBlock"/>
        <w:spacing w:after="120"/>
      </w:pPr>
      <w:r>
        <w:t>🟢 QQQ Strategy: RISK_ON</w:t>
        <w:br/>
        <w:t>Market date: 2026-07-17</w:t>
        <w:br/>
        <w:t>QQQ close: $613.12</w:t>
        <w:br/>
        <w:t>SMA200: $575.42</w:t>
        <w:br/>
        <w:t>Upper threshold: $598.44</w:t>
        <w:br/>
        <w:t>Lower threshold: $558.16</w:t>
        <w:br/>
        <w:t>Distance from SMA200: +6.55%</w:t>
        <w:br/>
        <w:t>Suggested TQQQ posture: Risk exposure permitted</w:t>
        <w:br/>
        <w:t>Strategy: sma_buffer v1</w:t>
      </w:r>
    </w:p>
    <w:p>
      <w:r>
        <w:t>A Telegram photo notification uses the generated chart as the image and the summary as the caption. Telegram credentials are injected at runtime.</w:t>
      </w:r>
    </w:p>
    <w:p>
      <w:pPr>
        <w:pStyle w:val="Heading1"/>
      </w:pPr>
      <w:r>
        <w:t>11. Chart Design</w:t>
      </w:r>
    </w:p>
    <w:p>
      <w:pPr>
        <w:pStyle w:val="ListBullet"/>
      </w:pPr>
      <w:r>
        <w:t>Display the latest 180 trading days while calculating indicators from the full retained dataset.</w:t>
      </w:r>
    </w:p>
    <w:p>
      <w:pPr>
        <w:pStyle w:val="ListBullet"/>
      </w:pPr>
      <w:r>
        <w:t>Plot QQQ adjusted Close, SMA200, upper threshold, and lower threshold.</w:t>
      </w:r>
    </w:p>
    <w:p>
      <w:pPr>
        <w:pStyle w:val="ListBullet"/>
      </w:pPr>
      <w:r>
        <w:t>Mark the latest Close and annotate current state, market date, and key values.</w:t>
      </w:r>
    </w:p>
    <w:p>
      <w:pPr>
        <w:pStyle w:val="ListBullet"/>
      </w:pPr>
      <w:r>
        <w:t>Use the exact indicator output used by the strategy; the chart layer must not recalculate independently.</w:t>
      </w:r>
    </w:p>
    <w:p>
      <w:pPr>
        <w:pStyle w:val="ListBullet"/>
      </w:pPr>
      <w:r>
        <w:t>Store PNGs only as temporary workflow outputs or short-retention artifacts; do not commit them.</w:t>
      </w:r>
    </w:p>
    <w:p>
      <w:pPr>
        <w:pStyle w:val="Heading1"/>
      </w:pPr>
      <w:r>
        <w:t>12. Command-Line Interface</w:t>
      </w:r>
    </w:p>
    <w:p>
      <w:pPr>
        <w:pStyle w:val="CodeBlock"/>
        <w:spacing w:after="120"/>
      </w:pPr>
      <w:r>
        <w:t>python -m stock_ma_tracker.cli run</w:t>
        <w:br/>
        <w:t>python -m stock_ma_tracker.cli run --dry-run</w:t>
        <w:br/>
        <w:t>python -m stock_ma_tracker.cli sync</w:t>
        <w:br/>
        <w:t>python -m stock_ma_tracker.cli sync --full</w:t>
        <w:br/>
        <w:t>python -m stock_ma_tracker.cli evaluate --as-of 2026-07-17</w:t>
        <w:br/>
        <w:t>python -m stock_ma_tracker.cli chart</w:t>
        <w:br/>
        <w:t>python -m stock_ma_tracker.cli backfill --start 2025-01-01 --end 2026-07-17</w:t>
      </w:r>
    </w:p>
    <w:p>
      <w:pPr>
        <w:pStyle w:val="Heading1"/>
      </w:pPr>
      <w:r>
        <w:t>13. Configuration</w:t>
      </w:r>
    </w:p>
    <w:p>
      <w:pPr>
        <w:pStyle w:val="CodeBlock"/>
        <w:spacing w:after="120"/>
      </w:pPr>
      <w:r>
        <w:t>project:</w:t>
        <w:br/>
        <w:t xml:space="preserve">  name: stock-ma-tracker</w:t>
        <w:br/>
        <w:t xml:space="preserve">  version: 0.1.0</w:t>
        <w:br/>
        <w:br/>
        <w:t>market_data:</w:t>
        <w:br/>
        <w:t xml:space="preserve">  provider: yahoo</w:t>
        <w:br/>
        <w:t xml:space="preserve">  signal_symbol: QQQ</w:t>
        <w:br/>
        <w:t xml:space="preserve">  trade_symbol: TQQQ</w:t>
        <w:br/>
        <w:t xml:space="preserve">  interval: 1d</w:t>
        <w:br/>
        <w:t xml:space="preserve">  auto_adjust: true</w:t>
        <w:br/>
        <w:t xml:space="preserve">  overlap_calendar_days: 7</w:t>
        <w:br/>
        <w:t xml:space="preserve">  max_stored_rows: 400</w:t>
        <w:br/>
        <w:t xml:space="preserve">  full_sync_interval_days: 30</w:t>
        <w:br/>
        <w:br/>
        <w:t>strategy:</w:t>
        <w:br/>
        <w:t xml:space="preserve">  name: sma_buffer</w:t>
        <w:br/>
        <w:t xml:space="preserve">  version: 1</w:t>
        <w:br/>
        <w:t xml:space="preserve">  sma_window: 200</w:t>
        <w:br/>
        <w:t xml:space="preserve">  risk_on_multiplier: 1.04</w:t>
        <w:br/>
        <w:t xml:space="preserve">  risk_off_multiplier: 0.97</w:t>
        <w:br/>
        <w:t xml:space="preserve">  threshold_inclusive: true</w:t>
        <w:br/>
        <w:t xml:space="preserve">  neutral_behavior: keep_previous</w:t>
        <w:br/>
        <w:t xml:space="preserve">  initial_state: UNKNOWN</w:t>
        <w:br/>
        <w:br/>
        <w:t>notification:</w:t>
        <w:br/>
        <w:t xml:space="preserve">  provider: telegram</w:t>
        <w:br/>
        <w:t xml:space="preserve">  mode: signal_only</w:t>
        <w:br/>
        <w:t xml:space="preserve">  include_chart: true</w:t>
        <w:br/>
        <w:br/>
        <w:t>chart:</w:t>
        <w:br/>
        <w:t xml:space="preserve">  display_days: 180</w:t>
        <w:br/>
        <w:br/>
        <w:t>schedule:</w:t>
        <w:br/>
        <w:t xml:space="preserve">  cron_utc: "0 23 * * 1-5"</w:t>
      </w:r>
    </w:p>
    <w:p>
      <w:pPr>
        <w:pStyle w:val="Heading1"/>
      </w:pPr>
      <w:r>
        <w:t>14. Repository Layout</w:t>
      </w:r>
    </w:p>
    <w:p>
      <w:pPr>
        <w:pStyle w:val="CodeBlock"/>
        <w:spacing w:after="120"/>
      </w:pPr>
      <w:r>
        <w:t>Stock-MA-Tracker/</w:t>
        <w:br/>
        <w:t>├── .github/workflows/</w:t>
        <w:br/>
        <w:t>│   ├── daily-strategy.yml</w:t>
        <w:br/>
        <w:t>│   └── tests.yml</w:t>
        <w:br/>
        <w:t>├── config/strategy.yaml</w:t>
        <w:br/>
        <w:t>├── data/QQQ_daily.csv</w:t>
        <w:br/>
        <w:t>├── history/signals_v1.csv</w:t>
        <w:br/>
        <w:t>├── state/QQQ_sma_buffer_v1.json</w:t>
        <w:br/>
        <w:t>├── src/stock_ma_tracker/</w:t>
        <w:br/>
        <w:t>│   ├── cli.py</w:t>
        <w:br/>
        <w:t>│   ├── config.py</w:t>
        <w:br/>
        <w:t>│   ├── models.py</w:t>
        <w:br/>
        <w:t>│   ├── data/</w:t>
        <w:br/>
        <w:t>│   │   ├── provider.py</w:t>
        <w:br/>
        <w:t>│   │   ├── yahoo_provider.py</w:t>
        <w:br/>
        <w:t>│   │   └── repository.py</w:t>
        <w:br/>
        <w:t>│   ├── indicators/moving_average.py</w:t>
        <w:br/>
        <w:t>│   ├── strategies/base.py</w:t>
        <w:br/>
        <w:t>│   ├── strategies/sma_buffer_v1.py</w:t>
        <w:br/>
        <w:t>│   ├── notifications/telegram.py</w:t>
        <w:br/>
        <w:t>│   ├── charts/strategy_chart.py</w:t>
        <w:br/>
        <w:t>│   ├── state/repository.py</w:t>
        <w:br/>
        <w:t>│   └── services/daily_runner.py</w:t>
        <w:br/>
        <w:t>├── tests/</w:t>
        <w:br/>
        <w:t>│   ├── unit/</w:t>
        <w:br/>
        <w:t>│   ├── integration/</w:t>
        <w:br/>
        <w:t>│   └── fixtures/</w:t>
        <w:br/>
        <w:t>├── pyproject.toml</w:t>
        <w:br/>
        <w:t>├── README.md</w:t>
        <w:br/>
        <w:t>└── CHANGELOG.md</w:t>
      </w:r>
    </w:p>
    <w:p>
      <w:pPr>
        <w:pStyle w:val="Heading1"/>
      </w:pPr>
      <w:r>
        <w:t>15. GitHub Actions Design</w:t>
      </w:r>
    </w:p>
    <w:p>
      <w:pPr>
        <w:pStyle w:val="ListBullet"/>
      </w:pPr>
      <w:r>
        <w:t>Run on workflow_dispatch and a weekday UTC schedule after U.S. market close.</w:t>
      </w:r>
    </w:p>
    <w:p>
      <w:pPr>
        <w:pStyle w:val="ListBullet"/>
      </w:pPr>
      <w:r>
        <w:t>Use concurrency group stock-ma-tracker-daily with cancel-in-progress disabled.</w:t>
      </w:r>
    </w:p>
    <w:p>
      <w:pPr>
        <w:pStyle w:val="ListBullet"/>
      </w:pPr>
      <w:r>
        <w:t>Use contents: write only for the workflow that commits data/state; test workflows use contents: read.</w:t>
      </w:r>
    </w:p>
    <w:p>
      <w:pPr>
        <w:pStyle w:val="ListBullet"/>
      </w:pPr>
      <w:r>
        <w:t>Install locked dependencies, run tests, execute the CLI, and upload chart/log artifacts on failure or when configured.</w:t>
      </w:r>
    </w:p>
    <w:p>
      <w:pPr>
        <w:pStyle w:val="ListBullet"/>
      </w:pPr>
      <w:r>
        <w:t>Commit only tracked state, history, and market-data changes; never commit charts, logs, .env files, or credentials.</w:t>
      </w:r>
    </w:p>
    <w:p>
      <w:pPr>
        <w:pStyle w:val="ListBullet"/>
      </w:pPr>
      <w:r>
        <w:t>Before pushing automated changes, pull with rebase and handle no-change runs as success.</w:t>
      </w:r>
    </w:p>
    <w:p>
      <w:pPr>
        <w:pStyle w:val="Heading1"/>
      </w:pPr>
      <w:r>
        <w:t>16. Error Handling and Run Outcomes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F4E79"/>
          </w:tcPr>
          <w:p>
            <w:r/>
            <w:r>
              <w:rPr>
                <w:b/>
                <w:color w:val="FFFFFF"/>
                <w:sz w:val="17"/>
              </w:rPr>
              <w:t>Outcome</w:t>
            </w:r>
          </w:p>
        </w:tc>
        <w:tc>
          <w:tcPr>
            <w:tcW w:type="dxa" w:w="4997"/>
            <w:vAlign w:val="center"/>
            <w:shd w:fill="1F4E79"/>
          </w:tcPr>
          <w:p>
            <w:r/>
            <w:r>
              <w:rPr>
                <w:b/>
                <w:color w:val="FFFFFF"/>
                <w:sz w:val="17"/>
              </w:rPr>
              <w:t>Meaning</w:t>
            </w:r>
          </w:p>
        </w:tc>
      </w:tr>
      <w:tr>
        <w:tc>
          <w:tcPr>
            <w:tcW w:type="dxa" w:w="4997"/>
            <w:vAlign w:val="center"/>
          </w:tcPr>
          <w:p>
            <w:r/>
            <w:r>
              <w:rPr>
                <w:b/>
                <w:sz w:val="16"/>
              </w:rPr>
              <w:t>UPDATED</w:t>
            </w:r>
          </w:p>
        </w:tc>
        <w:tc>
          <w:tcPr>
            <w:tcW w:type="dxa" w:w="4997"/>
            <w:vAlign w:val="center"/>
          </w:tcPr>
          <w:p>
            <w:r/>
            <w:r>
              <w:rPr>
                <w:b w:val="0"/>
                <w:sz w:val="16"/>
              </w:rPr>
              <w:t>New market data processed successfully.</w:t>
            </w:r>
          </w:p>
        </w:tc>
      </w:tr>
      <w:tr>
        <w:tc>
          <w:tcPr>
            <w:tcW w:type="dxa" w:w="4997"/>
            <w:vAlign w:val="center"/>
          </w:tcPr>
          <w:p>
            <w:r/>
            <w:r>
              <w:rPr>
                <w:b/>
                <w:sz w:val="16"/>
              </w:rPr>
              <w:t>NO_NEW_DATA</w:t>
            </w:r>
          </w:p>
        </w:tc>
        <w:tc>
          <w:tcPr>
            <w:tcW w:type="dxa" w:w="4997"/>
            <w:vAlign w:val="center"/>
          </w:tcPr>
          <w:p>
            <w:r/>
            <w:r>
              <w:rPr>
                <w:b w:val="0"/>
                <w:sz w:val="16"/>
              </w:rPr>
              <w:t>Provider returned no newer trading date; normal on holidays or delayed publication.</w:t>
            </w:r>
          </w:p>
        </w:tc>
      </w:tr>
      <w:tr>
        <w:tc>
          <w:tcPr>
            <w:tcW w:type="dxa" w:w="4997"/>
            <w:vAlign w:val="center"/>
          </w:tcPr>
          <w:p>
            <w:r/>
            <w:r>
              <w:rPr>
                <w:b/>
                <w:sz w:val="16"/>
              </w:rPr>
              <w:t>ALREADY_PROCESSED</w:t>
            </w:r>
          </w:p>
        </w:tc>
        <w:tc>
          <w:tcPr>
            <w:tcW w:type="dxa" w:w="4997"/>
            <w:vAlign w:val="center"/>
          </w:tcPr>
          <w:p>
            <w:r/>
            <w:r>
              <w:rPr>
                <w:b w:val="0"/>
                <w:sz w:val="16"/>
              </w:rPr>
              <w:t>The latest market date and notification key were already handled.</w:t>
            </w:r>
          </w:p>
        </w:tc>
      </w:tr>
      <w:tr>
        <w:tc>
          <w:tcPr>
            <w:tcW w:type="dxa" w:w="4997"/>
            <w:vAlign w:val="center"/>
          </w:tcPr>
          <w:p>
            <w:r/>
            <w:r>
              <w:rPr>
                <w:b/>
                <w:sz w:val="16"/>
              </w:rPr>
              <w:t>DRY_RUN</w:t>
            </w:r>
          </w:p>
        </w:tc>
        <w:tc>
          <w:tcPr>
            <w:tcW w:type="dxa" w:w="4997"/>
            <w:vAlign w:val="center"/>
          </w:tcPr>
          <w:p>
            <w:r/>
            <w:r>
              <w:rPr>
                <w:b w:val="0"/>
                <w:sz w:val="16"/>
              </w:rPr>
              <w:t>All calculations completed; no notification or persistent state mutation.</w:t>
            </w:r>
          </w:p>
        </w:tc>
      </w:tr>
      <w:tr>
        <w:tc>
          <w:tcPr>
            <w:tcW w:type="dxa" w:w="4997"/>
            <w:vAlign w:val="center"/>
          </w:tcPr>
          <w:p>
            <w:r/>
            <w:r>
              <w:rPr>
                <w:b/>
                <w:sz w:val="16"/>
              </w:rPr>
              <w:t>FAILED_DATA_PROVIDER</w:t>
            </w:r>
          </w:p>
        </w:tc>
        <w:tc>
          <w:tcPr>
            <w:tcW w:type="dxa" w:w="4997"/>
            <w:vAlign w:val="center"/>
          </w:tcPr>
          <w:p>
            <w:r/>
            <w:r>
              <w:rPr>
                <w:b w:val="0"/>
                <w:sz w:val="16"/>
              </w:rPr>
              <w:t>External retrieval failed.</w:t>
            </w:r>
          </w:p>
        </w:tc>
      </w:tr>
      <w:tr>
        <w:tc>
          <w:tcPr>
            <w:tcW w:type="dxa" w:w="4997"/>
            <w:vAlign w:val="center"/>
          </w:tcPr>
          <w:p>
            <w:r/>
            <w:r>
              <w:rPr>
                <w:b/>
                <w:sz w:val="16"/>
              </w:rPr>
              <w:t>FAILED_VALIDATION</w:t>
            </w:r>
          </w:p>
        </w:tc>
        <w:tc>
          <w:tcPr>
            <w:tcW w:type="dxa" w:w="4997"/>
            <w:vAlign w:val="center"/>
          </w:tcPr>
          <w:p>
            <w:r/>
            <w:r>
              <w:rPr>
                <w:b w:val="0"/>
                <w:sz w:val="16"/>
              </w:rPr>
              <w:t>Downloaded or stored data did not pass integrity checks.</w:t>
            </w:r>
          </w:p>
        </w:tc>
      </w:tr>
      <w:tr>
        <w:tc>
          <w:tcPr>
            <w:tcW w:type="dxa" w:w="4997"/>
            <w:vAlign w:val="center"/>
          </w:tcPr>
          <w:p>
            <w:r/>
            <w:r>
              <w:rPr>
                <w:b/>
                <w:sz w:val="16"/>
              </w:rPr>
              <w:t>FAILED_NOTIFICATION</w:t>
            </w:r>
          </w:p>
        </w:tc>
        <w:tc>
          <w:tcPr>
            <w:tcW w:type="dxa" w:w="4997"/>
            <w:vAlign w:val="center"/>
          </w:tcPr>
          <w:p>
            <w:r/>
            <w:r>
              <w:rPr>
                <w:b w:val="0"/>
                <w:sz w:val="16"/>
              </w:rPr>
              <w:t>Telegram send failed; notification state is not advanced.</w:t>
            </w:r>
          </w:p>
        </w:tc>
      </w:tr>
      <w:tr>
        <w:tc>
          <w:tcPr>
            <w:tcW w:type="dxa" w:w="4997"/>
            <w:vAlign w:val="center"/>
          </w:tcPr>
          <w:p>
            <w:r/>
            <w:r>
              <w:rPr>
                <w:b/>
                <w:sz w:val="16"/>
              </w:rPr>
              <w:t>FAILED_PERSISTENCE</w:t>
            </w:r>
          </w:p>
        </w:tc>
        <w:tc>
          <w:tcPr>
            <w:tcW w:type="dxa" w:w="4997"/>
            <w:vAlign w:val="center"/>
          </w:tcPr>
          <w:p>
            <w:r/>
            <w:r>
              <w:rPr>
                <w:b w:val="0"/>
                <w:sz w:val="16"/>
              </w:rPr>
              <w:t>Atomic storage or repository update failed.</w:t>
            </w:r>
          </w:p>
        </w:tc>
      </w:tr>
    </w:tbl>
    <w:p>
      <w:pPr>
        <w:pStyle w:val="Heading1"/>
      </w:pPr>
      <w:r>
        <w:t>17. Data Validation Rules</w:t>
      </w:r>
    </w:p>
    <w:p>
      <w:pPr>
        <w:pStyle w:val="ListBullet"/>
      </w:pPr>
      <w:r>
        <w:t>Date values are unique, normalized, and ascending.</w:t>
      </w:r>
    </w:p>
    <w:p>
      <w:pPr>
        <w:pStyle w:val="ListBullet"/>
      </w:pPr>
      <w:r>
        <w:t>Close is non-null and greater than zero; Volume is non-negative.</w:t>
      </w:r>
    </w:p>
    <w:p>
      <w:pPr>
        <w:pStyle w:val="ListBullet"/>
      </w:pPr>
      <w:r>
        <w:t>High ≥ Open, High ≥ Close, Low ≤ Open, Low ≤ Close, and High ≥ Low.</w:t>
      </w:r>
    </w:p>
    <w:p>
      <w:pPr>
        <w:pStyle w:val="ListBullet"/>
      </w:pPr>
      <w:r>
        <w:t>At least 200 valid Close observations exist before strategy evaluation.</w:t>
      </w:r>
    </w:p>
    <w:p>
      <w:pPr>
        <w:pStyle w:val="ListBullet"/>
      </w:pPr>
      <w:r>
        <w:t>A validation failure never overwrites the previously valid CSV.</w:t>
      </w:r>
    </w:p>
    <w:p>
      <w:pPr>
        <w:pStyle w:val="ListBullet"/>
      </w:pPr>
      <w:r>
        <w:t>Market date and processed timestamp are stored separately.</w:t>
      </w:r>
    </w:p>
    <w:p>
      <w:pPr>
        <w:pStyle w:val="ListBullet"/>
      </w:pPr>
      <w:r>
        <w:t>A no-new-data run does not generate a new strategy state transition.</w:t>
      </w:r>
    </w:p>
    <w:p>
      <w:pPr>
        <w:pStyle w:val="Heading1"/>
      </w:pPr>
      <w:r>
        <w:t>18. Testing Strategy</w:t>
      </w:r>
    </w:p>
    <w:p>
      <w:pPr>
        <w:pStyle w:val="Heading2"/>
      </w:pPr>
      <w:r>
        <w:t>18.1 Unit Tests</w:t>
      </w:r>
    </w:p>
    <w:p>
      <w:pPr>
        <w:pStyle w:val="ListBullet"/>
      </w:pPr>
      <w:r>
        <w:t>SMA calculation with known fixture values.</w:t>
      </w:r>
    </w:p>
    <w:p>
      <w:pPr>
        <w:pStyle w:val="ListBullet"/>
      </w:pPr>
      <w:r>
        <w:t>Price above, below, and exactly on each threshold.</w:t>
      </w:r>
    </w:p>
    <w:p>
      <w:pPr>
        <w:pStyle w:val="ListBullet"/>
      </w:pPr>
      <w:r>
        <w:t>Neutral-zone behavior for each previous state.</w:t>
      </w:r>
    </w:p>
    <w:p>
      <w:pPr>
        <w:pStyle w:val="ListBullet"/>
      </w:pPr>
      <w:r>
        <w:t>Initial neutral result remains Unknown.</w:t>
      </w:r>
    </w:p>
    <w:p>
      <w:pPr>
        <w:pStyle w:val="ListBullet"/>
      </w:pPr>
      <w:r>
        <w:t>Incremental merge, overlapping-date replacement, sorting, and deduplication.</w:t>
      </w:r>
    </w:p>
    <w:p>
      <w:pPr>
        <w:pStyle w:val="ListBullet"/>
      </w:pPr>
      <w:r>
        <w:t>Notification deduplication key generation.</w:t>
      </w:r>
    </w:p>
    <w:p>
      <w:pPr>
        <w:pStyle w:val="ListBullet"/>
      </w:pPr>
      <w:r>
        <w:t>Configuration validation and strategy factory selection.</w:t>
      </w:r>
    </w:p>
    <w:p>
      <w:pPr>
        <w:pStyle w:val="Heading2"/>
      </w:pPr>
      <w:r>
        <w:t>18.2 Integration Tests</w:t>
      </w:r>
    </w:p>
    <w:p>
      <w:pPr>
        <w:pStyle w:val="ListBullet"/>
      </w:pPr>
      <w:r>
        <w:t>CSV repository round trip and atomic replacement.</w:t>
      </w:r>
    </w:p>
    <w:p>
      <w:pPr>
        <w:pStyle w:val="ListBullet"/>
      </w:pPr>
      <w:r>
        <w:t>Provider response normalization using recorded fixtures or mocks.</w:t>
      </w:r>
    </w:p>
    <w:p>
      <w:pPr>
        <w:pStyle w:val="ListBullet"/>
      </w:pPr>
      <w:r>
        <w:t>Telegram request formatting without sending to the live API.</w:t>
      </w:r>
    </w:p>
    <w:p>
      <w:pPr>
        <w:pStyle w:val="ListBullet"/>
      </w:pPr>
      <w:r>
        <w:t>CLI exit outcomes and dry-run behavior.</w:t>
      </w:r>
    </w:p>
    <w:p>
      <w:pPr>
        <w:pStyle w:val="Heading2"/>
      </w:pPr>
      <w:r>
        <w:t>18.3 Shadow Validation</w:t>
      </w:r>
    </w:p>
    <w:p>
      <w:r>
        <w:t>Before production signal-only operation, run daily_summary mode for at least two weeks. Compare stored values with an independent charting source and confirm no duplicate or stale-market-date notifications.</w:t>
      </w:r>
    </w:p>
    <w:p>
      <w:pPr>
        <w:pStyle w:val="Heading1"/>
      </w:pPr>
      <w:r>
        <w:t>19. Security and Privacy</w:t>
      </w:r>
    </w:p>
    <w:p>
      <w:pPr>
        <w:pStyle w:val="ListBullet"/>
      </w:pPr>
      <w:r>
        <w:t>Keep the repository private initially.</w:t>
      </w:r>
    </w:p>
    <w:p>
      <w:pPr>
        <w:pStyle w:val="ListBullet"/>
      </w:pPr>
      <w:r>
        <w:t>Store TELEGRAM_BOT_TOKEN and TELEGRAM_CHAT_ID only in GitHub Secrets or local environment variables.</w:t>
      </w:r>
    </w:p>
    <w:p>
      <w:pPr>
        <w:pStyle w:val="ListBullet"/>
      </w:pPr>
      <w:r>
        <w:t>Mask or avoid logging sensitive environment values.</w:t>
      </w:r>
    </w:p>
    <w:p>
      <w:pPr>
        <w:pStyle w:val="ListBullet"/>
      </w:pPr>
      <w:r>
        <w:t>Use minimum workflow permissions.</w:t>
      </w:r>
    </w:p>
    <w:p>
      <w:pPr>
        <w:pStyle w:val="ListBullet"/>
      </w:pPr>
      <w:r>
        <w:t>Pin third-party GitHub Actions by stable major version initially and consider commit SHA pinning for hardening.</w:t>
      </w:r>
    </w:p>
    <w:p>
      <w:pPr>
        <w:pStyle w:val="ListBullet"/>
      </w:pPr>
      <w:r>
        <w:t>Do not execute pull-request code with write permissions or repository secrets.</w:t>
      </w:r>
    </w:p>
    <w:p>
      <w:pPr>
        <w:pStyle w:val="Heading1"/>
      </w:pPr>
      <w:r>
        <w:t>20. Versioning and Evolution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F4E79"/>
          </w:tcPr>
          <w:p>
            <w:r/>
            <w:r>
              <w:rPr>
                <w:b/>
                <w:color w:val="FFFFFF"/>
                <w:sz w:val="17"/>
              </w:rPr>
              <w:t>Version</w:t>
            </w:r>
          </w:p>
        </w:tc>
        <w:tc>
          <w:tcPr>
            <w:tcW w:type="dxa" w:w="4997"/>
            <w:vAlign w:val="center"/>
            <w:shd w:fill="1F4E79"/>
          </w:tcPr>
          <w:p>
            <w:r/>
            <w:r>
              <w:rPr>
                <w:b/>
                <w:color w:val="FFFFFF"/>
                <w:sz w:val="17"/>
              </w:rPr>
              <w:t>Scope</w:t>
            </w:r>
          </w:p>
        </w:tc>
      </w:tr>
      <w:tr>
        <w:tc>
          <w:tcPr>
            <w:tcW w:type="dxa" w:w="4997"/>
            <w:vAlign w:val="center"/>
          </w:tcPr>
          <w:p>
            <w:r/>
            <w:r>
              <w:rPr>
                <w:b/>
                <w:sz w:val="16"/>
              </w:rPr>
              <w:t>v0.1.0</w:t>
            </w:r>
          </w:p>
        </w:tc>
        <w:tc>
          <w:tcPr>
            <w:tcW w:type="dxa" w:w="4997"/>
            <w:vAlign w:val="center"/>
          </w:tcPr>
          <w:p>
            <w:r/>
            <w:r>
              <w:rPr>
                <w:b w:val="0"/>
                <w:sz w:val="16"/>
              </w:rPr>
              <w:t>Project skeleton, typed configuration, incremental data synchronization, validation, and tests.</w:t>
            </w:r>
          </w:p>
        </w:tc>
      </w:tr>
      <w:tr>
        <w:tc>
          <w:tcPr>
            <w:tcW w:type="dxa" w:w="4997"/>
            <w:vAlign w:val="center"/>
          </w:tcPr>
          <w:p>
            <w:r/>
            <w:r>
              <w:rPr>
                <w:b/>
                <w:sz w:val="16"/>
              </w:rPr>
              <w:t>v0.2.0</w:t>
            </w:r>
          </w:p>
        </w:tc>
        <w:tc>
          <w:tcPr>
            <w:tcW w:type="dxa" w:w="4997"/>
            <w:vAlign w:val="center"/>
          </w:tcPr>
          <w:p>
            <w:r/>
            <w:r>
              <w:rPr>
                <w:b w:val="0"/>
                <w:sz w:val="16"/>
              </w:rPr>
              <w:t>SMA200 indicator and threshold calculations.</w:t>
            </w:r>
          </w:p>
        </w:tc>
      </w:tr>
      <w:tr>
        <w:tc>
          <w:tcPr>
            <w:tcW w:type="dxa" w:w="4997"/>
            <w:vAlign w:val="center"/>
          </w:tcPr>
          <w:p>
            <w:r/>
            <w:r>
              <w:rPr>
                <w:b/>
                <w:sz w:val="16"/>
              </w:rPr>
              <w:t>v0.3.0</w:t>
            </w:r>
          </w:p>
        </w:tc>
        <w:tc>
          <w:tcPr>
            <w:tcW w:type="dxa" w:w="4997"/>
            <w:vAlign w:val="center"/>
          </w:tcPr>
          <w:p>
            <w:r/>
            <w:r>
              <w:rPr>
                <w:b w:val="0"/>
                <w:sz w:val="16"/>
              </w:rPr>
              <w:t>State machine, state persistence, and signal history.</w:t>
            </w:r>
          </w:p>
        </w:tc>
      </w:tr>
      <w:tr>
        <w:tc>
          <w:tcPr>
            <w:tcW w:type="dxa" w:w="4997"/>
            <w:vAlign w:val="center"/>
          </w:tcPr>
          <w:p>
            <w:r/>
            <w:r>
              <w:rPr>
                <w:b/>
                <w:sz w:val="16"/>
              </w:rPr>
              <w:t>v0.4.0</w:t>
            </w:r>
          </w:p>
        </w:tc>
        <w:tc>
          <w:tcPr>
            <w:tcW w:type="dxa" w:w="4997"/>
            <w:vAlign w:val="center"/>
          </w:tcPr>
          <w:p>
            <w:r/>
            <w:r>
              <w:rPr>
                <w:b w:val="0"/>
                <w:sz w:val="16"/>
              </w:rPr>
              <w:t>Chart generation.</w:t>
            </w:r>
          </w:p>
        </w:tc>
      </w:tr>
      <w:tr>
        <w:tc>
          <w:tcPr>
            <w:tcW w:type="dxa" w:w="4997"/>
            <w:vAlign w:val="center"/>
          </w:tcPr>
          <w:p>
            <w:r/>
            <w:r>
              <w:rPr>
                <w:b/>
                <w:sz w:val="16"/>
              </w:rPr>
              <w:t>v0.5.0</w:t>
            </w:r>
          </w:p>
        </w:tc>
        <w:tc>
          <w:tcPr>
            <w:tcW w:type="dxa" w:w="4997"/>
            <w:vAlign w:val="center"/>
          </w:tcPr>
          <w:p>
            <w:r/>
            <w:r>
              <w:rPr>
                <w:b w:val="0"/>
                <w:sz w:val="16"/>
              </w:rPr>
              <w:t>Telegram notifications and deduplication.</w:t>
            </w:r>
          </w:p>
        </w:tc>
      </w:tr>
      <w:tr>
        <w:tc>
          <w:tcPr>
            <w:tcW w:type="dxa" w:w="4997"/>
            <w:vAlign w:val="center"/>
          </w:tcPr>
          <w:p>
            <w:r/>
            <w:r>
              <w:rPr>
                <w:b/>
                <w:sz w:val="16"/>
              </w:rPr>
              <w:t>v0.6.0</w:t>
            </w:r>
          </w:p>
        </w:tc>
        <w:tc>
          <w:tcPr>
            <w:tcW w:type="dxa" w:w="4997"/>
            <w:vAlign w:val="center"/>
          </w:tcPr>
          <w:p>
            <w:r/>
            <w:r>
              <w:rPr>
                <w:b w:val="0"/>
                <w:sz w:val="16"/>
              </w:rPr>
              <w:t>GitHub Actions scheduling and automated persistence.</w:t>
            </w:r>
          </w:p>
        </w:tc>
      </w:tr>
      <w:tr>
        <w:tc>
          <w:tcPr>
            <w:tcW w:type="dxa" w:w="4997"/>
            <w:vAlign w:val="center"/>
          </w:tcPr>
          <w:p>
            <w:r/>
            <w:r>
              <w:rPr>
                <w:b/>
                <w:sz w:val="16"/>
              </w:rPr>
              <w:t>v1.0.0</w:t>
            </w:r>
          </w:p>
        </w:tc>
        <w:tc>
          <w:tcPr>
            <w:tcW w:type="dxa" w:w="4997"/>
            <w:vAlign w:val="center"/>
          </w:tcPr>
          <w:p>
            <w:r/>
            <w:r>
              <w:rPr>
                <w:b w:val="0"/>
                <w:sz w:val="16"/>
              </w:rPr>
              <w:t>Production hardening, full-sync reconciliation, shadow validation, and documentation.</w:t>
            </w:r>
          </w:p>
        </w:tc>
      </w:tr>
    </w:tbl>
    <w:p>
      <w:r>
        <w:t>Breaking strategy changes should create a new strategy implementation and version rather than silently modifying historical behavior. Stored records must include strategy version and a configuration hash.</w:t>
      </w:r>
    </w:p>
    <w:p>
      <w:pPr>
        <w:pStyle w:val="Heading1"/>
      </w:pPr>
      <w:r>
        <w:t>21. Key Design Decisions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F4E79"/>
          </w:tcPr>
          <w:p>
            <w:r/>
            <w:r>
              <w:rPr>
                <w:b/>
                <w:color w:val="FFFFFF"/>
                <w:sz w:val="17"/>
              </w:rPr>
              <w:t>Decision</w:t>
            </w:r>
          </w:p>
        </w:tc>
        <w:tc>
          <w:tcPr>
            <w:tcW w:type="dxa" w:w="4997"/>
            <w:vAlign w:val="center"/>
            <w:shd w:fill="1F4E79"/>
          </w:tcPr>
          <w:p>
            <w:r/>
            <w:r>
              <w:rPr>
                <w:b/>
                <w:color w:val="FFFFFF"/>
                <w:sz w:val="17"/>
              </w:rPr>
              <w:t>Rationale</w:t>
            </w:r>
          </w:p>
        </w:tc>
      </w:tr>
      <w:tr>
        <w:tc>
          <w:tcPr>
            <w:tcW w:type="dxa" w:w="4997"/>
            <w:vAlign w:val="center"/>
          </w:tcPr>
          <w:p>
            <w:r/>
            <w:r>
              <w:rPr>
                <w:b/>
                <w:sz w:val="16"/>
              </w:rPr>
              <w:t>Use QQQ as signal and TQQQ as trade reference</w:t>
            </w:r>
          </w:p>
        </w:tc>
        <w:tc>
          <w:tcPr>
            <w:tcW w:type="dxa" w:w="4997"/>
            <w:vAlign w:val="center"/>
          </w:tcPr>
          <w:p>
            <w:r/>
            <w:r>
              <w:rPr>
                <w:b w:val="0"/>
                <w:sz w:val="16"/>
              </w:rPr>
              <w:t>QQQ is less path-dependent and produces a cleaner long-term trend signal.</w:t>
            </w:r>
          </w:p>
        </w:tc>
      </w:tr>
      <w:tr>
        <w:tc>
          <w:tcPr>
            <w:tcW w:type="dxa" w:w="4997"/>
            <w:vAlign w:val="center"/>
          </w:tcPr>
          <w:p>
            <w:r/>
            <w:r>
              <w:rPr>
                <w:b/>
                <w:sz w:val="16"/>
              </w:rPr>
              <w:t>Use adjusted daily prices</w:t>
            </w:r>
          </w:p>
        </w:tc>
        <w:tc>
          <w:tcPr>
            <w:tcW w:type="dxa" w:w="4997"/>
            <w:vAlign w:val="center"/>
          </w:tcPr>
          <w:p>
            <w:r/>
            <w:r>
              <w:rPr>
                <w:b w:val="0"/>
                <w:sz w:val="16"/>
              </w:rPr>
              <w:t>Reduces discontinuities caused by distributions and corporate actions.</w:t>
            </w:r>
          </w:p>
        </w:tc>
      </w:tr>
      <w:tr>
        <w:tc>
          <w:tcPr>
            <w:tcW w:type="dxa" w:w="4997"/>
            <w:vAlign w:val="center"/>
          </w:tcPr>
          <w:p>
            <w:r/>
            <w:r>
              <w:rPr>
                <w:b/>
                <w:sz w:val="16"/>
              </w:rPr>
              <w:t>Persist CSV and JSON in the repository</w:t>
            </w:r>
          </w:p>
        </w:tc>
        <w:tc>
          <w:tcPr>
            <w:tcW w:type="dxa" w:w="4997"/>
            <w:vAlign w:val="center"/>
          </w:tcPr>
          <w:p>
            <w:r/>
            <w:r>
              <w:rPr>
                <w:b w:val="0"/>
                <w:sz w:val="16"/>
              </w:rPr>
              <w:t>Simple, inspectable, versioned, and adequate for a small single-symbol project.</w:t>
            </w:r>
          </w:p>
        </w:tc>
      </w:tr>
      <w:tr>
        <w:tc>
          <w:tcPr>
            <w:tcW w:type="dxa" w:w="4997"/>
            <w:vAlign w:val="center"/>
          </w:tcPr>
          <w:p>
            <w:r/>
            <w:r>
              <w:rPr>
                <w:b/>
                <w:sz w:val="16"/>
              </w:rPr>
              <w:t>Use overlapping incremental fetches</w:t>
            </w:r>
          </w:p>
        </w:tc>
        <w:tc>
          <w:tcPr>
            <w:tcW w:type="dxa" w:w="4997"/>
            <w:vAlign w:val="center"/>
          </w:tcPr>
          <w:p>
            <w:r/>
            <w:r>
              <w:rPr>
                <w:b w:val="0"/>
                <w:sz w:val="16"/>
              </w:rPr>
              <w:t>More reliable than requesting only one day and far cheaper than repeated full-history downloads.</w:t>
            </w:r>
          </w:p>
        </w:tc>
      </w:tr>
      <w:tr>
        <w:tc>
          <w:tcPr>
            <w:tcW w:type="dxa" w:w="4997"/>
            <w:vAlign w:val="center"/>
          </w:tcPr>
          <w:p>
            <w:r/>
            <w:r>
              <w:rPr>
                <w:b/>
                <w:sz w:val="16"/>
              </w:rPr>
              <w:t>Recompute rolling indicators locally</w:t>
            </w:r>
          </w:p>
        </w:tc>
        <w:tc>
          <w:tcPr>
            <w:tcW w:type="dxa" w:w="4997"/>
            <w:vAlign w:val="center"/>
          </w:tcPr>
          <w:p>
            <w:r/>
            <w:r>
              <w:rPr>
                <w:b w:val="0"/>
                <w:sz w:val="16"/>
              </w:rPr>
              <w:t>The retained dataset is tiny; simplicity and correctness outweigh micro-optimization.</w:t>
            </w:r>
          </w:p>
        </w:tc>
      </w:tr>
      <w:tr>
        <w:tc>
          <w:tcPr>
            <w:tcW w:type="dxa" w:w="4997"/>
            <w:vAlign w:val="center"/>
          </w:tcPr>
          <w:p>
            <w:r/>
            <w:r>
              <w:rPr>
                <w:b/>
                <w:sz w:val="16"/>
              </w:rPr>
              <w:t>Use neutral-zone hysteresis</w:t>
            </w:r>
          </w:p>
        </w:tc>
        <w:tc>
          <w:tcPr>
            <w:tcW w:type="dxa" w:w="4997"/>
            <w:vAlign w:val="center"/>
          </w:tcPr>
          <w:p>
            <w:r/>
            <w:r>
              <w:rPr>
                <w:b w:val="0"/>
                <w:sz w:val="16"/>
              </w:rPr>
              <w:t>Avoids rapid state oscillation near the moving average.</w:t>
            </w:r>
          </w:p>
        </w:tc>
      </w:tr>
      <w:tr>
        <w:tc>
          <w:tcPr>
            <w:tcW w:type="dxa" w:w="4997"/>
            <w:vAlign w:val="center"/>
          </w:tcPr>
          <w:p>
            <w:r/>
            <w:r>
              <w:rPr>
                <w:b/>
                <w:sz w:val="16"/>
              </w:rPr>
              <w:t>Send notifications only after close</w:t>
            </w:r>
          </w:p>
        </w:tc>
        <w:tc>
          <w:tcPr>
            <w:tcW w:type="dxa" w:w="4997"/>
            <w:vAlign w:val="center"/>
          </w:tcPr>
          <w:p>
            <w:r/>
            <w:r>
              <w:rPr>
                <w:b w:val="0"/>
                <w:sz w:val="16"/>
              </w:rPr>
              <w:t>The strategy is based on completed daily bars.</w:t>
            </w:r>
          </w:p>
        </w:tc>
      </w:tr>
      <w:tr>
        <w:tc>
          <w:tcPr>
            <w:tcW w:type="dxa" w:w="4997"/>
            <w:vAlign w:val="center"/>
          </w:tcPr>
          <w:p>
            <w:r/>
            <w:r>
              <w:rPr>
                <w:b/>
                <w:sz w:val="16"/>
              </w:rPr>
              <w:t>No automatic trading in v1</w:t>
            </w:r>
          </w:p>
        </w:tc>
        <w:tc>
          <w:tcPr>
            <w:tcW w:type="dxa" w:w="4997"/>
            <w:vAlign w:val="center"/>
          </w:tcPr>
          <w:p>
            <w:r/>
            <w:r>
              <w:rPr>
                <w:b w:val="0"/>
                <w:sz w:val="16"/>
              </w:rPr>
              <w:t>Limits operational and financial risk while validating the signal system.</w:t>
            </w:r>
          </w:p>
        </w:tc>
      </w:tr>
    </w:tbl>
    <w:p>
      <w:pPr>
        <w:pStyle w:val="Heading1"/>
      </w:pPr>
      <w:r>
        <w:t>22. Open Questions for Later Releases</w:t>
      </w:r>
    </w:p>
    <w:p>
      <w:pPr>
        <w:pStyle w:val="ListBullet"/>
      </w:pPr>
      <w:r>
        <w:t>Should multiple signal symbols share one workflow or use a matrix strategy?</w:t>
      </w:r>
    </w:p>
    <w:p>
      <w:pPr>
        <w:pStyle w:val="ListBullet"/>
      </w:pPr>
      <w:r>
        <w:t>Should persistence move from committed CSV/JSON files to SQLite or object storage?</w:t>
      </w:r>
    </w:p>
    <w:p>
      <w:pPr>
        <w:pStyle w:val="ListBullet"/>
      </w:pPr>
      <w:r>
        <w:t>Should market-calendar validation use a dedicated exchange-calendar library?</w:t>
      </w:r>
    </w:p>
    <w:p>
      <w:pPr>
        <w:pStyle w:val="ListBullet"/>
      </w:pPr>
      <w:r>
        <w:t>Should data-source reconciliation compare Yahoo data with a secondary provider?</w:t>
      </w:r>
    </w:p>
    <w:p>
      <w:pPr>
        <w:pStyle w:val="ListBullet"/>
      </w:pPr>
      <w:r>
        <w:t>Should future strategies combine SMA200 with volume, volatility, or multi-timeframe confirmation?</w:t>
      </w:r>
    </w:p>
    <w:p>
      <w:pPr>
        <w:pStyle w:val="ListBullet"/>
      </w:pPr>
      <w:r>
        <w:t>Should notifications include position-sizing guidance, or remain state-only?</w:t>
      </w:r>
    </w:p>
    <w:p>
      <w:pPr>
        <w:pStyle w:val="Heading1"/>
      </w:pPr>
      <w:r>
        <w:t>23. v1 Acceptance Criteria</w:t>
      </w:r>
    </w:p>
    <w:p>
      <w:pPr>
        <w:pStyle w:val="ListNumber"/>
      </w:pPr>
      <w:r>
        <w:t>First local execution creates a valid QQQ dataset with at least 200 observations.</w:t>
      </w:r>
    </w:p>
    <w:p>
      <w:pPr>
        <w:pStyle w:val="ListNumber"/>
      </w:pPr>
      <w:r>
        <w:t>Second execution performs an overlapping incremental sync without duplicate dates.</w:t>
      </w:r>
    </w:p>
    <w:p>
      <w:pPr>
        <w:pStyle w:val="ListNumber"/>
      </w:pPr>
      <w:r>
        <w:t>Known fixture data produces expected SMA200 and state results.</w:t>
      </w:r>
    </w:p>
    <w:p>
      <w:pPr>
        <w:pStyle w:val="ListNumber"/>
      </w:pPr>
      <w:r>
        <w:t>Neutral-zone behavior matches the previous state and initial Unknown rule.</w:t>
      </w:r>
    </w:p>
    <w:p>
      <w:pPr>
        <w:pStyle w:val="ListNumber"/>
      </w:pPr>
      <w:r>
        <w:t>Chart values match the stored signal record.</w:t>
      </w:r>
    </w:p>
    <w:p>
      <w:pPr>
        <w:pStyle w:val="ListNumber"/>
      </w:pPr>
      <w:r>
        <w:t>Duplicate runs for the same market date do not send duplicate Telegram messages.</w:t>
      </w:r>
    </w:p>
    <w:p>
      <w:pPr>
        <w:pStyle w:val="ListNumber"/>
      </w:pPr>
      <w:r>
        <w:t>Holiday/no-data execution exits successfully without altering strategy state.</w:t>
      </w:r>
    </w:p>
    <w:p>
      <w:pPr>
        <w:pStyle w:val="ListNumber"/>
      </w:pPr>
      <w:r>
        <w:t>A failed Telegram request does not mark the notification as delivered.</w:t>
      </w:r>
    </w:p>
    <w:p>
      <w:pPr>
        <w:pStyle w:val="ListNumber"/>
      </w:pPr>
      <w:r>
        <w:t>GitHub Actions can run manually and on schedule with secrets protected.</w:t>
      </w:r>
    </w:p>
    <w:p>
      <w:pPr>
        <w:pStyle w:val="ListNumber"/>
      </w:pPr>
      <w:r>
        <w:t>Two weeks of shadow-mode results show correct data dates and no unexplained discrepancies.</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Stock MA Tracker — System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icrosoft YaHei"/>
      <w:b w:val="0"/>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59" w:right="259"/>
      <w:shd w:fill="F3F6F8"/>
    </w:pPr>
    <w:rPr>
      <w:rFonts w:ascii="Consolas" w:hAnsi="Consolas"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MA Tracker System Design Document</dc:title>
  <dc:subject>QQQ SMA200 signal engine and Telegram notification architecture</dc:subject>
  <dc:creator>Alex Qi</dc:creator>
  <cp:keywords>stock tracker, SMA200, QQQ, TQQQ, GitHub Actions, Telegram</cp:keywords>
  <dc:description>generated by python-docx</dc:description>
  <cp:lastModifiedBy/>
  <cp:revision>1</cp:revision>
  <dcterms:created xsi:type="dcterms:W3CDTF">2013-12-23T23:15:00Z</dcterms:created>
  <dcterms:modified xsi:type="dcterms:W3CDTF">2013-12-23T23:15:00Z</dcterms:modified>
  <cp:category/>
</cp:coreProperties>
</file>