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SC" w:hAnsi="Noto Sans CJK SC" w:eastAsia="Noto Sans CJK SC"/>
          <w:b/>
          <w:color w:val="183153"/>
          <w:sz w:val="64"/>
        </w:rPr>
        <w:t>Finance Statement Hub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D8C"/>
          <w:sz w:val="42"/>
        </w:rPr>
        <w:t>系统设计文档 v1.0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5B6573"/>
          <w:sz w:val="26"/>
        </w:rPr>
        <w:t>自动收集、解析、去重、对账并生成个人月度财务报告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DEB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F5D8C"/>
                <w:sz w:val="20"/>
              </w:rPr>
              <w:t>文档状态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Proposed / 可实施设计</w:t>
            </w:r>
          </w:p>
        </w:tc>
      </w:tr>
      <w:tr>
        <w:tc>
          <w:tcPr>
            <w:tcW w:type="dxa" w:w="5040"/>
            <w:shd w:fill="DDEB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F5D8C"/>
                <w:sz w:val="20"/>
              </w:rPr>
              <w:t>主要用户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个人及家庭财务管理</w:t>
            </w:r>
          </w:p>
        </w:tc>
      </w:tr>
      <w:tr>
        <w:tc>
          <w:tcPr>
            <w:tcW w:type="dxa" w:w="5040"/>
            <w:shd w:fill="DDEB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F5D8C"/>
                <w:sz w:val="20"/>
              </w:rPr>
              <w:t>首选实现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Python 模块化单体</w:t>
            </w:r>
          </w:p>
        </w:tc>
      </w:tr>
      <w:tr>
        <w:tc>
          <w:tcPr>
            <w:tcW w:type="dxa" w:w="5040"/>
            <w:shd w:fill="DDEB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F5D8C"/>
                <w:sz w:val="20"/>
              </w:rPr>
              <w:t>目标平台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macOS / Web / iOS / Android</w:t>
            </w:r>
          </w:p>
        </w:tc>
      </w:tr>
      <w:tr>
        <w:tc>
          <w:tcPr>
            <w:tcW w:type="dxa" w:w="5040"/>
            <w:shd w:fill="DDEB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F5D8C"/>
                <w:sz w:val="20"/>
              </w:rPr>
              <w:t>更新时间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2026年7月</w:t>
            </w:r>
          </w:p>
        </w:tc>
      </w:tr>
    </w:tbl>
    <w:p>
      <w:pPr>
        <w:spacing w:before="1300"/>
      </w:pPr>
    </w:p>
    <w:p>
      <w:pPr>
        <w:jc w:val="center"/>
      </w:pPr>
      <w:r>
        <w:rPr>
          <w:rFonts w:ascii="Noto Sans CJK SC" w:hAnsi="Noto Sans CJK SC" w:eastAsia="Noto Sans CJK SC"/>
          <w:b/>
          <w:color w:val="2B7A78"/>
          <w:sz w:val="22"/>
        </w:rPr>
        <w:t>设计目标：先正确地处理一个完整月份，再逐步扩展到多来源、多设备和多平台。</w:t>
      </w:r>
    </w:p>
    <w:p>
      <w:r>
        <w:br w:type="page"/>
      </w:r>
    </w:p>
    <w:p>
      <w:pPr>
        <w:pStyle w:val="Heading1"/>
        <w:keepNext/>
      </w:pPr>
      <w:r>
        <w:t>文档摘要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本设计将银行账单、信用卡账单、房贷、Utility、投资账户、工资与租金收入等文档集中处理，形成可追溯的标准化 Ledger，并输出 Excel、PDF 和 Dashboard。设计同时包含多层去重、内部转账识别、账单与付款关联、房贷本金/利息拆分、投资收益计算、人工复核和缺失 Statement 检查。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推荐结论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第一阶段采用 Python 模块化单体，优先完成 PDF/OCR/Parser/Excel 闭环；从第一天保留 API Contract、领域模型、数据库迁移和 Worker 边界。未来可增加 FastAPI、Web 与 Flutter 移动端；若产品规模、团队或合规要求提升，再将 Auth、Ledger、API 等稳定核心迁移到 C# ASP.NET Core 或 Java Spring Boot，Python 保留为文档处理 Worker。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目录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1. 背景与目标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2. 范围与需求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3. 设计原则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4. 总体架构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5. 功能设计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6. 多层去重与对账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7. 数据模型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8. 文档处理与 Parser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9. 报告与用户体验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10. 技术选型及优缺点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11. 安全、隐私与可靠性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12. API 与多平台设计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13. 扩展与迁移计划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14. 测试策略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15. 部署与运维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16. 风险与缓解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17. 实施路线图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18. 关键决策与下一步</w:t>
      </w:r>
    </w:p>
    <w:p>
      <w:r>
        <w:br w:type="page"/>
      </w:r>
    </w:p>
    <w:p>
      <w:pPr>
        <w:pStyle w:val="Heading1"/>
        <w:keepNext/>
      </w:pPr>
      <w:r>
        <w:t>1. 背景与目标</w:t>
      </w:r>
    </w:p>
    <w:p>
      <w:pPr>
        <w:pStyle w:val="Heading2"/>
        <w:keepNext/>
      </w:pPr>
      <w:r>
        <w:t>1.1 问题背景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个人财务数据分散在银行、信用卡、房贷服务商、Utility Provider、Brokerage、工资单、房产管理报表及邮件附件中。每月人工下载、复制和汇总不仅耗时，而且容易重复计算信用卡还款、内部转账、账单与付款，最终难以回答以下问题：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本月真实收入、支出和净现金流是多少？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支出增长由哪些类别、商户或房产驱动？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房贷还款中有多少是本金、利息、Escrow 和费用？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投资账户的资金流入、股息、已实现与未实现收益分别是多少？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净资产和负债如何变化？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哪些账单缺失、无法解析或需要人工确认？</w:t>
      </w:r>
    </w:p>
    <w:p>
      <w:pPr>
        <w:pStyle w:val="Heading2"/>
        <w:keepNext/>
      </w:pPr>
      <w:r>
        <w:t>1.2 产品目标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在固定日期自动收集指定来源中的 Statement。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自动识别文档类型、机构、账户及账期，并提取结构化数据。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建立统一、可追溯且可对账的账户、交易和 Ledger 数据模型。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避免重复文件、重复交易以及同一经济活动被多次统计。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生成完整 Excel、阅读型 PDF、Dashboard 和异常清单。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支持人工复核并记住用户对商户、类别和重复记录的决策。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从本地 CLI 平滑扩展到 Web、iOS、Android 与私有/云端部署。</w:t>
      </w:r>
    </w:p>
    <w:p>
      <w:pPr>
        <w:pStyle w:val="Heading2"/>
        <w:keepNext/>
      </w:pPr>
      <w:r>
        <w:t>1.3 非目标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MVP 不自动登录银行网站抓取账户密码或绕过 MFA。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MVP 不追求实时交易同步；以 Statement 月度关闭为主。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MVP 不做税务申报、审计意见或投资建议。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MVP 不支持所有金融机构，先支持用户最常用的 5–10 类文件。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AI 不负责最终金额计算，不允许未经验证直接改写 Ledger。</w:t>
      </w:r>
    </w:p>
    <w:p>
      <w:pPr>
        <w:pStyle w:val="Heading1"/>
        <w:keepNext/>
      </w:pPr>
      <w:r>
        <w:t>2. 范围与需求</w:t>
      </w:r>
    </w:p>
    <w:p>
      <w:pPr>
        <w:pStyle w:val="Heading2"/>
        <w:keepNext/>
      </w:pPr>
      <w:r>
        <w:t>2.1 输入来源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16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</w:t>
            </w:r>
          </w:p>
        </w:tc>
        <w:tc>
          <w:tcPr>
            <w:tcW w:type="dxa" w:w="1872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未来扩展</w:t>
            </w:r>
          </w:p>
        </w:tc>
        <w:tc>
          <w:tcPr>
            <w:tcW w:type="dxa" w:w="432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本地文件夹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支持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持续支持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最简单、最安全的起点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Google Drive</w:t>
            </w:r>
          </w:p>
        </w:tc>
        <w:tc>
          <w:tcPr>
            <w:tcW w:type="dxa" w:w="14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可选 Phase 2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支持</w:t>
            </w:r>
          </w:p>
        </w:tc>
        <w:tc>
          <w:tcPr>
            <w:tcW w:type="dxa" w:w="43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按指定文件夹和时间范围同步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Dropbox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支持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使用 Adapter，不污染核心逻辑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Gmail Attachment</w:t>
            </w:r>
          </w:p>
        </w:tc>
        <w:tc>
          <w:tcPr>
            <w:tcW w:type="dxa" w:w="14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支持</w:t>
            </w:r>
          </w:p>
        </w:tc>
        <w:tc>
          <w:tcPr>
            <w:tcW w:type="dxa" w:w="43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只读取允许的发件人/标签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iOS/Android 上传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支持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拍照、扫描、文件选择、后台上传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银行 Open Banking API</w:t>
            </w:r>
          </w:p>
        </w:tc>
        <w:tc>
          <w:tcPr>
            <w:tcW w:type="dxa" w:w="14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可评估</w:t>
            </w:r>
          </w:p>
        </w:tc>
        <w:tc>
          <w:tcPr>
            <w:tcW w:type="dxa" w:w="43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与 Statement 互补，不能替代审计文件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支持的文档类型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446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核心处理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Bank Statement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期初/期末余额、交易、利息、费用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账户对账、转账匹配</w:t>
            </w:r>
          </w:p>
        </w:tc>
      </w:tr>
      <w:tr>
        <w:tc>
          <w:tcPr>
            <w:tcW w:type="dxa" w:w="20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Credit Card</w:t>
            </w:r>
          </w:p>
        </w:tc>
        <w:tc>
          <w:tcPr>
            <w:tcW w:type="dxa" w:w="345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账期、消费、退款、付款、应付额</w:t>
            </w:r>
          </w:p>
        </w:tc>
        <w:tc>
          <w:tcPr>
            <w:tcW w:type="dxa" w:w="44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消费分类、还款排除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Mortgage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本金、利息、Escrow、费用、余额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拆分现金流与负债变化</w:t>
            </w:r>
          </w:p>
        </w:tc>
      </w:tr>
      <w:tr>
        <w:tc>
          <w:tcPr>
            <w:tcW w:type="dxa" w:w="20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Utility</w:t>
            </w:r>
          </w:p>
        </w:tc>
        <w:tc>
          <w:tcPr>
            <w:tcW w:type="dxa" w:w="345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Billing Period、Usage、Amount、Due Date</w:t>
            </w:r>
          </w:p>
        </w:tc>
        <w:tc>
          <w:tcPr>
            <w:tcW w:type="dxa" w:w="44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用量与费用趋势、付款关联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Investment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持仓、交易、股息、费用、账户价值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资金流与投资收益分离</w:t>
            </w:r>
          </w:p>
        </w:tc>
      </w:tr>
      <w:tr>
        <w:tc>
          <w:tcPr>
            <w:tcW w:type="dxa" w:w="20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Pay Stub / Income</w:t>
            </w:r>
          </w:p>
        </w:tc>
        <w:tc>
          <w:tcPr>
            <w:tcW w:type="dxa" w:w="345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Gross、Tax、Deduction、Net</w:t>
            </w:r>
          </w:p>
        </w:tc>
        <w:tc>
          <w:tcPr>
            <w:tcW w:type="dxa" w:w="44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收入、税费、福利拆分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Rental / Property Report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租金、管理费、维修、Owner Distribution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房产级 P&amp;L 与现金流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输出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Excel：完整明细、可筛选、可审计，是主要数据报告。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PDF：6–10 页管理摘要，适合阅读与存档。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Web/Mobile Dashboard：快速查看收入、支出、净资产和待复核项。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JSON/CSV：用于备份、迁移、调试及第三方集成。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Missing Statements / Review Queue：明确显示报告是否完整。</w:t>
      </w:r>
    </w:p>
    <w:p>
      <w:pPr>
        <w:pStyle w:val="Heading1"/>
        <w:keepNext/>
      </w:pPr>
      <w:r>
        <w:t>3.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92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确定性计算</w:t>
            </w:r>
          </w:p>
        </w:tc>
        <w:tc>
          <w:tcPr>
            <w:tcW w:type="dxa" w:w="79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金额、余额、汇总、对账由代码和数据库完成，不由 LLM 直接决定。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原始文件只读</w:t>
            </w:r>
          </w:p>
        </w:tc>
        <w:tc>
          <w:tcPr>
            <w:tcW w:type="dxa" w:w="79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任何 OCR、解析和清理都生成衍生文件，原件永不覆盖。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全链路可追溯</w:t>
            </w:r>
          </w:p>
        </w:tc>
        <w:tc>
          <w:tcPr>
            <w:tcW w:type="dxa" w:w="79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每笔数据保留 document_id、页码、来源行、Parser 版本及处理记录。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幂等</w:t>
            </w:r>
          </w:p>
        </w:tc>
        <w:tc>
          <w:tcPr>
            <w:tcW w:type="dxa" w:w="79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相同文件或相同批次重复运行，最终数据库和报告结果不变。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模块化单体优先</w:t>
            </w:r>
          </w:p>
        </w:tc>
        <w:tc>
          <w:tcPr>
            <w:tcW w:type="dxa" w:w="79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先避免分布式复杂度，同时通过接口和模块边界为未来拆分做准备。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Local-first 与隐私优先</w:t>
            </w:r>
          </w:p>
        </w:tc>
        <w:tc>
          <w:tcPr>
            <w:tcW w:type="dxa" w:w="79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默认本地处理；外部 AI、云存储和远程访问均显式启用。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人工复核是产品能力</w:t>
            </w:r>
          </w:p>
        </w:tc>
        <w:tc>
          <w:tcPr>
            <w:tcW w:type="dxa" w:w="79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低置信度、疑似重复和对账差异进入 Review Queue，而不是静默猜测。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平台无关核心</w:t>
            </w:r>
          </w:p>
        </w:tc>
        <w:tc>
          <w:tcPr>
            <w:tcW w:type="dxa" w:w="79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Domain、Ledger、Deduplication、Reconciliation 不依赖 CLI、Web 或移动端。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总体架构</w:t>
      </w:r>
    </w:p>
    <w:p>
      <w:r>
        <w:drawing>
          <wp:inline xmlns:a="http://schemas.openxmlformats.org/drawingml/2006/main" xmlns:pic="http://schemas.openxmlformats.org/drawingml/2006/picture">
            <wp:extent cx="6537960" cy="4285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85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1：推荐架构。当前以模块化单体运行，未来通过稳定 API 和 Worker 边界扩展。</w:t>
      </w:r>
    </w:p>
    <w:p>
      <w:pPr>
        <w:pStyle w:val="Heading2"/>
        <w:keepNext/>
      </w:pPr>
      <w:r>
        <w:t>4.1 主要模块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608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816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不应承担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Ingestion</w:t>
            </w:r>
          </w:p>
        </w:tc>
        <w:tc>
          <w:tcPr>
            <w:tcW w:type="dxa" w:w="46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发现、下载、Hash、来源登记、幂等导入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财务分类与金额汇总</w:t>
            </w:r>
          </w:p>
        </w:tc>
      </w:tr>
      <w:tr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Document Processing</w:t>
            </w:r>
          </w:p>
        </w:tc>
        <w:tc>
          <w:tcPr>
            <w:tcW w:type="dxa" w:w="46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文本提取、OCR、版面与表格识别</w:t>
            </w:r>
          </w:p>
        </w:tc>
        <w:tc>
          <w:tcPr>
            <w:tcW w:type="dxa" w:w="38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直接写入最终 Ledger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Classifier</w:t>
            </w:r>
          </w:p>
        </w:tc>
        <w:tc>
          <w:tcPr>
            <w:tcW w:type="dxa" w:w="46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识别机构、文档类型、账户和账期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无置信度地自动接受所有结果</w:t>
            </w:r>
          </w:p>
        </w:tc>
      </w:tr>
      <w:tr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Parser Plugins</w:t>
            </w:r>
          </w:p>
        </w:tc>
        <w:tc>
          <w:tcPr>
            <w:tcW w:type="dxa" w:w="46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将特定 Statement 转为 ParsedStatement</w:t>
            </w:r>
          </w:p>
        </w:tc>
        <w:tc>
          <w:tcPr>
            <w:tcW w:type="dxa" w:w="38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跨账户去重和最终对账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Normalization</w:t>
            </w:r>
          </w:p>
        </w:tc>
        <w:tc>
          <w:tcPr>
            <w:tcW w:type="dxa" w:w="46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统一日期、金额、商户、类别和账户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生成展示报告</w:t>
            </w:r>
          </w:p>
        </w:tc>
      </w:tr>
      <w:tr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Deduplication</w:t>
            </w:r>
          </w:p>
        </w:tc>
        <w:tc>
          <w:tcPr>
            <w:tcW w:type="dxa" w:w="46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识别文件、Statement 和业务交易重复</w:t>
            </w:r>
          </w:p>
        </w:tc>
        <w:tc>
          <w:tcPr>
            <w:tcW w:type="dxa" w:w="38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把内部转账误删为重复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Ledger</w:t>
            </w:r>
          </w:p>
        </w:tc>
        <w:tc>
          <w:tcPr>
            <w:tcW w:type="dxa" w:w="46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表达收入、支出、资产、负债和内部转账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依赖 PDF 版面细节</w:t>
            </w:r>
          </w:p>
        </w:tc>
      </w:tr>
      <w:tr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Reconciliation</w:t>
            </w:r>
          </w:p>
        </w:tc>
        <w:tc>
          <w:tcPr>
            <w:tcW w:type="dxa" w:w="46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余额对账、Statement 完整性、异常检查</w:t>
            </w:r>
          </w:p>
        </w:tc>
        <w:tc>
          <w:tcPr>
            <w:tcW w:type="dxa" w:w="38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重新解析原始 PDF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Reporting</w:t>
            </w:r>
          </w:p>
        </w:tc>
        <w:tc>
          <w:tcPr>
            <w:tcW w:type="dxa" w:w="46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Excel、PDF、Dashboard 与摘要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重新实现财务规则</w:t>
            </w:r>
          </w:p>
        </w:tc>
      </w:tr>
      <w:tr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Review</w:t>
            </w:r>
          </w:p>
        </w:tc>
        <w:tc>
          <w:tcPr>
            <w:tcW w:type="dxa" w:w="46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让用户确认异常并持久化决策</w:t>
            </w:r>
          </w:p>
        </w:tc>
        <w:tc>
          <w:tcPr>
            <w:tcW w:type="dxa" w:w="38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绕过审计历史直接修改原始记录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处理状态机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7313D"/>
                <w:sz w:val="17"/>
              </w:rPr>
              <w:t>discovered → registered → extracting → classified → parsed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      → normalized → deduplicated → reconciled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      → needs_review / draft_ready → finalized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失败状态：failed（保留 error_code、可重试阶段和诊断信息）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功能设计</w:t>
      </w:r>
    </w:p>
    <w:p>
      <w:pPr>
        <w:pStyle w:val="Heading2"/>
        <w:keepNext/>
      </w:pPr>
      <w:r>
        <w:t>5.1 月度自动关闭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在配置的 close_day 处理上一个自然月或指定账期。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同步来源并登记新文件；检查预期 Statement 是否齐全。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执行文本提取、OCR、分类和专用 Parser。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标准化交易、识别重复和内部转账，生成 Ledger。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执行账户余额、信用卡、房贷、Utility 和投资对账。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产生 Review Queue；若存在重大差异则报告标记为 INCOMPLETE。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用户确认后生成 Final Excel/PDF，并保存报告快照。</w:t>
      </w:r>
    </w:p>
    <w:p>
      <w:pPr>
        <w:pStyle w:val="Heading2"/>
        <w:keepNext/>
      </w:pPr>
      <w:r>
        <w:t>5.2 文件与 Statement 管理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原始文件保存 SHA-256、来源、原始路径、大小、获取时间和加密状态。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Statement 保存机构、账户、账期、期初/期末余额、Parser 版本和置信度。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同一账期的修正版 Statement 作为新版本关联，不覆盖历史。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支持 explain 命令或 UI：查看任一数字来自哪个文件、哪一页和哪条规则。</w:t>
      </w:r>
    </w:p>
    <w:p>
      <w:pPr>
        <w:pStyle w:val="Heading2"/>
        <w:keepNext/>
      </w:pPr>
      <w:r>
        <w:t>5.3 分类与商户规则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规则优先级：用户规则 &gt; 机构专用规则 &gt; 通用规则 &gt; AI 建议 &gt; 人工复核。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商户标准化保留 raw description 与 normalized merchant。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用户确认一次后，可以生成可版本化的 Merchant Rule。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分类规则必须记录 rule_id 和 rule_version，便于重算和审计。</w:t>
      </w:r>
    </w:p>
    <w:p>
      <w:pPr>
        <w:pStyle w:val="Heading2"/>
        <w:keepNext/>
      </w:pPr>
      <w:r>
        <w:t>5.4 月度报告内容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Sheet / Page</w:t>
            </w:r>
          </w:p>
        </w:tc>
        <w:tc>
          <w:tcPr>
            <w:tcW w:type="dxa" w:w="806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Dashboard</w:t>
            </w:r>
          </w:p>
        </w:tc>
        <w:tc>
          <w:tcPr>
            <w:tcW w:type="dxa" w:w="80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收入、支出、净现金流、净资产、债务、投资回报、待复核项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Income</w:t>
            </w:r>
          </w:p>
        </w:tc>
        <w:tc>
          <w:tcPr>
            <w:tcW w:type="dxa" w:w="80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工资、租金、利息、股息及其他收入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Expenses</w:t>
            </w:r>
          </w:p>
        </w:tc>
        <w:tc>
          <w:tcPr>
            <w:tcW w:type="dxa" w:w="80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类别、商户、房产、上月比较与 YTD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Cash Flow</w:t>
            </w:r>
          </w:p>
        </w:tc>
        <w:tc>
          <w:tcPr>
            <w:tcW w:type="dxa" w:w="80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经营流入/流出、投资投入、负债本金、现金变化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Accounts</w:t>
            </w:r>
          </w:p>
        </w:tc>
        <w:tc>
          <w:tcPr>
            <w:tcW w:type="dxa" w:w="80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期初余额、期末余额、变化和 Statement 状态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Debt</w:t>
            </w:r>
          </w:p>
        </w:tc>
        <w:tc>
          <w:tcPr>
            <w:tcW w:type="dxa" w:w="80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本金、利息、Escrow、费用、利率与余额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Investments</w:t>
            </w:r>
          </w:p>
        </w:tc>
        <w:tc>
          <w:tcPr>
            <w:tcW w:type="dxa" w:w="80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期初/期末价值、净投入、股息、费用和收益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Utilities</w:t>
            </w:r>
          </w:p>
        </w:tc>
        <w:tc>
          <w:tcPr>
            <w:tcW w:type="dxa" w:w="80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账期、用量、费用、环比和付款状态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Transactions</w:t>
            </w:r>
          </w:p>
        </w:tc>
        <w:tc>
          <w:tcPr>
            <w:tcW w:type="dxa" w:w="80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全部标准化交易与来源信息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Reconciliation</w:t>
            </w:r>
          </w:p>
        </w:tc>
        <w:tc>
          <w:tcPr>
            <w:tcW w:type="dxa" w:w="80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账面余额、计算余额、差异和状态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Review Items</w:t>
            </w:r>
          </w:p>
        </w:tc>
        <w:tc>
          <w:tcPr>
            <w:tcW w:type="dxa" w:w="80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低置信度、疑似重复、缺失字段和差异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多层去重与对账</w:t>
      </w:r>
    </w:p>
    <w:p>
      <w:r>
        <w:drawing>
          <wp:inline xmlns:a="http://schemas.openxmlformats.org/drawingml/2006/main" xmlns:pic="http://schemas.openxmlformats.org/drawingml/2006/picture">
            <wp:extent cx="6537960" cy="3922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d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92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2：防重不仅是删除相同行，而是区分“重复记录”和“同一经济活动的两个视角”。</w:t>
      </w:r>
    </w:p>
    <w:p>
      <w:pPr>
        <w:pStyle w:val="Heading2"/>
        <w:keepNext/>
      </w:pPr>
      <w:r>
        <w:t>6.1 文件级去重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导入时计算 SHA-256。完全相同内容只登记一次；其他来源出现的副本保留 duplicate_of_document_id，以便审计。文件名、路径和修改时间不能作为唯一依据。</w:t>
      </w:r>
    </w:p>
    <w:p>
      <w:pPr>
        <w:pStyle w:val="Heading2"/>
        <w:keepNext/>
      </w:pPr>
      <w:r>
        <w:t>6.2 Statement 级去重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7313D"/>
                <w:sz w:val="17"/>
              </w:rPr>
              <w:t>statement_identity = hash(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institution,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account_id,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statement_type,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period_start,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period_end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)</w:t>
            </w:r>
          </w:p>
        </w:tc>
      </w:tr>
    </w:tbl>
    <w:p>
      <w:pPr>
        <w:spacing w:after="20"/>
      </w:pP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同一账期的重新下载、邮件附件和云盘副本将关联到同一个 Statement。若余额或内容不同，则作为 revision，而不是静默覆盖。</w:t>
      </w:r>
    </w:p>
    <w:p>
      <w:pPr>
        <w:pStyle w:val="Heading2"/>
        <w:keepNext/>
      </w:pPr>
      <w:r>
        <w:t>6.3 交易级去重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来源行唯一键用于保证 Parser 重跑幂等；业务指纹用于跨 Statement 或 CSV/PDF 检测疑似重复。业务指纹不能简单设置为唯一，因为同一天同商户同金额可能是真实的两次消费。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4608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58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建议权重</w:t>
            </w:r>
          </w:p>
        </w:tc>
        <w:tc>
          <w:tcPr>
            <w:tcW w:type="dxa" w:w="4176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External Transaction / Reference ID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100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最强证据，可自动匹配</w:t>
            </w:r>
          </w:p>
        </w:tc>
      </w:tr>
      <w:tr>
        <w:tc>
          <w:tcPr>
            <w:tcW w:type="dxa" w:w="46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同账户 + 同金额 + 同 Posted Date</w:t>
            </w:r>
          </w:p>
        </w:tc>
        <w:tc>
          <w:tcPr>
            <w:tcW w:type="dxa" w:w="158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70</w:t>
            </w:r>
          </w:p>
        </w:tc>
        <w:tc>
          <w:tcPr>
            <w:tcW w:type="dxa" w:w="41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需要结合描述或序号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商户描述高度相似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20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用于补充，不能单独删除</w:t>
            </w:r>
          </w:p>
        </w:tc>
      </w:tr>
      <w:tr>
        <w:tc>
          <w:tcPr>
            <w:tcW w:type="dxa" w:w="46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日期在 ±3 天内</w:t>
            </w:r>
          </w:p>
        </w:tc>
        <w:tc>
          <w:tcPr>
            <w:tcW w:type="dxa" w:w="158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41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适用于 Pending/Posted 或跨机构付款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来源页码/行号相同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来源唯一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保证同一 Parser 结果不重复写入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内部转账与两端记录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Checking 中的信用卡付款和 Credit Card 中的 Payment Received 是同一资金移动的两端。系统保留两条账户记录，以 transfer_group_id 关联，并在收入/支出中排除。</w:t>
      </w:r>
    </w:p>
    <w:p>
      <w:pPr>
        <w:pStyle w:val="Heading2"/>
        <w:keepNext/>
      </w:pPr>
      <w:r>
        <w:t>6.5 Invoice 与 Payment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Utility、房贷或保险 Statement 表示费用义务和明细；银行付款表示现金结算。系统通过 obligation_id / settlement_id 关联，只在相应会计口径下统计一次。</w:t>
      </w:r>
    </w:p>
    <w:p>
      <w:pPr>
        <w:pStyle w:val="Heading2"/>
        <w:keepNext/>
      </w:pPr>
      <w:r>
        <w:t>6.6 房贷与投资特殊规则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房贷本金减少负债，不作为消费；利息、税费、保险和费用才进入支出。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Brokerage 转入不是收入，卖出总额不是收益；必须区分贡献、提款、股息、费用、已实现与未实现收益。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报表始终从已对账 Ledger 汇总，禁止直接对 Raw Transactions 求和。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CEC"/>
            <w:tcBorders>
              <w:top w:val="single" w:sz="10" w:color="B42318"/>
              <w:left w:val="single" w:sz="10" w:color="B42318"/>
              <w:bottom w:val="single" w:sz="10" w:color="B42318"/>
              <w:right w:val="single" w:sz="10" w:color="B4231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42318"/>
                <w:sz w:val="21"/>
              </w:rPr>
              <w:t>必须避免的错误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把信用卡付款再算一次消费、把 Checking→Brokerage 算成收入、把 Mortgage Principal 算成住房支出、把 Utility Invoice 和 Bank Payment 同时求和，都会造成严重高估。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数据模型</w:t>
      </w:r>
    </w:p>
    <w:p>
      <w:pPr>
        <w:pStyle w:val="Heading2"/>
        <w:keepNext/>
      </w:pPr>
      <w:r>
        <w:t>7.1 核心实体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3528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446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Document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id, sha256, source, path, status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原始文件登记与审计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DocumentRevision</w:t>
            </w:r>
          </w:p>
        </w:tc>
        <w:tc>
          <w:tcPr>
            <w:tcW w:type="dxa" w:w="352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document_id, revision_no, active</w:t>
            </w:r>
          </w:p>
        </w:tc>
        <w:tc>
          <w:tcPr>
            <w:tcW w:type="dxa" w:w="44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同一 Statement 的不同文件版本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Account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institution, type, last4, currency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Checking、Credit Card、Mortgage 等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Statement</w:t>
            </w:r>
          </w:p>
        </w:tc>
        <w:tc>
          <w:tcPr>
            <w:tcW w:type="dxa" w:w="352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account_id, period, balances, parser_version</w:t>
            </w:r>
          </w:p>
        </w:tc>
        <w:tc>
          <w:tcPr>
            <w:tcW w:type="dxa" w:w="44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账期级业务对象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RawTransaction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raw fields, page, row, confidence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Parser 原始输出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NormalizedTransaction</w:t>
            </w:r>
          </w:p>
        </w:tc>
        <w:tc>
          <w:tcPr>
            <w:tcW w:type="dxa" w:w="352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merchant, amount, type, category</w:t>
            </w:r>
          </w:p>
        </w:tc>
        <w:tc>
          <w:tcPr>
            <w:tcW w:type="dxa" w:w="44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统一后的交易表达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TransferGroup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from/to, amount, match_score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内部转账两端关联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Obligation</w:t>
            </w:r>
          </w:p>
        </w:tc>
        <w:tc>
          <w:tcPr>
            <w:tcW w:type="dxa" w:w="352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provider, period, amount, due_date</w:t>
            </w:r>
          </w:p>
        </w:tc>
        <w:tc>
          <w:tcPr>
            <w:tcW w:type="dxa" w:w="44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账单义务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Settlement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cash transaction, paid amount/date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付款结算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JournalEntry / Line</w:t>
            </w:r>
          </w:p>
        </w:tc>
        <w:tc>
          <w:tcPr>
            <w:tcW w:type="dxa" w:w="352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debit, credit, account</w:t>
            </w:r>
          </w:p>
        </w:tc>
        <w:tc>
          <w:tcPr>
            <w:tcW w:type="dxa" w:w="44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简化双分录 Ledger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Position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symbol, quantity, market_value, basis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投资持仓快照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ReviewItem</w:t>
            </w:r>
          </w:p>
        </w:tc>
        <w:tc>
          <w:tcPr>
            <w:tcW w:type="dxa" w:w="352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reason, severity, resolution</w:t>
            </w:r>
          </w:p>
        </w:tc>
        <w:tc>
          <w:tcPr>
            <w:tcW w:type="dxa" w:w="44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人工复核记录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ReportSnapshot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month, status, inputs, versions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可重现的最终报告快照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金额与时间规范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金额必须使用 Decimal / NUMERIC，禁止用 float 保存财务金额。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所有交易保留 transaction_date 与 posted_date。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数据库时间戳使用 UTC；报告账期和展示使用用户时区。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货币显式保存 currency；MVP 以 USD 为 base currency，但不得丢失原币种。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所有删除默认为软删除，保留 actor、reason 和 audit event。</w:t>
      </w:r>
    </w:p>
    <w:p>
      <w:pPr>
        <w:pStyle w:val="Heading2"/>
        <w:keepNext/>
      </w:pPr>
      <w:r>
        <w:t>7.3 数据库演进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数据库</w:t>
            </w:r>
          </w:p>
        </w:tc>
        <w:tc>
          <w:tcPr>
            <w:tcW w:type="dxa" w:w="5472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MVP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SQLite</w:t>
            </w:r>
          </w:p>
        </w:tc>
        <w:tc>
          <w:tcPr>
            <w:tcW w:type="dxa" w:w="54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部署简单、单用户、本地优先</w:t>
            </w:r>
          </w:p>
        </w:tc>
      </w:tr>
      <w:tr>
        <w:tc>
          <w:tcPr>
            <w:tcW w:type="dxa" w:w="20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Web / 多设备</w:t>
            </w:r>
          </w:p>
        </w:tc>
        <w:tc>
          <w:tcPr>
            <w:tcW w:type="dxa" w:w="288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547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并发、事务、权限、备份与远程访问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大规模分析（可选）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PostgreSQL + Warehouse</w:t>
            </w:r>
          </w:p>
        </w:tc>
        <w:tc>
          <w:tcPr>
            <w:tcW w:type="dxa" w:w="54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长期趋势、复杂 BI，不应过早引入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文档处理与 Parser</w:t>
      </w:r>
    </w:p>
    <w:p>
      <w:pPr>
        <w:pStyle w:val="Heading2"/>
        <w:keepNext/>
      </w:pPr>
      <w:r>
        <w:t>8.1 处理策略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7313D"/>
                <w:sz w:val="17"/>
              </w:rPr>
              <w:t>PDF → 尝试直接提取文本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├─ 文本质量合格 → Layout / Table Extraction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└─ 文本缺失或乱码 → OCR → Layout / Table Extraction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结构化结果 → Classifier → Institution Parser → Generic Parser → Review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Parser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7313D"/>
                <w:sz w:val="17"/>
              </w:rPr>
              <w:t>class StatementParser(Protocol):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def can_parse(self, document: ProcessedDocument) -&gt; MatchResult: ...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def parse(self, document: ProcessedDocument) -&gt; ParsedStatement: ...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ParsedStatement 必须包含：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- institution / account / period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- balances / totals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- raw transactions with source_page and source_row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- confidence / warnings / parser_version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AI 使用边界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允许使用 AI</w:t>
            </w:r>
          </w:p>
        </w:tc>
        <w:tc>
          <w:tcPr>
            <w:tcW w:type="dxa" w:w="50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不允许直接交给 AI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文档类型与机构建议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最终金额求和</w:t>
            </w:r>
          </w:p>
        </w:tc>
      </w:tr>
      <w:tr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特殊版面字段候选</w:t>
            </w:r>
          </w:p>
        </w:tc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余额对账与会计平衡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商户与类别建议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无来源地创建交易</w:t>
            </w:r>
          </w:p>
        </w:tc>
      </w:tr>
      <w:tr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月报文字总结</w:t>
            </w:r>
          </w:p>
        </w:tc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修改原始文件或隐藏差异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异常原因解释草稿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未经复核自动接受低置信度结果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8.4 Parser 版本管理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每次解析保存 parser_name、parser_version、parse_run_id 和输入文件 Hash。修复 Parser 后生成新的 ParseResult 版本；旧版本保留但 inactive。Golden Tests 用于比较新旧解析结果，报告只引用 active 版本。</w:t>
      </w:r>
    </w:p>
    <w:p>
      <w:pPr>
        <w:pStyle w:val="Heading1"/>
        <w:keepNext/>
      </w:pPr>
      <w:r>
        <w:t>9. 报告与用户体验</w:t>
      </w:r>
    </w:p>
    <w:p>
      <w:pPr>
        <w:pStyle w:val="Heading2"/>
        <w:keepNext/>
      </w:pPr>
      <w:r>
        <w:t>9.1 Excel 优先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Excel 是完整数据和人工分析的主要输出。建议使用冻结表头、筛选器、格式化表格、链接到 Source Documents、条件格式和 Chart。每笔交易提供 source_document、page、parser 和 review_status。</w:t>
      </w:r>
    </w:p>
    <w:p>
      <w:pPr>
        <w:pStyle w:val="Heading2"/>
        <w:keepNext/>
      </w:pPr>
      <w:r>
        <w:t>9.2 PDF 与 Dashboard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PDF 作为简洁管理摘要，不复制全部交易。Dashboard 展示当月和趋势，移动端优先显示待处理事项、净现金流、净资产变化和异常消费。</w:t>
      </w:r>
    </w:p>
    <w:p>
      <w:pPr>
        <w:pStyle w:val="Heading2"/>
        <w:keepNext/>
      </w:pPr>
      <w:r>
        <w:t>9.3 Review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2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60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用户操作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Low Confidence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OCR 金额不确定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查看原页并修改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Possible Duplicate</w:t>
            </w:r>
          </w:p>
        </w:tc>
        <w:tc>
          <w:tcPr>
            <w:tcW w:type="dxa" w:w="43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日期金额相同、描述相似</w:t>
            </w:r>
          </w:p>
        </w:tc>
        <w:tc>
          <w:tcPr>
            <w:tcW w:type="dxa" w:w="36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确认重复或独立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Unmatched Transfer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信用卡付款未匹配另一端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选择对应账户/交易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Reconciliation Difference</w:t>
            </w:r>
          </w:p>
        </w:tc>
        <w:tc>
          <w:tcPr>
            <w:tcW w:type="dxa" w:w="43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计算余额与 Statement 不一致</w:t>
            </w:r>
          </w:p>
        </w:tc>
        <w:tc>
          <w:tcPr>
            <w:tcW w:type="dxa" w:w="36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排查缺失或 Parser 错误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Missing Statement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预期文件未收到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上传、忽略或调整配置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Unknown Category</w:t>
            </w:r>
          </w:p>
        </w:tc>
        <w:tc>
          <w:tcPr>
            <w:tcW w:type="dxa" w:w="43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新商户无法分类</w:t>
            </w:r>
          </w:p>
        </w:tc>
        <w:tc>
          <w:tcPr>
            <w:tcW w:type="dxa" w:w="36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选择类别并保存规则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技术选型及优缺点</w:t>
      </w:r>
    </w:p>
    <w:p>
      <w:pPr>
        <w:pStyle w:val="Heading2"/>
        <w:keepNext/>
      </w:pPr>
      <w:r>
        <w:t>10.1 方案 A：Python 模块化单体（推荐 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50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缺点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PDF、OCR、表格、pandas、Excel 和 AI 生态成熟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类型与编译期约束弱于 Java/C#</w:t>
            </w:r>
          </w:p>
        </w:tc>
      </w:tr>
      <w:tr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Parser 试验和数据清洗速度快</w:t>
            </w:r>
          </w:p>
        </w:tc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大型团队长期维护需要严格规范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单进程调试、部署和测试简单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CPU 密集或高并发需要 Worker/进程模型</w:t>
            </w:r>
          </w:p>
        </w:tc>
      </w:tr>
      <w:tr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能快速验证真实 Statement 闭环</w:t>
            </w:r>
          </w:p>
        </w:tc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未来迁移核心服务可能产生重写成本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与现有 Python 项目经验相近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移动端仍需独立客户端技术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方案 B：C# / Java 主后端 + Python 文档 Worker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50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缺点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强类型 Domain、Ledger、API 与数据库事务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双语言、双构建和服务通信增加复杂度</w:t>
            </w:r>
          </w:p>
        </w:tc>
      </w:tr>
      <w:tr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适合长期产品、团队协作与企业部署</w:t>
            </w:r>
          </w:p>
        </w:tc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MVP 速度慢，故障链路更长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C# 与 Azure、Java 与成熟企业生态集成良好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需要定义稳定 JSON/Queue Contract</w:t>
            </w:r>
          </w:p>
        </w:tc>
      </w:tr>
      <w:tr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Python 保留最擅长的 OCR/Parser 能力</w:t>
            </w:r>
          </w:p>
        </w:tc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本地单用户阶段属于过度设计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方案 C：全部 C# 或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50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缺点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统一语言、强类型、IDE 重构和维护性好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文档处理、OCR、AI 与探索式数据清洗效率较低</w:t>
            </w:r>
          </w:p>
        </w:tc>
      </w:tr>
      <w:tr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适合稳定需求和长期后端服务</w:t>
            </w:r>
          </w:p>
        </w:tc>
        <w:tc>
          <w:tcPr>
            <w:tcW w:type="dxa" w:w="50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高质量 PDF/Excel Library 可能涉及许可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便于建立严格领域模型和并发服务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为不同 Statement 快速开发 Parser 的成本更高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10.4 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3168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1008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94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Python 单体</w:t>
            </w:r>
          </w:p>
        </w:tc>
        <w:tc>
          <w:tcPr>
            <w:tcW w:type="dxa" w:w="2232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C#/Java + Python</w:t>
            </w:r>
          </w:p>
        </w:tc>
        <w:tc>
          <w:tcPr>
            <w:tcW w:type="dxa" w:w="194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全 C#/Java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MVP 速度</w:t>
            </w:r>
          </w:p>
        </w:tc>
        <w:tc>
          <w:tcPr>
            <w:tcW w:type="dxa" w:w="10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25%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</w:t>
            </w:r>
          </w:p>
        </w:tc>
      </w:tr>
      <w:tr>
        <w:tc>
          <w:tcPr>
            <w:tcW w:type="dxa" w:w="31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PDF/OCR/Parser</w:t>
            </w:r>
          </w:p>
        </w:tc>
        <w:tc>
          <w:tcPr>
            <w:tcW w:type="dxa" w:w="10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20%</w:t>
            </w:r>
          </w:p>
        </w:tc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23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长期类型安全</w:t>
            </w:r>
          </w:p>
        </w:tc>
        <w:tc>
          <w:tcPr>
            <w:tcW w:type="dxa" w:w="10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15%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</w:tr>
      <w:tr>
        <w:tc>
          <w:tcPr>
            <w:tcW w:type="dxa" w:w="31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部署简单</w:t>
            </w:r>
          </w:p>
        </w:tc>
        <w:tc>
          <w:tcPr>
            <w:tcW w:type="dxa" w:w="10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15%</w:t>
            </w:r>
          </w:p>
        </w:tc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23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移动/服务扩展</w:t>
            </w:r>
          </w:p>
        </w:tc>
        <w:tc>
          <w:tcPr>
            <w:tcW w:type="dxa" w:w="10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10%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</w:tr>
      <w:tr>
        <w:tc>
          <w:tcPr>
            <w:tcW w:type="dxa" w:w="31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学习与职业价值</w:t>
            </w:r>
          </w:p>
        </w:tc>
        <w:tc>
          <w:tcPr>
            <w:tcW w:type="dxa" w:w="10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10%</w:t>
            </w:r>
          </w:p>
        </w:tc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23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维护成本（早期）</w:t>
            </w:r>
          </w:p>
        </w:tc>
        <w:tc>
          <w:tcPr>
            <w:tcW w:type="dxa" w:w="100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5%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31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加权结论</w:t>
            </w:r>
          </w:p>
        </w:tc>
        <w:tc>
          <w:tcPr>
            <w:tcW w:type="dxa" w:w="10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100%</w:t>
            </w:r>
          </w:p>
        </w:tc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4.45</w:t>
            </w:r>
          </w:p>
        </w:tc>
        <w:tc>
          <w:tcPr>
            <w:tcW w:type="dxa" w:w="223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3.85</w:t>
            </w:r>
          </w:p>
        </w:tc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3.65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  <w:tcBorders>
              <w:top w:val="single" w:sz="10" w:color="2F5D8C"/>
              <w:left w:val="single" w:sz="10" w:color="2F5D8C"/>
              <w:bottom w:val="single" w:sz="10" w:color="2F5D8C"/>
              <w:right w:val="single" w:sz="10" w:color="2F5D8C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5D8C"/>
                <w:sz w:val="21"/>
              </w:rPr>
              <w:t>技术建议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现在使用 Python 模块化单体，但把核心边界设计成可迁移：Domain 不依赖框架、Parser 输出稳定 JSON、数据库使用迁移脚本、报告只读取 Ledger、所有入口通过 Application Services 调用。这样既获得 Python 的早期效率，又避免未来平台绑定。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安全、隐私与可靠性</w:t>
      </w:r>
    </w:p>
    <w:p>
      <w:pPr>
        <w:pStyle w:val="Heading2"/>
        <w:keepNext/>
      </w:pPr>
      <w:r>
        <w:t>11.1 安全基线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默认本地处理，原始 PDF 不上传外部 AI。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磁盘启用 FileVault；数据库和备份可进一步加密。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OAuth Token 存入 macOS Keychain / iOS Keychain / Android Keystore。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日志仅显示账户后四位，不记录完整地址、PDF 全文或 Token。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文件静态加密、传输使用 TLS、下载使用短期授权 URL。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用户操作和自动规则均写入不可变 Audit Log。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备份需要加密、版本化，并定期验证恢复。</w:t>
      </w:r>
    </w:p>
    <w:p>
      <w:pPr>
        <w:pStyle w:val="Heading2"/>
        <w:keepNext/>
      </w:pPr>
      <w:r>
        <w:t>11.2 完整性与可靠性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月报保存输入文件 Hash、Parser 版本、规则版本和生成版本。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所有后台任务可重试，但必须幂等。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重大对账差异阻止 Finalize；用户显式 Override 时记录原因。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报告状态明确区分 Draft、Incomplete、Final。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处理失败保留中间结果，避免重复 OCR。</w:t>
      </w:r>
    </w:p>
    <w:p>
      <w:pPr>
        <w:pStyle w:val="Heading1"/>
        <w:keepNext/>
      </w:pPr>
      <w:r>
        <w:t>12. API 与多平台设计</w:t>
      </w:r>
    </w:p>
    <w:p>
      <w:pPr>
        <w:pStyle w:val="Heading2"/>
        <w:keepNext/>
      </w:pPr>
      <w:r>
        <w:t>12.1 平台边界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移动端和 Web 只承担上传、查看、复核和配置，不复制 PDF 解析与财务计算逻辑。所有客户端通过版本化 API 使用同一 Finance Core。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7313D"/>
                <w:sz w:val="17"/>
              </w:rPr>
              <w:t>POST /api/v1/documents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GET  /api/v1/documents/{id}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GET  /api/v1/months/{yyyy-mm}/dashboard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GET  /api/v1/review-items?month={yyyy-mm}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POST /api/v1/review-items/{id}/resolve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POST /api/v1/months/{yyyy-mm}/finalize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GET  /api/v1/reports/{id}/download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Mobile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7776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iOS/Android 实现建议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文件上传</w:t>
            </w:r>
          </w:p>
        </w:tc>
        <w:tc>
          <w:tcPr>
            <w:tcW w:type="dxa" w:w="77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分块上传、断点续传、上传前 Hash 检查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拍照扫描</w:t>
            </w:r>
          </w:p>
        </w:tc>
        <w:tc>
          <w:tcPr>
            <w:tcW w:type="dxa" w:w="77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Document Scanner + 本地裁剪，OCR 可在后端完成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本地缓存</w:t>
            </w:r>
          </w:p>
        </w:tc>
        <w:tc>
          <w:tcPr>
            <w:tcW w:type="dxa" w:w="77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SQLite/Drift，仅缓存 Dashboard、摘要和待复核项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身份认证</w:t>
            </w:r>
          </w:p>
        </w:tc>
        <w:tc>
          <w:tcPr>
            <w:tcW w:type="dxa" w:w="77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OIDC/OAuth 2.0 + PKCE，Token 存系统安全存储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解锁</w:t>
            </w:r>
          </w:p>
        </w:tc>
        <w:tc>
          <w:tcPr>
            <w:tcW w:type="dxa" w:w="77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Face ID / Touch ID / Android Biometrics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后台状态</w:t>
            </w:r>
          </w:p>
        </w:tc>
        <w:tc>
          <w:tcPr>
            <w:tcW w:type="dxa" w:w="77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Polling 或 Push Notification，不依赖长期前台连接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离线操作</w:t>
            </w:r>
          </w:p>
        </w:tc>
        <w:tc>
          <w:tcPr>
            <w:tcW w:type="dxa" w:w="77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Review Decision 本地排队，恢复联网后提交并处理冲突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移动端技术选择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626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适用性</w:t>
            </w:r>
          </w:p>
        </w:tc>
        <w:tc>
          <w:tcPr>
            <w:tcW w:type="dxa" w:w="158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Flutter</w:t>
            </w:r>
          </w:p>
        </w:tc>
        <w:tc>
          <w:tcPr>
            <w:tcW w:type="dxa" w:w="62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一个代码库覆盖 iOS/Android，适合 Dashboard、表单、上传与图表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首选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React Native</w:t>
            </w:r>
          </w:p>
        </w:tc>
        <w:tc>
          <w:tcPr>
            <w:tcW w:type="dxa" w:w="62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TypeScript 生态好，与 Web React 共享知识</w:t>
            </w:r>
          </w:p>
        </w:tc>
        <w:tc>
          <w:tcPr>
            <w:tcW w:type="dxa" w:w="158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备选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SwiftUI + Compose</w:t>
            </w:r>
          </w:p>
        </w:tc>
        <w:tc>
          <w:tcPr>
            <w:tcW w:type="dxa" w:w="62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体验最佳，但两套代码维护成本高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产品成熟后评估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扩展与迁移计划</w:t>
      </w:r>
    </w:p>
    <w:p>
      <w:r>
        <w:drawing>
          <wp:inline xmlns:a="http://schemas.openxmlformats.org/drawingml/2006/main" xmlns:pic="http://schemas.openxmlformats.org/drawingml/2006/picture">
            <wp:extent cx="6583680" cy="3742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42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B6573"/>
          <w:sz w:val="17"/>
        </w:rPr>
        <w:t>图 3：迁移不是一次性重写，而是逐步替换入口、存储和稳定核心。</w:t>
      </w:r>
    </w:p>
    <w:p>
      <w:pPr>
        <w:pStyle w:val="Heading2"/>
        <w:keepNext/>
      </w:pPr>
      <w:r>
        <w:t>13.1 Phase 1：本地 MVP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Python package + Typer CLI + SQLite。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本地 Folder Adapter；支持 1 个 Checking、1 张信用卡、1 个房贷、1 个 Utility、1 个 Brokerage。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PyMuPDF/Docling/OCRmyPDF、Pydantic、SQLAlchemy、pandas、openpyxl/XlsxWriter。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通过 macOS launchd 定时运行。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输出 Excel，PDF 可在 MVP 后半段加入。</w:t>
      </w:r>
    </w:p>
    <w:p>
      <w:pPr>
        <w:pStyle w:val="Heading2"/>
        <w:keepNext/>
      </w:pPr>
      <w:r>
        <w:t>13.2 Phase 2：服务化与 Web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增加 FastAPI，将 CLI 重构为调用相同 Application Services。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SQLite 迁移到 PostgreSQL；文件迁移到本地 NAS 或 S3-compatible Object Storage。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增加任务队列或独立 Worker，处理 OCR 和报告生成。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增加 Web Review UI、用户认证、报告下载和操作审计。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Google Drive / Dropbox / Gmail 通过 Source Adapter 接入。</w:t>
      </w:r>
    </w:p>
    <w:p>
      <w:pPr>
        <w:pStyle w:val="Heading2"/>
        <w:keepNext/>
      </w:pPr>
      <w:r>
        <w:t>13.3 Phase 3：iOS 与 Android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使用 Flutter 构建上传、Dashboard、Review Queue 和通知。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API 使用 OpenAPI 生成客户端类型，避免字段漂移。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支持后台分块上传、Hash 去重、Push Notification 和安全本地缓存。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原始文件按需下载，避免默认长期保存在手机。</w:t>
      </w:r>
    </w:p>
    <w:p>
      <w:pPr>
        <w:pStyle w:val="Heading2"/>
        <w:keepNext/>
      </w:pPr>
      <w:r>
        <w:t>13.4 Phase 4：可选迁移到 C# 或 Java</w:t>
      </w:r>
    </w:p>
    <w:p>
      <w:pPr>
        <w:keepLines w:val="0"/>
        <w:spacing w:after="120" w:line="283" w:lineRule="auto"/>
      </w:pPr>
      <w:r>
        <w:rPr>
          <w:rFonts w:ascii="Noto Sans CJK SC" w:hAnsi="Noto Sans CJK SC" w:eastAsia="Noto Sans CJK SC"/>
        </w:rPr>
        <w:t>只有在多用户、团队扩张、合规、复杂权限、服务规模或职业学习价值足够高时才迁移。建议优先迁移稳定、低变化的能力，而不是 PDF Parser。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2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优先迁移</w:t>
            </w:r>
          </w:p>
        </w:tc>
        <w:tc>
          <w:tcPr>
            <w:tcW w:type="dxa" w:w="32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继续保留 Python</w:t>
            </w:r>
          </w:p>
        </w:tc>
        <w:tc>
          <w:tcPr>
            <w:tcW w:type="dxa" w:w="3672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Authentication / Authorization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OCR / Layout / Docling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前者稳定且安全要求高，后者生态变化快</w:t>
            </w:r>
          </w:p>
        </w:tc>
      </w:tr>
      <w:tr>
        <w:tc>
          <w:tcPr>
            <w:tcW w:type="dxa" w:w="32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Account / Statement API</w:t>
            </w:r>
          </w:p>
        </w:tc>
        <w:tc>
          <w:tcPr>
            <w:tcW w:type="dxa" w:w="32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Institution Parsers</w:t>
            </w:r>
          </w:p>
        </w:tc>
        <w:tc>
          <w:tcPr>
            <w:tcW w:type="dxa" w:w="367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API 适合强类型；Parser 需要快速迭代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Ledger / Reconciliation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 Classification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财务核心需要严格约束</w:t>
            </w:r>
          </w:p>
        </w:tc>
      </w:tr>
      <w:tr>
        <w:tc>
          <w:tcPr>
            <w:tcW w:type="dxa" w:w="32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Scheduling / Job Orchestration</w:t>
            </w:r>
          </w:p>
        </w:tc>
        <w:tc>
          <w:tcPr>
            <w:tcW w:type="dxa" w:w="32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Document Experimentation</w:t>
            </w:r>
          </w:p>
        </w:tc>
        <w:tc>
          <w:tcPr>
            <w:tcW w:type="dxa" w:w="367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服务端调度适合企业框架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Audit / Reporting Metadata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部分 Excel/PDF Worker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可逐步选择，不需一次重写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13.5 迁移保护措施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OpenAPI Contract：客户端只依赖 API，不依赖 Python 对象。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Parser JSON Schema：Python Worker 与新后端通过固定 Schema 通信。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数据库迁移：Alembic/EF Core/Flyway 维护版本，不手工改生产库。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Golden Dataset：同一组脱敏 Statement 在旧/新实现下产生相同 Ledger。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双写/影子运行：迁移期新旧系统同时计算，比较差异后切换。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Report Snapshot：历史最终报告不因新规则自动改变。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Strangler Pattern：按模块替换，不做 Big-Bang Rewrite。</w:t>
      </w:r>
    </w:p>
    <w:p>
      <w:pPr>
        <w:pStyle w:val="Heading1"/>
        <w:keepNext/>
      </w:pPr>
      <w:r>
        <w:t>14. 测试策略</w:t>
      </w:r>
    </w:p>
    <w:p>
      <w:pPr>
        <w:pStyle w:val="Heading2"/>
        <w:keepNext/>
      </w:pPr>
      <w:r>
        <w:t>14.1 测试金字塔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2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56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Unit</w:t>
            </w:r>
          </w:p>
        </w:tc>
        <w:tc>
          <w:tcPr>
            <w:tcW w:type="dxa" w:w="75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金额解析、日期、商户规则、Ledger Posting、匹配评分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Parser Golden Tests</w:t>
            </w:r>
          </w:p>
        </w:tc>
        <w:tc>
          <w:tcPr>
            <w:tcW w:type="dxa" w:w="75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脱敏 PDF → 预期 ParsedStatement JSON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Integration</w:t>
            </w:r>
          </w:p>
        </w:tc>
        <w:tc>
          <w:tcPr>
            <w:tcW w:type="dxa" w:w="75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文件导入 → DB → 去重 → 对账 → 报告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Contract</w:t>
            </w:r>
          </w:p>
        </w:tc>
        <w:tc>
          <w:tcPr>
            <w:tcW w:type="dxa" w:w="75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OpenAPI、Parser JSON Schema、移动端 DTO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Migration Regression</w:t>
            </w:r>
          </w:p>
        </w:tc>
        <w:tc>
          <w:tcPr>
            <w:tcW w:type="dxa" w:w="75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Python 与 C#/Java 核心结果逐笔比较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Security</w:t>
            </w:r>
          </w:p>
        </w:tc>
        <w:tc>
          <w:tcPr>
            <w:tcW w:type="dxa" w:w="75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权限、Token、日志脱敏、文件访问和备份恢复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Visual Report</w:t>
            </w:r>
          </w:p>
        </w:tc>
        <w:tc>
          <w:tcPr>
            <w:tcW w:type="dxa" w:w="75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Excel/PDF 格式、缺失字段、可追溯链接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14.2 必测业务场景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同一 PDF 改名后重新导入不产生重复。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同一 Statement 来自本地和 Google Drive 时只生成一个 active Statement。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同日同商户同金额的真实两笔消费不能被误删。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信用卡付款两端匹配后不计收入或支出。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Utility Invoice 与银行付款只统计一次。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Mortgage Principal、Interest、Escrow 正确拆分。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Brokerage contribution 不计为收入，卖出金额不计为收益。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Parser v2 重跑不会重复交易，历史 v1 可审计。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缺少重要 Statement 时 Finalize 被阻止或显式 Override。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同一月份重复生成报告结果一致。</w:t>
      </w:r>
    </w:p>
    <w:p>
      <w:pPr>
        <w:pStyle w:val="Heading1"/>
        <w:keepNext/>
      </w:pPr>
      <w:r>
        <w:t>15. 部署与运维</w:t>
      </w:r>
    </w:p>
    <w:p>
      <w:pPr>
        <w:pStyle w:val="Heading2"/>
        <w:keepNext/>
      </w:pPr>
      <w:r>
        <w:t>15.1 部署选项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72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288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架构</w:t>
            </w:r>
          </w:p>
        </w:tc>
        <w:tc>
          <w:tcPr>
            <w:tcW w:type="dxa" w:w="2088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适用阶段</w:t>
            </w:r>
          </w:p>
        </w:tc>
        <w:tc>
          <w:tcPr>
            <w:tcW w:type="dxa" w:w="32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优缺点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个人 Mac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CLI + SQLite + launchd</w:t>
            </w:r>
          </w:p>
        </w:tc>
        <w:tc>
          <w:tcPr>
            <w:tcW w:type="dxa" w:w="20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MVP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最简单、隐私好；设备关机时不运行</w:t>
            </w:r>
          </w:p>
        </w:tc>
      </w:tr>
      <w:tr>
        <w:tc>
          <w:tcPr>
            <w:tcW w:type="dxa" w:w="187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Mac mini / NAS</w:t>
            </w:r>
          </w:p>
        </w:tc>
        <w:tc>
          <w:tcPr>
            <w:tcW w:type="dxa" w:w="288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Docker + PostgreSQL + Object Storage</w:t>
            </w:r>
          </w:p>
        </w:tc>
        <w:tc>
          <w:tcPr>
            <w:tcW w:type="dxa" w:w="208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家庭长期使用</w:t>
            </w:r>
          </w:p>
        </w:tc>
        <w:tc>
          <w:tcPr>
            <w:tcW w:type="dxa" w:w="32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私有、稳定；需要维护网络与备份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Private VPS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Docker Compose / Managed DB</w:t>
            </w:r>
          </w:p>
        </w:tc>
        <w:tc>
          <w:tcPr>
            <w:tcW w:type="dxa" w:w="20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远程多设备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可访问性好；需更强安全</w:t>
            </w:r>
          </w:p>
        </w:tc>
      </w:tr>
      <w:tr>
        <w:tc>
          <w:tcPr>
            <w:tcW w:type="dxa" w:w="187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Public Cloud</w:t>
            </w:r>
          </w:p>
        </w:tc>
        <w:tc>
          <w:tcPr>
            <w:tcW w:type="dxa" w:w="288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Managed API/DB/Storage/Queue</w:t>
            </w:r>
          </w:p>
        </w:tc>
        <w:tc>
          <w:tcPr>
            <w:tcW w:type="dxa" w:w="208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多用户产品</w:t>
            </w:r>
          </w:p>
        </w:tc>
        <w:tc>
          <w:tcPr>
            <w:tcW w:type="dxa" w:w="32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扩展强；成本和合规复杂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 监控与诊断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结构化日志：job_id、document_id、statement_id、stage、duration、error_code。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Metrics：处理成功率、OCR 时间、Parser 命中率、Review 数量、对账差异。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Health Check：数据库、Object Storage、Queue 和 Worker。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失败任务支持重试和 Dead Letter Queue；重试不产生重复。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敏感数据不得进入日志、Tracing 或错误上报。</w:t>
      </w:r>
    </w:p>
    <w:p>
      <w:pPr>
        <w:pStyle w:val="Heading1"/>
        <w:keepNext/>
      </w:pPr>
      <w:r>
        <w:t>16.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168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176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缓解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Statement 格式变化</w:t>
            </w:r>
          </w:p>
        </w:tc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Parser 失败或字段错位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版本化 Parser、Golden Tests、Review Queue</w:t>
            </w:r>
          </w:p>
        </w:tc>
      </w:tr>
      <w:tr>
        <w:tc>
          <w:tcPr>
            <w:tcW w:type="dxa" w:w="302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OCR 误识别金额</w:t>
            </w:r>
          </w:p>
        </w:tc>
        <w:tc>
          <w:tcPr>
            <w:tcW w:type="dxa" w:w="31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报告金额错误</w:t>
            </w:r>
          </w:p>
        </w:tc>
        <w:tc>
          <w:tcPr>
            <w:tcW w:type="dxa" w:w="41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余额对账、置信度、原页查看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误判重复</w:t>
            </w:r>
          </w:p>
        </w:tc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真实交易丢失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疑似重复不自动删除、保留审计与恢复</w:t>
            </w:r>
          </w:p>
        </w:tc>
      </w:tr>
      <w:tr>
        <w:tc>
          <w:tcPr>
            <w:tcW w:type="dxa" w:w="302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内部转账未匹配</w:t>
            </w:r>
          </w:p>
        </w:tc>
        <w:tc>
          <w:tcPr>
            <w:tcW w:type="dxa" w:w="31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收入/支出高估</w:t>
            </w:r>
          </w:p>
        </w:tc>
        <w:tc>
          <w:tcPr>
            <w:tcW w:type="dxa" w:w="41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跨账户匹配、月度对账、用户规则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AI 产生幻觉</w:t>
            </w:r>
          </w:p>
        </w:tc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虚构字段或解释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AI 只提供候选，不直接写最终 Ledger</w:t>
            </w:r>
          </w:p>
        </w:tc>
      </w:tr>
      <w:tr>
        <w:tc>
          <w:tcPr>
            <w:tcW w:type="dxa" w:w="302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云端泄露</w:t>
            </w:r>
          </w:p>
        </w:tc>
        <w:tc>
          <w:tcPr>
            <w:tcW w:type="dxa" w:w="31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高敏感数据暴露</w:t>
            </w:r>
          </w:p>
        </w:tc>
        <w:tc>
          <w:tcPr>
            <w:tcW w:type="dxa" w:w="41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Local-first、加密、最小权限、短期 URL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过早微服务化</w:t>
            </w:r>
          </w:p>
        </w:tc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开发慢、运维复杂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模块化单体，按真实瓶颈拆分</w:t>
            </w:r>
          </w:p>
        </w:tc>
      </w:tr>
      <w:tr>
        <w:tc>
          <w:tcPr>
            <w:tcW w:type="dxa" w:w="302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未来重写成本</w:t>
            </w:r>
          </w:p>
        </w:tc>
        <w:tc>
          <w:tcPr>
            <w:tcW w:type="dxa" w:w="31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迁移周期长</w:t>
            </w:r>
          </w:p>
        </w:tc>
        <w:tc>
          <w:tcPr>
            <w:tcW w:type="dxa" w:w="41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API/Schema/Golden Tests/Strangler Pattern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账单未按固定日期生成</w:t>
            </w:r>
          </w:p>
        </w:tc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月报不完整</w:t>
            </w:r>
          </w:p>
        </w:tc>
        <w:tc>
          <w:tcPr>
            <w:tcW w:type="dxa" w:w="41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Draft/Final 状态、Missing Statement 检查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实施路线图</w:t>
      </w:r>
    </w:p>
    <w:p>
      <w:pPr>
        <w:pStyle w:val="Heading2"/>
        <w:keepNext/>
      </w:pPr>
      <w:r>
        <w:t>17.1 Milestone 0：项目骨架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创建 pyproject、src layout、config、logging、SQLite 和 migrations。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定义 Document、Account、Statement、RawTransaction、NormalizedTransaction。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实现本地 Folder Adapter、SHA-256 和幂等 ingest。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建立 pytest、Ruff、Pyright/Mypy 和 CI。</w:t>
      </w:r>
    </w:p>
    <w:p>
      <w:pPr>
        <w:pStyle w:val="Heading2"/>
        <w:keepNext/>
      </w:pPr>
      <w:r>
        <w:t>17.2 Milestone 1：第一个端到端闭环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选择一个真实 Checking Statement。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完成提取、专用 Parser、交易入库、余额对账和 Transactions Excel。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保存来源页码与 Parser 版本。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重复运行验证无重复数据。</w:t>
      </w:r>
    </w:p>
    <w:p>
      <w:pPr>
        <w:pStyle w:val="Heading2"/>
        <w:keepNext/>
      </w:pPr>
      <w:r>
        <w:t>17.3 Milestone 2：信用卡与去重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加入信用卡 Parser、退款和付款识别。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实现 Checking ↔ Credit Card transfer_group。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输出 Expenses、Cash Flow 和 Reconciliation。</w:t>
      </w:r>
    </w:p>
    <w:p>
      <w:pPr>
        <w:pStyle w:val="Heading2"/>
        <w:keepNext/>
      </w:pPr>
      <w:r>
        <w:t>17.4 Milestone 3：Mortgage、Utility、Investment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房贷本金/利息/Escrow 拆分。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Utility Obligation 与 Settlement 关联。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Brokerage contribution、dividend、fee 和 return 模型。</w:t>
      </w:r>
    </w:p>
    <w:p>
      <w:pPr>
        <w:pStyle w:val="Heading2"/>
        <w:keepNext/>
      </w:pPr>
      <w:r>
        <w:t>17.5 Milestone 4：月报与自动化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Dashboard、完整 Excel、PDF 摘要。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Expected Statements、Review Queue、Draft/Final。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launchd 定时任务和通知。</w:t>
      </w:r>
    </w:p>
    <w:p>
      <w:pPr>
        <w:pStyle w:val="Heading2"/>
        <w:keepNext/>
      </w:pPr>
      <w:r>
        <w:t>17.6 Milestone 5：Web / Mobile Ready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FastAPI、PostgreSQL、Object Storage。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Web Review UI、身份认证和审计。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OpenAPI Contract 与 Flutter App。</w:t>
      </w:r>
    </w:p>
    <w:p>
      <w:pPr>
        <w:pStyle w:val="Heading1"/>
        <w:keepNext/>
      </w:pPr>
      <w:r>
        <w:t>18. 关键决策与下一步</w:t>
      </w:r>
    </w:p>
    <w:p>
      <w:pPr>
        <w:pStyle w:val="Heading2"/>
        <w:keepNext/>
      </w:pPr>
      <w:r>
        <w:t>18.1 Architecture 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32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4752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初始架构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Python 模块化单体</w:t>
            </w:r>
          </w:p>
        </w:tc>
        <w:tc>
          <w:tcPr>
            <w:tcW w:type="dxa" w:w="47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最快验证 PDF→Ledger→Report，同时避免微服务成本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财务模型</w:t>
            </w:r>
          </w:p>
        </w:tc>
        <w:tc>
          <w:tcPr>
            <w:tcW w:type="dxa" w:w="32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简化双分录 Ledger</w:t>
            </w:r>
          </w:p>
        </w:tc>
        <w:tc>
          <w:tcPr>
            <w:tcW w:type="dxa" w:w="475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正确表达内部转账、负债本金和账单结算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主要输出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Excel-first</w:t>
            </w:r>
          </w:p>
        </w:tc>
        <w:tc>
          <w:tcPr>
            <w:tcW w:type="dxa" w:w="47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明细完整、可筛选、适合人工审计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原始数据</w:t>
            </w:r>
          </w:p>
        </w:tc>
        <w:tc>
          <w:tcPr>
            <w:tcW w:type="dxa" w:w="32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只读保存 + 全链路来源</w:t>
            </w:r>
          </w:p>
        </w:tc>
        <w:tc>
          <w:tcPr>
            <w:tcW w:type="dxa" w:w="475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可重现、可解释、可修复 Parser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去重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多层识别 + 人工复核</w:t>
            </w:r>
          </w:p>
        </w:tc>
        <w:tc>
          <w:tcPr>
            <w:tcW w:type="dxa" w:w="47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避免既重复统计又误删真实交易</w:t>
            </w:r>
          </w:p>
        </w:tc>
      </w:tr>
      <w:tr>
        <w:tc>
          <w:tcPr>
            <w:tcW w:type="dxa" w:w="237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移动端</w:t>
            </w:r>
          </w:p>
        </w:tc>
        <w:tc>
          <w:tcPr>
            <w:tcW w:type="dxa" w:w="32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Flutter 客户端 + Backend Finance Core</w:t>
            </w:r>
          </w:p>
        </w:tc>
        <w:tc>
          <w:tcPr>
            <w:tcW w:type="dxa" w:w="475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一个代码库，不在手机复制复杂业务逻辑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未来迁移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Strangler：C#/Java 核心 + Python Worker</w:t>
            </w:r>
          </w:p>
        </w:tc>
        <w:tc>
          <w:tcPr>
            <w:tcW w:type="dxa" w:w="47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按需获得强类型与企业能力，不牺牲文档生态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18.2 建议立即开始的范围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首个开发目标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使用一个月的真实但可脱敏文件，完成：本地导入 → 文件 Hash → Checking Parser → SQLite → 余额对账 → Transactions.xlsx。完成后再加入信用卡付款匹配，而不是先开发 Web 或移动端。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18.3 MVP 验收标准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同一批文件运行多次，数据库记录数和汇总不变。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所有最终数字可追溯到文件、页码和 Parser 版本。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信用卡还款、内部转账和投资入金不被计算为收入或支出。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房贷本金与利息分开。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期初/期末余额能够对账，差异明确显示。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报告缺少重要 Statement 时显示 INCOMPLETE。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Excel 可以直接用于个人月度财务复盘。</w:t>
      </w:r>
    </w:p>
    <w:p>
      <w:pPr>
        <w:pStyle w:val="Heading1"/>
        <w:keepNext/>
      </w:pPr>
      <w:r>
        <w:t>附录 A：建议项目结构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7313D"/>
                <w:sz w:val="17"/>
              </w:rPr>
              <w:t>finance-statement-hub/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├── pyproject.toml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├── config/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├── src/finance_hub/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domain/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application/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ingestion/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document_processing/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parsers/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normalization/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deduplication/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ledger/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reconciliation/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reporting/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review/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storage/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api/              # Phase 2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workers/          # Phase 2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└── cli/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├── tests/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unit/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integration/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contracts/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fixtures/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└── golden/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├── mobile/               # Phase 3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├── contracts/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├── openapi.yaml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│   └── parser-schema.json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└── deployment/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B：示例配置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7313D"/>
                <w:sz w:val="17"/>
              </w:rPr>
              <w:t>application: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timezone: America/Los_Angeles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base_currency: USD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reporting: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close_day: 10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output_formats: [xlsx, pdf]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storage: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database_url: sqlite:///./data/finance_hub.db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raw_documents: ./data/raw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processed_documents: ./data/processed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reports: ./data/reports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sources: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local: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enabled: true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  path: ~/FinanceHub/inbox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>review: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auto_accept_confidence: 0.95</w:t>
            </w:r>
            <w:r>
              <w:br/>
            </w:r>
            <w:r>
              <w:rPr>
                <w:rFonts w:ascii="Liberation Mono" w:hAnsi="Liberation Mono" w:eastAsia="Liberation Mono"/>
                <w:color w:val="27313D"/>
                <w:sz w:val="17"/>
              </w:rPr>
              <w:t xml:space="preserve">  block_finalize_on_reconciliation_error: true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2F5D8C"/>
        <w:sz w:val="17"/>
      </w:rPr>
      <w:t>FINANCE STATEMENT HUB  ·  SYSTEM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1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7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Statement Hub 系统设计文档 v1.0</dc:title>
  <dc:subject>个人财务 Statement 自动收集、解析、去重、对账与多平台扩展设计</dc:subject>
  <dc:creator>OpenAI</dc:creator>
  <cp:keywords>Finance, Statement, PDF, OCR, Ledger, Deduplication, iOS, Android, Python, C#, Java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