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智能体调度平台的设计与实现以-wunder-为例"/>
    <w:p>
      <w:pPr>
        <w:pStyle w:val="Heading1"/>
      </w:pPr>
      <w:r>
        <w:t xml:space="preserve">智能体调度平台的设计与实现——以 Wunder 为例</w:t>
      </w:r>
    </w:p>
    <w:bookmarkStart w:id="20" w:name="一摘要"/>
    <w:p>
      <w:pPr>
        <w:pStyle w:val="Heading2"/>
      </w:pPr>
      <w:r>
        <w:t xml:space="preserve">一、摘要</w:t>
      </w:r>
    </w:p>
    <w:p>
      <w:pPr>
        <w:pStyle w:val="FirstParagraph"/>
      </w:pPr>
      <w:r>
        <w:t xml:space="preserve">随着大模型逐步成为通用智能底座，面向复杂任务的“智能体 + 工具编排”正成为生产系统的主流形态。但在真实场景中，模型能力、工具协议、并发访问、上下文膨胀、安全隔离与可观测性之间存在显著矛盾。本文以 Wunder 智能体调度平台为对象，系统性阐述其设计与实现过程。平台基于 Rust/Axum 构建统一入口</w:t>
      </w:r>
      <w:r>
        <w:t xml:space="preserve"> </w:t>
      </w:r>
      <w:r>
        <w:rPr>
          <w:rStyle w:val="VerbatimChar"/>
        </w:rPr>
        <w:t xml:space="preserve">/wunder</w:t>
      </w:r>
      <w:r>
        <w:t xml:space="preserve">，支持 SSE 流式与非流式交互，提供 MCP、Skills、知识库、自建/共享工具的统一编排；通过 Orchestrator 实现多轮工具调用与任务调度；结合多用户工作区、上下文压缩、长期记忆、监控与性能评估等能力形成完整工程化闭环。本文从需求分析、总体架构、核心流程、关键算法、数据与安全、性能评估与运维实践等方面进行深入分析，聚焦系统方法与实现机理，为同类智能体平台的工程落地提供可复用思路。</w:t>
      </w:r>
    </w:p>
    <w:bookmarkEnd w:id="20"/>
    <w:bookmarkStart w:id="21" w:name="二关键词"/>
    <w:p>
      <w:pPr>
        <w:pStyle w:val="Heading2"/>
      </w:pPr>
      <w:r>
        <w:t xml:space="preserve">二、关键词</w:t>
      </w:r>
    </w:p>
    <w:p>
      <w:pPr>
        <w:pStyle w:val="FirstParagraph"/>
      </w:pPr>
      <w:r>
        <w:t xml:space="preserve">智能体调度；Skills；工具编排；多模型适配；MCP；SSE；上下文压缩；多用户工作区；额度治理；A2A</w:t>
      </w:r>
    </w:p>
    <w:bookmarkEnd w:id="21"/>
    <w:bookmarkStart w:id="22" w:name="引言"/>
    <w:p>
      <w:pPr>
        <w:pStyle w:val="Heading2"/>
      </w:pPr>
      <w:r>
        <w:t xml:space="preserve">1 引言</w:t>
      </w:r>
    </w:p>
    <w:p>
      <w:pPr>
        <w:pStyle w:val="FirstParagraph"/>
      </w:pPr>
      <w:r>
        <w:t xml:space="preserve">大模型在对话生成、规划推理与代码生成方面已具备强大能力，但单纯的模型生成难以覆盖真实业务中“需要外部能力、可验证结果、长链路协作”的需求。智能体系统通过工具调用将模型能力与外部世界连接，逐步形成“模型推理—工具执行—结果回填—再次推理”的闭环。然而，当工具来源多样（内置工具、MCP、技能包、知识库、自建工具等）且运行环境面向多用户并发时，传统“单一入口 + 简易工具表”的方案很难满足工程化要求。</w:t>
      </w:r>
    </w:p>
    <w:p>
      <w:pPr>
        <w:pStyle w:val="BodyText"/>
      </w:pPr>
      <w:r>
        <w:rPr/>
        <w:t>近年来 LLM 智能体研究与实践快速发展，综述工作系统梳理了智能体框架、应用与评测方法</w:t>
      </w:r>
      <w:r>
        <w:rPr>
          <w:vertAlign w:val="superscript"/>
        </w:rPr>
        <w:t>[1]</w:t>
      </w:r>
      <w:r>
        <w:rPr/>
        <w:t>；ReAct、Toolformer 等方法推动了“推理—行动”结合与工具学习能力</w:t>
      </w:r>
      <w:r>
        <w:rPr>
          <w:vertAlign w:val="superscript"/>
        </w:rPr>
        <w:t>[2]</w:t>
      </w:r>
      <w:r>
        <w:rPr>
          <w:vertAlign w:val="superscript"/>
        </w:rPr>
        <w:t>[3]</w:t>
      </w:r>
      <w:r>
        <w:rPr/>
        <w:t>；同时开源生态如 LangChain、AutoGPT 也加速了工程化落地</w:t>
      </w:r>
      <w:r>
        <w:rPr>
          <w:vertAlign w:val="superscript"/>
        </w:rPr>
        <w:t>[9]</w:t>
      </w:r>
      <w:r>
        <w:rPr>
          <w:vertAlign w:val="superscript"/>
        </w:rPr>
        <w:t>[10]</w:t>
      </w:r>
      <w:r>
        <w:rPr/>
        <w:t>。这些进展表明，智能体能力已从单模型生成转向“模型 + 工具 + 环境”的系统化协作。</w:t>
      </w:r>
    </w:p>
    <w:p>
      <w:pPr>
        <w:pStyle w:val="BodyText"/>
      </w:pPr>
      <w:r>
        <w:t xml:space="preserve">Wunder 的设计目标是构建一个“智能体调度平台”：对开发者而言一切是接口（API/配置/工具），对模型而言一切皆工具（可调用、可组合、可治理）。平台需要在多模型、工具治理、并发隔离、上下文压缩、监控评估与安全策略之间取得平衡，并能够长期稳定运行。本文将展示 Wunder 在这些维度的系统设计思路与具体实现。</w:t>
      </w:r>
    </w:p>
    <w:bookmarkEnd w:id="22"/>
    <w:bookmarkStart w:id="27" w:name="背景与挑战"/>
    <w:p>
      <w:pPr>
        <w:pStyle w:val="Heading2"/>
      </w:pPr>
      <w:r>
        <w:t xml:space="preserve">2 背景与挑战</w:t>
      </w:r>
    </w:p>
    <w:bookmarkStart w:id="23" w:name="工程化核心挑战"/>
    <w:p>
      <w:pPr>
        <w:pStyle w:val="Heading3"/>
      </w:pPr>
      <w:r>
        <w:t xml:space="preserve">2.1 工程化核心挑战</w:t>
      </w:r>
    </w:p>
    <w:p>
      <w:pPr>
        <w:pStyle w:val="FirstParagraph"/>
      </w:pPr>
      <w:r>
        <w:t xml:space="preserve">智能体平台的工程难点可以收敛为四类矛盾：工具协议的异构性、上下文预算的膨胀、并发隔离与数据安全、以及可观测与可运维之间的张力。为了避免把问题拆散成过多条目，本文将核心挑战归纳如下表。</w:t>
      </w:r>
    </w:p>
    <w:tbl>
      <w:tblPr>
        <w:tblStyle w:val="TableGrid"/>
        <w:tblW w:type="pct" w:w="5000"/>
        <w:jc w:val="left"/>
        <w:tblLayout w:type="fixed"/>
        <w:tblLook w:firstRow="1" w:lastRow="0" w:firstColumn="0" w:lastColumn="0" w:noHBand="0" w:noVBand="0" w:val="0020"/>
        <w:tblCellMar>
          <w:top w:w="56" w:type="dxa"/>
          <w:bottom w:w="56" w:type="dxa"/>
          <w:left w:w="113" w:type="dxa"/>
          <w:right w:w="113" w:type="dxa"/>
        </w:tblCellMar>
      </w:tblPr>
      <w:tblGrid>
        <w:gridCol w:w="2640"/>
        <w:gridCol w:w="2640"/>
        <w:gridCol w:w="2640"/>
      </w:tblGrid>
      <w:tr>
        <w:trPr>
          <w:tblHeader w:val="on"/>
        </w:trPr>
        <w:tc>
          <w:tcPr>
            <w:vAlign w:val="center"/>
          </w:tcPr>
          <w:p>
            <w:pPr>
              <w:pStyle w:val="Compact"/>
              <w:spacing w:before="0" w:after="0" w:lineRule="exact" w:line="578"/>
              <w:ind w:firstLine="0"/>
              <w:jc w:val="center"/>
            </w:pPr>
            <w:r>
              <w:rPr>
                <w:rFonts w:ascii="Times New Roman" w:hAnsi="Times New Roman" w:eastAsia="仿宋GB2312"/>
                <w:sz w:val="28"/>
              </w:rPr>
              <w:t xml:space="preserve">维度</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典型矛盾</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工程影响</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工具异构与协议割裂</w:t>
            </w:r>
          </w:p>
        </w:tc>
        <w:tc>
          <w:tcPr>
            <w:vAlign w:val="center"/>
          </w:tcPr>
          <w:p>
            <w:pPr>
              <w:pStyle w:val="Compact"/>
              <w:spacing w:before="0" w:after="0" w:lineRule="exact" w:line="578"/>
              <w:ind w:firstLine="0"/>
              <w:jc w:val="left"/>
            </w:pPr>
            <w:r>
              <w:rPr>
                <w:rFonts w:ascii="Times New Roman" w:hAnsi="Times New Roman" w:eastAsia="仿宋GB2312"/>
                <w:sz w:val="28"/>
              </w:rPr>
              <w:t xml:space="preserve">多协议并存 vs 统一调用</w:t>
            </w:r>
          </w:p>
        </w:tc>
        <w:tc>
          <w:tcPr>
            <w:vAlign w:val="center"/>
          </w:tcPr>
          <w:p>
            <w:pPr>
              <w:pStyle w:val="Compact"/>
              <w:spacing w:before="0" w:after="0" w:lineRule="exact" w:line="578"/>
              <w:ind w:firstLine="0"/>
              <w:jc w:val="left"/>
            </w:pPr>
            <w:r>
              <w:rPr>
                <w:rFonts w:ascii="Times New Roman" w:hAnsi="Times New Roman" w:eastAsia="仿宋GB2312"/>
                <w:sz w:val="28"/>
              </w:rPr>
              <w:t xml:space="preserve">调用不稳定、治理与审计困难</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上下文膨胀与成本</w:t>
            </w:r>
          </w:p>
        </w:tc>
        <w:tc>
          <w:tcPr>
            <w:vAlign w:val="center"/>
          </w:tcPr>
          <w:p>
            <w:pPr>
              <w:pStyle w:val="Compact"/>
              <w:spacing w:before="0" w:after="0" w:lineRule="exact" w:line="578"/>
              <w:ind w:firstLine="0"/>
              <w:jc w:val="left"/>
            </w:pPr>
            <w:r>
              <w:rPr>
                <w:rFonts w:ascii="Times New Roman" w:hAnsi="Times New Roman" w:eastAsia="仿宋GB2312"/>
                <w:sz w:val="28"/>
              </w:rPr>
              <w:t xml:space="preserve">连续性 vs 预算约束</w:t>
            </w:r>
          </w:p>
        </w:tc>
        <w:tc>
          <w:tcPr>
            <w:vAlign w:val="center"/>
          </w:tcPr>
          <w:p>
            <w:pPr>
              <w:pStyle w:val="Compact"/>
              <w:spacing w:before="0" w:after="0" w:lineRule="exact" w:line="578"/>
              <w:ind w:firstLine="0"/>
              <w:jc w:val="left"/>
            </w:pPr>
            <w:r>
              <w:rPr>
                <w:rFonts w:ascii="Times New Roman" w:hAnsi="Times New Roman" w:eastAsia="仿宋GB2312"/>
                <w:sz w:val="28"/>
              </w:rPr>
              <w:t xml:space="preserve">成本上升、延迟增大、需压缩</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并发与隔离</w:t>
            </w:r>
          </w:p>
        </w:tc>
        <w:tc>
          <w:tcPr>
            <w:vAlign w:val="center"/>
          </w:tcPr>
          <w:p>
            <w:pPr>
              <w:pStyle w:val="Compact"/>
              <w:spacing w:before="0" w:after="0" w:lineRule="exact" w:line="578"/>
              <w:ind w:firstLine="0"/>
              <w:jc w:val="left"/>
            </w:pPr>
            <w:r>
              <w:rPr>
                <w:rFonts w:ascii="Times New Roman" w:hAnsi="Times New Roman" w:eastAsia="仿宋GB2312"/>
                <w:sz w:val="28"/>
              </w:rPr>
              <w:t xml:space="preserve">多用户并行 vs 数据安全</w:t>
            </w:r>
          </w:p>
        </w:tc>
        <w:tc>
          <w:tcPr>
            <w:vAlign w:val="center"/>
          </w:tcPr>
          <w:p>
            <w:pPr>
              <w:pStyle w:val="Compact"/>
              <w:spacing w:before="0" w:after="0" w:lineRule="exact" w:line="578"/>
              <w:ind w:firstLine="0"/>
              <w:jc w:val="left"/>
            </w:pPr>
            <w:r>
              <w:rPr>
                <w:rFonts w:ascii="Times New Roman" w:hAnsi="Times New Roman" w:eastAsia="仿宋GB2312"/>
                <w:sz w:val="28"/>
              </w:rPr>
              <w:t xml:space="preserve">资源争用、跨用户污染风险</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可观测与可运维</w:t>
            </w:r>
          </w:p>
        </w:tc>
        <w:tc>
          <w:tcPr>
            <w:vAlign w:val="center"/>
          </w:tcPr>
          <w:p>
            <w:pPr>
              <w:pStyle w:val="Compact"/>
              <w:spacing w:before="0" w:after="0" w:lineRule="exact" w:line="578"/>
              <w:ind w:firstLine="0"/>
              <w:jc w:val="left"/>
            </w:pPr>
            <w:r>
              <w:rPr>
                <w:rFonts w:ascii="Times New Roman" w:hAnsi="Times New Roman" w:eastAsia="仿宋GB2312"/>
                <w:sz w:val="28"/>
              </w:rPr>
              <w:t xml:space="preserve">长链路复杂性 vs 可回放</w:t>
            </w:r>
          </w:p>
        </w:tc>
        <w:tc>
          <w:tcPr>
            <w:vAlign w:val="center"/>
          </w:tcPr>
          <w:p>
            <w:pPr>
              <w:pStyle w:val="Compact"/>
              <w:spacing w:before="0" w:after="0" w:lineRule="exact" w:line="578"/>
              <w:ind w:firstLine="0"/>
              <w:jc w:val="left"/>
            </w:pPr>
            <w:r>
              <w:rPr>
                <w:rFonts w:ascii="Times New Roman" w:hAnsi="Times New Roman" w:eastAsia="仿宋GB2312"/>
                <w:sz w:val="28"/>
              </w:rPr>
              <w:t xml:space="preserve">排障困难、评估不可追溯</w:t>
            </w:r>
          </w:p>
        </w:tc>
      </w:tr>
    </w:tbl>
    <w:p>
      <w:pPr>
        <w:pStyle w:val="BodyText"/>
      </w:pPr>
      <w:r>
        <w:t xml:space="preserve">这些矛盾共同指向“调度与治理”的系统性诉求：需要统一抽象、预算控制、并发隔离与事件化观测，才能支撑长期运行。</w:t>
      </w:r>
    </w:p>
    <w:bookmarkEnd w:id="23"/>
    <w:bookmarkStart w:id="24" w:name="产业与生态定位"/>
    <w:p>
      <w:pPr>
        <w:pStyle w:val="Heading3"/>
      </w:pPr>
      <w:r>
        <w:t xml:space="preserve">2.2 产业与生态定位</w:t>
      </w:r>
    </w:p>
    <w:p>
      <w:pPr>
        <w:pStyle w:val="FirstParagraph"/>
      </w:pPr>
      <w:r>
        <w:rPr/>
        <w:t>研究层面，综述工作总结了 LLM 智能体的构成与评测方法</w:t>
      </w:r>
      <w:r>
        <w:rPr>
          <w:vertAlign w:val="superscript"/>
        </w:rPr>
        <w:t>[1]</w:t>
      </w:r>
      <w:r>
        <w:rPr/>
        <w:t>；ReAct 与 Toolformer 体现了推理—行动结合与工具学习能力</w:t>
      </w:r>
      <w:r>
        <w:rPr>
          <w:vertAlign w:val="superscript"/>
        </w:rPr>
        <w:t>[2]</w:t>
      </w:r>
      <w:r>
        <w:rPr>
          <w:vertAlign w:val="superscript"/>
        </w:rPr>
        <w:t>[3]</w:t>
      </w:r>
      <w:r>
        <w:rPr/>
        <w:t>；Generative Agents 与 MemGPT 强调长期记忆与反思结构</w:t>
      </w:r>
      <w:r>
        <w:rPr>
          <w:vertAlign w:val="superscript"/>
        </w:rPr>
        <w:t>[4]</w:t>
      </w:r>
      <w:r>
        <w:rPr>
          <w:vertAlign w:val="superscript"/>
        </w:rPr>
        <w:t>[5]</w:t>
      </w:r>
      <w:r>
        <w:rPr/>
        <w:t>；ToolBench 与 AgentBench 揭示了复杂环境下的真实短板</w:t>
      </w:r>
      <w:r>
        <w:rPr>
          <w:vertAlign w:val="superscript"/>
        </w:rPr>
        <w:t>[6]</w:t>
      </w:r>
      <w:r>
        <w:rPr>
          <w:vertAlign w:val="superscript"/>
        </w:rPr>
        <w:t>[7]</w:t>
      </w:r>
      <w:r>
        <w:rPr/>
        <w:t>。产业实践中，AutoGPT 与 LangChain 等框架推进了端到端工具链与代理抽象</w:t>
      </w:r>
      <w:r>
        <w:rPr>
          <w:vertAlign w:val="superscript"/>
        </w:rPr>
        <w:t>[9]</w:t>
      </w:r>
      <w:r>
        <w:rPr>
          <w:vertAlign w:val="superscript"/>
        </w:rPr>
        <w:t>[10]</w:t>
      </w:r>
      <w:r>
        <w:rPr/>
        <w:t>。这些工作共同证明瓶颈已从“单模型推理”转向“系统工程治理”。</w:t>
      </w:r>
    </w:p>
    <w:p>
      <w:pPr>
        <w:pStyle w:val="BodyText"/>
      </w:pPr>
      <w:r>
        <w:t xml:space="preserve">产业生态可抽象为三层结构，见下表。应用层平台更强调快速交付与低门槛配置，框架层更强调协作与流程编排，而调度治理层强调跨工具、跨用户、跨长期任务的稳定运行。Wunder 的价值即在于为上层应用与框架提供稳定、可治理、可回放的运行基座。</w:t>
      </w:r>
    </w:p>
    <w:tbl>
      <w:tblPr>
        <w:tblStyle w:val="TableGrid"/>
        <w:tblW w:type="pct" w:w="5000"/>
        <w:jc w:val="left"/>
        <w:tblLayout w:type="fixed"/>
        <w:tblLook w:firstRow="1" w:lastRow="0" w:firstColumn="0" w:lastColumn="0" w:noHBand="0" w:noVBand="0" w:val="0020"/>
        <w:tblCellMar>
          <w:top w:w="56" w:type="dxa"/>
          <w:bottom w:w="56" w:type="dxa"/>
          <w:left w:w="113" w:type="dxa"/>
          <w:right w:w="113" w:type="dxa"/>
        </w:tblCellMar>
      </w:tblPr>
      <w:tblGrid>
        <w:gridCol w:w="1980"/>
        <w:gridCol w:w="1980"/>
        <w:gridCol w:w="1980"/>
        <w:gridCol w:w="1980"/>
      </w:tblGrid>
      <w:tr>
        <w:trPr>
          <w:tblHeader w:val="on"/>
        </w:trPr>
        <w:tc>
          <w:tcPr>
            <w:vAlign w:val="center"/>
          </w:tcPr>
          <w:p>
            <w:pPr>
              <w:pStyle w:val="Compact"/>
              <w:spacing w:before="0" w:after="0" w:lineRule="exact" w:line="578"/>
              <w:ind w:firstLine="0"/>
              <w:jc w:val="center"/>
            </w:pPr>
            <w:r>
              <w:rPr>
                <w:rFonts w:ascii="Times New Roman" w:hAnsi="Times New Roman" w:eastAsia="仿宋GB2312"/>
                <w:sz w:val="28"/>
              </w:rPr>
              <w:t xml:space="preserve">层级</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代表平台/框架</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关注重点</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典型不足</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应用层平台</w:t>
            </w:r>
          </w:p>
        </w:tc>
        <w:tc>
          <w:tcPr>
            <w:vAlign w:val="center"/>
          </w:tcPr>
          <w:p>
            <w:pPr>
              <w:pStyle w:val="Compact"/>
              <w:spacing w:before="0" w:after="0" w:lineRule="exact" w:line="578"/>
              <w:ind w:firstLine="0"/>
              <w:jc w:val="left"/>
            </w:pPr>
            <w:r>
              <w:rPr>
                <w:rFonts w:ascii="Times New Roman" w:hAnsi="Times New Roman" w:eastAsia="仿宋GB2312"/>
                <w:sz w:val="28"/>
              </w:rPr>
              <w:t>Dify、Coze</w:t>
            </w:r>
            <w:r>
              <w:rPr>
                <w:rFonts w:ascii="Times New Roman" w:hAnsi="Times New Roman" w:eastAsia="仿宋GB2312"/>
                <w:sz w:val="28"/>
                <w:vertAlign w:val="superscript"/>
              </w:rPr>
              <w:t>[14]</w:t>
            </w:r>
            <w:r>
              <w:rPr>
                <w:rFonts w:ascii="Times New Roman" w:hAnsi="Times New Roman" w:eastAsia="仿宋GB2312"/>
                <w:sz w:val="28"/>
                <w:vertAlign w:val="superscript"/>
              </w:rPr>
              <w:t>[18]</w:t>
            </w:r>
          </w:p>
        </w:tc>
        <w:tc>
          <w:tcPr>
            <w:vAlign w:val="center"/>
          </w:tcPr>
          <w:p>
            <w:pPr>
              <w:pStyle w:val="Compact"/>
              <w:spacing w:before="0" w:after="0" w:lineRule="exact" w:line="578"/>
              <w:ind w:firstLine="0"/>
              <w:jc w:val="left"/>
            </w:pPr>
            <w:r>
              <w:rPr>
                <w:rFonts w:ascii="Times New Roman" w:hAnsi="Times New Roman" w:eastAsia="仿宋GB2312"/>
                <w:sz w:val="28"/>
              </w:rPr>
              <w:t xml:space="preserve">可视化、快速上线、场景封装</w:t>
            </w:r>
          </w:p>
        </w:tc>
        <w:tc>
          <w:tcPr>
            <w:vAlign w:val="center"/>
          </w:tcPr>
          <w:p>
            <w:pPr>
              <w:pStyle w:val="Compact"/>
              <w:spacing w:before="0" w:after="0" w:lineRule="exact" w:line="578"/>
              <w:ind w:firstLine="0"/>
              <w:jc w:val="left"/>
            </w:pPr>
            <w:r>
              <w:rPr>
                <w:rFonts w:ascii="Times New Roman" w:hAnsi="Times New Roman" w:eastAsia="仿宋GB2312"/>
                <w:sz w:val="28"/>
              </w:rPr>
              <w:t xml:space="preserve">难以覆盖复杂治理与隔离</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框架层</w:t>
            </w:r>
          </w:p>
        </w:tc>
        <w:tc>
          <w:tcPr>
            <w:vAlign w:val="center"/>
          </w:tcPr>
          <w:p>
            <w:pPr>
              <w:pStyle w:val="Compact"/>
              <w:spacing w:before="0" w:after="0" w:lineRule="exact" w:line="578"/>
              <w:ind w:firstLine="0"/>
              <w:jc w:val="left"/>
            </w:pPr>
            <w:r>
              <w:rPr>
                <w:rFonts w:ascii="Times New Roman" w:hAnsi="Times New Roman" w:eastAsia="仿宋GB2312"/>
                <w:sz w:val="28"/>
              </w:rPr>
              <w:t>LangGraph、AutoGen、CrewAI</w:t>
            </w:r>
            <w:r>
              <w:rPr>
                <w:rFonts w:ascii="Times New Roman" w:hAnsi="Times New Roman" w:eastAsia="仿宋GB2312"/>
                <w:sz w:val="28"/>
                <w:vertAlign w:val="superscript"/>
              </w:rPr>
              <w:t>[15]</w:t>
            </w:r>
            <w:r>
              <w:rPr>
                <w:rFonts w:ascii="Times New Roman" w:hAnsi="Times New Roman" w:eastAsia="仿宋GB2312"/>
                <w:sz w:val="28"/>
                <w:vertAlign w:val="superscript"/>
              </w:rPr>
              <w:t>[16]</w:t>
            </w:r>
            <w:r>
              <w:rPr>
                <w:rFonts w:ascii="Times New Roman" w:hAnsi="Times New Roman" w:eastAsia="仿宋GB2312"/>
                <w:sz w:val="28"/>
                <w:vertAlign w:val="superscript"/>
              </w:rPr>
              <w:t>[17]</w:t>
            </w:r>
          </w:p>
        </w:tc>
        <w:tc>
          <w:tcPr>
            <w:vAlign w:val="center"/>
          </w:tcPr>
          <w:p>
            <w:pPr>
              <w:pStyle w:val="Compact"/>
              <w:spacing w:before="0" w:after="0" w:lineRule="exact" w:line="578"/>
              <w:ind w:firstLine="0"/>
              <w:jc w:val="left"/>
            </w:pPr>
            <w:r>
              <w:rPr>
                <w:rFonts w:ascii="Times New Roman" w:hAnsi="Times New Roman" w:eastAsia="仿宋GB2312"/>
                <w:sz w:val="28"/>
              </w:rPr>
              <w:t xml:space="preserve">协作与流程编排</w:t>
            </w:r>
          </w:p>
        </w:tc>
        <w:tc>
          <w:tcPr>
            <w:vAlign w:val="center"/>
          </w:tcPr>
          <w:p>
            <w:pPr>
              <w:pStyle w:val="Compact"/>
              <w:spacing w:before="0" w:after="0" w:lineRule="exact" w:line="578"/>
              <w:ind w:firstLine="0"/>
              <w:jc w:val="left"/>
            </w:pPr>
            <w:r>
              <w:rPr>
                <w:rFonts w:ascii="Times New Roman" w:hAnsi="Times New Roman" w:eastAsia="仿宋GB2312"/>
                <w:sz w:val="28"/>
              </w:rPr>
              <w:t xml:space="preserve">需自建治理与运维</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调度治理层</w:t>
            </w:r>
          </w:p>
        </w:tc>
        <w:tc>
          <w:tcPr>
            <w:vAlign w:val="center"/>
          </w:tcPr>
          <w:p>
            <w:pPr>
              <w:pStyle w:val="Compact"/>
              <w:spacing w:before="0" w:after="0" w:lineRule="exact" w:line="578"/>
              <w:ind w:firstLine="0"/>
              <w:jc w:val="left"/>
            </w:pPr>
            <w:r>
              <w:rPr>
                <w:rFonts w:ascii="Times New Roman" w:hAnsi="Times New Roman" w:eastAsia="仿宋GB2312"/>
                <w:sz w:val="28"/>
              </w:rPr>
              <w:t xml:space="preserve">Wunder</w:t>
            </w:r>
          </w:p>
        </w:tc>
        <w:tc>
          <w:tcPr>
            <w:vAlign w:val="center"/>
          </w:tcPr>
          <w:p>
            <w:pPr>
              <w:pStyle w:val="Compact"/>
              <w:spacing w:before="0" w:after="0" w:lineRule="exact" w:line="578"/>
              <w:ind w:firstLine="0"/>
              <w:jc w:val="left"/>
            </w:pPr>
            <w:r>
              <w:rPr>
                <w:rFonts w:ascii="Times New Roman" w:hAnsi="Times New Roman" w:eastAsia="仿宋GB2312"/>
                <w:sz w:val="28"/>
              </w:rPr>
              <w:t xml:space="preserve">统一入口、治理、可观测、预算与隔离</w:t>
            </w:r>
          </w:p>
        </w:tc>
        <w:tc>
          <w:tcPr>
            <w:vAlign w:val="center"/>
          </w:tcPr>
          <w:p>
            <w:pPr>
              <w:pStyle w:val="Compact"/>
              <w:spacing w:before="0" w:after="0" w:lineRule="exact" w:line="578"/>
              <w:ind w:firstLine="0"/>
              <w:jc w:val="left"/>
            </w:pPr>
            <w:r>
              <w:rPr>
                <w:rFonts w:ascii="Times New Roman" w:hAnsi="Times New Roman" w:eastAsia="仿宋GB2312"/>
                <w:sz w:val="28"/>
              </w:rPr>
              <w:t xml:space="preserve">需与上层应用协同集成</w:t>
            </w:r>
          </w:p>
        </w:tc>
      </w:tr>
    </w:tbl>
    <w:bookmarkEnd w:id="24"/>
    <w:bookmarkStart w:id="25" w:name="前沿研究趋势与系统启示"/>
    <w:p>
      <w:pPr>
        <w:pStyle w:val="Heading3"/>
      </w:pPr>
      <w:r>
        <w:t xml:space="preserve">2.3 前沿研究趋势与系统启示</w:t>
      </w:r>
    </w:p>
    <w:p>
      <w:pPr>
        <w:pStyle w:val="FirstParagraph"/>
      </w:pPr>
      <w:r>
        <w:rPr/>
        <w:t>近期研究强调“推理控制”与“反馈机制”的重要性。Tree of Thoughts 通过探索多条思路并自评选择提升规划能力</w:t>
      </w:r>
      <w:r>
        <w:rPr>
          <w:vertAlign w:val="superscript"/>
        </w:rPr>
        <w:t>[19]</w:t>
      </w:r>
      <w:r>
        <w:rPr/>
        <w:t>，提示调度系统应提供可插拔的搜索与回滚控制点；Reflexion 将反馈转化为记忆文本，使智能体在多次试验中持续改进而无需更新权重</w:t>
      </w:r>
      <w:r>
        <w:rPr>
          <w:vertAlign w:val="superscript"/>
        </w:rPr>
        <w:t>[20]</w:t>
      </w:r>
      <w:r>
        <w:rPr/>
        <w:t>，说明记忆应成为可审计的反馈载体。</w:t>
      </w:r>
    </w:p>
    <w:p>
      <w:pPr>
        <w:pStyle w:val="BodyText"/>
      </w:pPr>
      <w:r>
        <w:rPr/>
        <w:t>开放式学习方向凸显“技能库”与“流程化协作”的价值。Voyager 借助自动课程与持续增长技能库实现开放式探索</w:t>
      </w:r>
      <w:r>
        <w:rPr>
          <w:vertAlign w:val="superscript"/>
        </w:rPr>
        <w:t>[21]</w:t>
      </w:r>
      <w:r>
        <w:rPr/>
        <w:t>，MetaGPT 将 SOP 流程编码为多角色协作以降低错误传播</w:t>
      </w:r>
      <w:r>
        <w:rPr>
          <w:vertAlign w:val="superscript"/>
        </w:rPr>
        <w:t>[22]</w:t>
      </w:r>
      <w:r>
        <w:rPr/>
        <w:t>。这些结果表明可复用流程与角色边界是稳定性的关键基础。</w:t>
      </w:r>
    </w:p>
    <w:p>
      <w:pPr>
        <w:pStyle w:val="BodyText"/>
      </w:pPr>
      <w:r>
        <w:rPr/>
        <w:t>评测趋势同样驱动系统化建设。WebArena 在真实网站环境中评测长链路任务，报告 GPT-4 代理成功率 14.41% 而人类为 78.24%</w:t>
      </w:r>
      <w:r>
        <w:rPr>
          <w:vertAlign w:val="superscript"/>
        </w:rPr>
        <w:t>[23]</w:t>
      </w:r>
      <w:r>
        <w:rPr/>
        <w:t>；SWE-bench 面向真实开源项目问题，报告最佳模型仅解决 1.96%</w:t>
      </w:r>
      <w:r>
        <w:rPr>
          <w:vertAlign w:val="superscript"/>
        </w:rPr>
        <w:t>[24]</w:t>
      </w:r>
      <w:r>
        <w:rPr/>
        <w:t>。这说明“真实环境 + 长链路 + 多工具”的挑战被长期低估，平台必须提供可回放、可治理的运行基座才能持续优化。Wunder 的事件流、长期记忆与调度治理正是针对这些趋势的系统回应。</w:t>
      </w:r>
    </w:p>
    <w:bookmarkEnd w:id="25"/>
    <w:bookmarkStart w:id="26" w:name="多模态与桌面智能体趋势"/>
    <w:p>
      <w:pPr>
        <w:pStyle w:val="Heading3"/>
      </w:pPr>
      <w:r>
        <w:t xml:space="preserve">2.4 多模态与桌面智能体趋势</w:t>
      </w:r>
    </w:p>
    <w:p>
      <w:pPr>
        <w:pStyle w:val="FirstParagraph"/>
      </w:pPr>
      <w:r>
        <w:rPr/>
        <w:t>随着智能体从“文本协作”走向“界面操作”，研究开始强调真实计算机环境与多模态感知。OSWorld 提供跨操作系统的真实计算机环境与 369 个任务，并报告人类成功率 72.36% 而最佳模型仅 12.24%，揭示 GUI grounding 与操作知识仍是瓶颈</w:t>
      </w:r>
      <w:r>
        <w:rPr>
          <w:vertAlign w:val="superscript"/>
        </w:rPr>
        <w:t>[25]</w:t>
      </w:r>
      <w:r>
        <w:rPr/>
        <w:t>。这表明系统需要稳定、可复现的执行环境以及对任务状态的精确记录。</w:t>
      </w:r>
    </w:p>
    <w:p>
      <w:pPr>
        <w:pStyle w:val="BodyText"/>
      </w:pPr>
      <w:r>
        <w:rPr/>
        <w:t>面向网页场景，VisualWebArena 强调视觉信息对网页任务的重要性，揭示仅依赖文本的智能体难以完成真实视觉任务</w:t>
      </w:r>
      <w:r>
        <w:rPr>
          <w:vertAlign w:val="superscript"/>
        </w:rPr>
        <w:t>[26]</w:t>
      </w:r>
      <w:r>
        <w:rPr/>
        <w:t>。在感知侧，ScreenAI 通过屏幕元素标注与生成式数据构建提升界面理解能力</w:t>
      </w:r>
      <w:r>
        <w:rPr>
          <w:vertAlign w:val="superscript"/>
        </w:rPr>
        <w:t>[27]</w:t>
      </w:r>
      <w:r>
        <w:rPr/>
        <w:t>，提示“UI 语义层”已成为多模态智能体的关键前置条件。</w:t>
      </w:r>
    </w:p>
    <w:p>
      <w:pPr>
        <w:pStyle w:val="BodyText"/>
      </w:pPr>
      <w:r>
        <w:t xml:space="preserve">Wunder 的价值在于把这些趋势工程化：统一工具抽象能够将 UI 操作、Web 行为与外部服务纳入同一治理体系；工作区与沙盒为桌面类任务提供隔离与可回放环境；事件流与评估链路支持在多模态任务中追踪每一步的状态与证据，使前沿模型的进步能够被系统性吸收并长期运行。</w:t>
      </w:r>
    </w:p>
    <w:bookmarkEnd w:id="26"/>
    <w:bookmarkEnd w:id="27"/>
    <w:bookmarkStart w:id="31" w:name="需求分析与设计目标"/>
    <w:p>
      <w:pPr>
        <w:pStyle w:val="Heading2"/>
      </w:pPr>
      <w:r>
        <w:t xml:space="preserve">3 需求分析与设计目标</w:t>
      </w:r>
    </w:p>
    <w:bookmarkStart w:id="28" w:name="功能需求"/>
    <w:p>
      <w:pPr>
        <w:pStyle w:val="Heading3"/>
      </w:pPr>
      <w:r>
        <w:t xml:space="preserve">3.1 功能需求</w:t>
      </w:r>
    </w:p>
    <w:p>
      <w:pPr>
        <w:pStyle w:val="FirstParagraph"/>
      </w:pPr>
      <w:r>
        <w:t xml:space="preserve">平台的功能需求不是简单的功能清单，而是对“如何协同模型与工具”的工作方式进行约束。统一入口与流式交互是第一层要求：/wunder 承担稳定的请求面，使前端与外部系统不必理解内部多模型与多工具的差异；SSE 流式把“思考—行动—反馈”的中间过程可视化，让用户能在延迟较长时仍获得进度感，同时也为监控与回放提供天然事件切片。</w:t>
      </w:r>
    </w:p>
    <w:p>
      <w:pPr>
        <w:pStyle w:val="BodyText"/>
      </w:pPr>
      <w:r>
        <w:t xml:space="preserve">第二层要求是多工具统一编排。平台允许内置工具、MCP、Skills、知识库与用户自建工具共存，但调用行为必须可被治理和解释，因此引入统一的工具规格与可选启用机制，通过清单控制启用范围，使“工具是否可用”成为显式策略，而非隐含依赖。这样可以在不同任务场景中快速收敛工具集合，降低模型误用与上下文冗余。</w:t>
      </w:r>
    </w:p>
    <w:p>
      <w:pPr>
        <w:pStyle w:val="BodyText"/>
      </w:pPr>
      <w:r>
        <w:t xml:space="preserve">第三层要求是成本与调用预算治理。注册用户按访问级别分配每日模型请求额度（A=10000/B=1000/C=100），每天 0 点重置；额度按“每次模型调用”消耗，同一请求若多轮调用会多次计入，超额即返回并提示，虚拟 user_id 不受额度限制。管理员可在用户管理中调整每日额度，前后端统一展示剩余额度与消耗明细，便于成本可控与协作透明。</w:t>
      </w:r>
    </w:p>
    <w:p>
      <w:pPr>
        <w:pStyle w:val="BodyText"/>
      </w:pPr>
      <w:r>
        <w:t xml:space="preserve">第四层要求是多用户隔离、跨智能体协作与长期演进能力。工作区隔离保证并发场景下的数据安全与资产沉淀；A2A 接口提供跨系统互操作的稳定入口；监控与评估机制则把运行质量从“感觉”变为“可测量”，与长期记忆和上下文压缩配合，维持长链路对话的连续性与经济性。</w:t>
      </w:r>
    </w:p>
    <w:bookmarkEnd w:id="28"/>
    <w:bookmarkStart w:id="29" w:name="非功能需求"/>
    <w:p>
      <w:pPr>
        <w:pStyle w:val="Heading3"/>
      </w:pPr>
      <w:r>
        <w:t xml:space="preserve">3.2 非功能需求</w:t>
      </w:r>
    </w:p>
    <w:p>
      <w:pPr>
        <w:pStyle w:val="FirstParagraph"/>
      </w:pPr>
      <w:r>
        <w:t xml:space="preserve">非功能需求决定平台能否长期稳定运行。并发与可用性方面，平台需要在高峰负载下保持可预测行为，因此采用“同一用户互斥 + 全局并发上限”的双重约束，并确保 SSE 断开不等同于任务失败，降低网络波动对完成率的影响。</w:t>
      </w:r>
    </w:p>
    <w:p>
      <w:pPr>
        <w:pStyle w:val="BodyText"/>
      </w:pPr>
      <w:r>
        <w:t xml:space="preserve">可观测性与安全性并不是附加项，而是调度系统的内建能力。通过事件流、系统快照与工具调用统计，运行过程能够被追踪、回放与审计；在安全侧则以权限白名单、路径隔离与沙盒运行形成分层防护，避免工具能力外溢。</w:t>
      </w:r>
    </w:p>
    <w:p>
      <w:pPr>
        <w:pStyle w:val="BodyText"/>
      </w:pPr>
      <w:r>
        <w:t xml:space="preserve">可维护性与性能面向长期演进。模块边界清晰、配置可覆盖让系统能够在不破坏主流程的前提下持续扩展；缓存与资源治理让平台在多年运行中仍保持低延迟与可控成本，这也是“十年以上稳定运行”目标的工程化落点。</w:t>
      </w:r>
    </w:p>
    <w:bookmarkEnd w:id="29"/>
    <w:bookmarkStart w:id="30" w:name="设计原则"/>
    <w:p>
      <w:pPr>
        <w:pStyle w:val="Heading3"/>
      </w:pPr>
      <w:r>
        <w:t xml:space="preserve">3.3 设计原则</w:t>
      </w:r>
    </w:p>
    <w:p>
      <w:pPr>
        <w:pStyle w:val="FirstParagraph"/>
      </w:pPr>
      <w:r>
        <w:t xml:space="preserve">设计原则强调“接口统一、可组合、可治理、稳健高效”的平衡。统一接口让模型与开发者面对的是稳定契约，避免不同工具或模型导致的行为分裂；可组合性保证工具与技能可以像积木一样构建流程，而不是在每次需求变化时重写逻辑。可治理性强调可追踪、可审计、可禁用，使平台在规模化后仍具备管理能力。高效与稳健意味着对上下文、并发与 IO 的约束不只是优化手段，而是保证系统长期可信赖的基础。</w:t>
      </w:r>
    </w:p>
    <w:bookmarkEnd w:id="30"/>
    <w:bookmarkEnd w:id="31"/>
    <w:bookmarkStart w:id="38" w:name="总体架构设计"/>
    <w:p>
      <w:pPr>
        <w:pStyle w:val="Heading2"/>
      </w:pPr>
      <w:r>
        <w:t xml:space="preserve">4 总体架构设计</w:t>
      </w:r>
    </w:p>
    <w:bookmarkStart w:id="35" w:name="架构概览"/>
    <w:p>
      <w:pPr>
        <w:pStyle w:val="Heading3"/>
      </w:pPr>
      <w:r>
        <w:t xml:space="preserve">4.1 架构概览</w:t>
      </w:r>
    </w:p>
    <w:p>
      <w:pPr>
        <w:pStyle w:val="FirstParagraph"/>
      </w:pPr>
      <w:r>
        <w:t xml:space="preserve">系统总体架构如下图所示，核心分为 API 层、调度引擎、Prompt Builder、LLM 适配、工具执行层、监控与存储等组件。</w:t>
      </w:r>
    </w:p>
    <w:p>
      <w:pPr>
        <w:pStyle w:val="CaptionedFigure"/>
        <w:spacing w:lineRule="auto" w:line="240" w:before="120" w:after="120"/>
        <w:ind w:firstLine="0"/>
        <w:jc w:val="center"/>
      </w:pPr>
      <w:r>
        <w:drawing>
          <wp:inline>
            <wp:extent cx="5613400" cy="2226744"/>
            <wp:effectExtent b="0" l="0" r="0" t="0"/>
            <wp:docPr descr="系统总体架构" title="" id="33" name="Picture"/>
            <a:graphic>
              <a:graphicData uri="http://schemas.openxmlformats.org/drawingml/2006/picture">
                <pic:pic>
                  <pic:nvPicPr>
                    <pic:cNvPr descr="../../docs/diagrams/system-intro/01-system-components.png" id="34" name="Picture"/>
                    <pic:cNvPicPr>
                      <a:picLocks noChangeArrowheads="1" noChangeAspect="1"/>
                    </pic:cNvPicPr>
                  </pic:nvPicPr>
                  <pic:blipFill>
                    <a:blip r:embed="rId32"/>
                    <a:stretch>
                      <a:fillRect/>
                    </a:stretch>
                  </pic:blipFill>
                  <pic:spPr bwMode="auto">
                    <a:xfrm>
                      <a:off x="0" y="0"/>
                      <a:ext cx="5613400" cy="2226744"/>
                    </a:xfrm>
                    <a:prstGeom prst="rect">
                      <a:avLst/>
                    </a:prstGeom>
                    <a:noFill/>
                    <a:ln w="9525">
                      <a:noFill/>
                      <a:headEnd/>
                      <a:tailEnd/>
                    </a:ln>
                  </pic:spPr>
                </pic:pic>
              </a:graphicData>
            </a:graphic>
          </wp:inline>
        </w:drawing>
      </w:r>
    </w:p>
    <w:p>
      <w:pPr>
        <w:pStyle w:val="ImageCaption"/>
      </w:pPr>
      <w:r>
        <w:t xml:space="preserve">系统总体架构</w:t>
      </w:r>
    </w:p>
    <w:bookmarkEnd w:id="35"/>
    <w:bookmarkStart w:id="36" w:name="模块职责划分概念层"/>
    <w:p>
      <w:pPr>
        <w:pStyle w:val="Heading3"/>
      </w:pPr>
      <w:r>
        <w:t xml:space="preserve">4.2 模块职责划分（概念层）</w:t>
      </w:r>
    </w:p>
    <w:p>
      <w:pPr>
        <w:pStyle w:val="FirstParagraph"/>
      </w:pPr>
      <w:r>
        <w:t xml:space="preserve">模块划分强调边界清晰与职责收敛。API 层聚焦“入口统一与协议稳定”，将鉴权、限流与流式输出封装在统一路由中；调度引擎聚焦会话生命周期与多轮推理—工具执行闭环，是系统的“决策中枢”。工具执行层是能力边界，统一封装内置工具与外部工具的调用过程，以减少模型感知的差异。Prompt Builder 承担“认知接口”的角色，将工具规格、技能说明与工作区摘要合成为可被模型理解的上下文，同时通过缓存降低重复构建的成本。监控与存储层保证事件、日志、记忆与评估结果可追踪可回放；工作区层提供文件与资产的隔离与长期沉淀，使多用户环境下的数据互不污染。</w:t>
      </w:r>
    </w:p>
    <w:bookmarkEnd w:id="36"/>
    <w:bookmarkStart w:id="37" w:name="运行时边界与依赖"/>
    <w:p>
      <w:pPr>
        <w:pStyle w:val="Heading3"/>
      </w:pPr>
      <w:r>
        <w:t xml:space="preserve">4.3 运行时边界与依赖</w:t>
      </w:r>
    </w:p>
    <w:p>
      <w:pPr>
        <w:pStyle w:val="FirstParagraph"/>
      </w:pPr>
      <w:r>
        <w:t xml:space="preserve">平台依赖 LLM 服务端、MCP 服务端、共享沙盒服务与数据库。配置采取“基础配置 + 覆盖配置”分层，环境变量用于覆盖关键参数（如服务地址、端口、API key、数据库连接串）。在容器化部署中建议使用独立数据库与共享沙盒服务，以降低主服务负担并提升安全性。</w:t>
      </w:r>
    </w:p>
    <w:bookmarkEnd w:id="37"/>
    <w:bookmarkEnd w:id="38"/>
    <w:bookmarkStart w:id="56" w:name="核心流程与接口设计"/>
    <w:p>
      <w:pPr>
        <w:pStyle w:val="Heading2"/>
      </w:pPr>
      <w:r>
        <w:t xml:space="preserve">5 核心流程与接口设计</w:t>
      </w:r>
    </w:p>
    <w:bookmarkStart w:id="42" w:name="请求-响应主流程"/>
    <w:p>
      <w:pPr>
        <w:pStyle w:val="Heading3"/>
      </w:pPr>
      <w:r>
        <w:t xml:space="preserve">5.1 请求-响应主流程</w:t>
      </w:r>
    </w:p>
    <w:p>
      <w:pPr>
        <w:pStyle w:val="FirstParagraph"/>
      </w:pPr>
      <w:r>
        <w:t xml:space="preserve">平台主流程体现“输入—调度—工具—回答”的迭代式闭环，核心是把模型生成与工具执行拆分为可观察、可回放的事件序列。</w:t>
      </w:r>
    </w:p>
    <w:p>
      <w:pPr>
        <w:pStyle w:val="CaptionedFigure"/>
        <w:spacing w:lineRule="auto" w:line="240" w:before="120" w:after="120"/>
        <w:ind w:firstLine="0"/>
        <w:jc w:val="center"/>
      </w:pPr>
      <w:r>
        <w:drawing>
          <wp:inline>
            <wp:extent cx="5613400" cy="3945131"/>
            <wp:effectExtent b="0" l="0" r="0" t="0"/>
            <wp:docPr descr="请求-响应主流程" title="" id="40" name="Picture"/>
            <a:graphic>
              <a:graphicData uri="http://schemas.openxmlformats.org/drawingml/2006/picture">
                <pic:pic>
                  <pic:nvPicPr>
                    <pic:cNvPr descr="../../docs/diagrams/system-intro/02-request-flow.png" id="41" name="Picture"/>
                    <pic:cNvPicPr>
                      <a:picLocks noChangeArrowheads="1" noChangeAspect="1"/>
                    </pic:cNvPicPr>
                  </pic:nvPicPr>
                  <pic:blipFill>
                    <a:blip r:embed="rId39"/>
                    <a:stretch>
                      <a:fillRect/>
                    </a:stretch>
                  </pic:blipFill>
                  <pic:spPr bwMode="auto">
                    <a:xfrm>
                      <a:off x="0" y="0"/>
                      <a:ext cx="5613400" cy="3945131"/>
                    </a:xfrm>
                    <a:prstGeom prst="rect">
                      <a:avLst/>
                    </a:prstGeom>
                    <a:noFill/>
                    <a:ln w="9525">
                      <a:noFill/>
                      <a:headEnd/>
                      <a:tailEnd/>
                    </a:ln>
                  </pic:spPr>
                </pic:pic>
              </a:graphicData>
            </a:graphic>
          </wp:inline>
        </w:drawing>
      </w:r>
    </w:p>
    <w:p>
      <w:pPr>
        <w:pStyle w:val="ImageCaption"/>
      </w:pPr>
      <w:r>
        <w:t xml:space="preserve">请求-响应主流程</w:t>
      </w:r>
    </w:p>
    <w:p>
      <w:pPr>
        <w:pStyle w:val="BodyText"/>
      </w:pPr>
      <w:r>
        <w:t xml:space="preserve">当请求进入系统后，平台首先建立会话上下文并完成会话级别的互斥与监控注册，确保并发环境下的隔离与可追踪性。随后由 Prompt Builder 将当前问题、历史对话、工具清单与用户工作区摘要整合为模型可理解的上下文，这一步不仅影响生成质量，也决定了后续工具选择的稳定性。</w:t>
      </w:r>
    </w:p>
    <w:p>
      <w:pPr>
        <w:pStyle w:val="BodyText"/>
      </w:pPr>
      <w:r>
        <w:t xml:space="preserve">在触发模型调用前，平台会对注册用户进行额度校验并扣减，超额时立即返回 429 并提示额度耗尽；虚拟 user_id 不受额度限制。额度按“每次模型调用”计入，同一请求若多轮推理会多次扣减，从而把成本控制前置到调度链路中。</w:t>
      </w:r>
    </w:p>
    <w:p>
      <w:pPr>
        <w:pStyle w:val="BodyText"/>
      </w:pPr>
      <w:r>
        <w:t xml:space="preserve">模型输出被视为“可执行意图”。当输出包含工具调用时，调度引擎将其解析为明确的执行计划，完成工具执行与结果回填，再进入下一轮推理；当输出为直接回答时，流程收敛并释放会话锁。通过这种轮次驱动的结构，平台在面对复杂任务时仍能保持可解释性与收敛性。</w:t>
      </w:r>
    </w:p>
    <w:p>
      <w:pPr>
        <w:pStyle w:val="BodyText"/>
      </w:pPr>
      <w:r>
        <w:t xml:space="preserve">流式输出是该流程的关键组成。SSE 事件将中间步骤、工具调用与最终答案统一映射为事件流，使前端能够展示进度与细节，同时也为日志与回放提供天然切片，从而实现“可见的推理过程”与“可审计的执行链路”。</w:t>
      </w:r>
    </w:p>
    <w:p>
      <w:pPr>
        <w:pStyle w:val="BodyText"/>
      </w:pPr>
      <w:r>
        <w:t xml:space="preserve">这一流程设计的关键在于“决策与执行分离”。模型负责生成意图，系统负责执行与回填，使每一轮都有明确输入与输出，从而把不确定性限制在可追踪边界内。工具失败或重试不会污染对话语义，回放与审计也能基于事件序列复原真实执行链路。</w:t>
      </w:r>
    </w:p>
    <w:p>
      <w:pPr>
        <w:pStyle w:val="BodyText"/>
      </w:pPr>
      <w:r>
        <w:t xml:space="preserve">同时，事件流被视为可观察的“事实记录”，前端展示与运维回放共享同一事件语义，避免“可视化过程”和“真实执行过程”出现偏差。对于研究与评测场景，这种结构化流程提供了稳定对象，能够支撑更精细的错误归因与流程优化。</w:t>
      </w:r>
    </w:p>
    <w:bookmarkEnd w:id="42"/>
    <w:bookmarkStart w:id="46" w:name="工具管理与注入流程"/>
    <w:p>
      <w:pPr>
        <w:pStyle w:val="Heading3"/>
      </w:pPr>
      <w:r>
        <w:t xml:space="preserve">5.2 工具管理与注入流程</w:t>
      </w:r>
    </w:p>
    <w:p>
      <w:pPr>
        <w:pStyle w:val="FirstParagraph"/>
      </w:pPr>
      <w:r>
        <w:t xml:space="preserve">工具管理流程体现“配置驱动的治理”思路，强调工具清单在进入模型之前完成筛选与规范化。</w:t>
      </w:r>
    </w:p>
    <w:p>
      <w:pPr>
        <w:pStyle w:val="CaptionedFigure"/>
        <w:spacing w:lineRule="auto" w:line="240" w:before="120" w:after="120"/>
        <w:ind w:firstLine="0"/>
        <w:jc w:val="center"/>
      </w:pPr>
      <w:r>
        <w:drawing>
          <wp:inline>
            <wp:extent cx="5613400" cy="587115"/>
            <wp:effectExtent b="0" l="0" r="0" t="0"/>
            <wp:docPr descr="工具管理与注入流程" title="" id="44" name="Picture"/>
            <a:graphic>
              <a:graphicData uri="http://schemas.openxmlformats.org/drawingml/2006/picture">
                <pic:pic>
                  <pic:nvPicPr>
                    <pic:cNvPr descr="../../docs/diagrams/system-intro/03-tool-management-flow.png" id="45" name="Picture"/>
                    <pic:cNvPicPr>
                      <a:picLocks noChangeArrowheads="1" noChangeAspect="1"/>
                    </pic:cNvPicPr>
                  </pic:nvPicPr>
                  <pic:blipFill>
                    <a:blip r:embed="rId43"/>
                    <a:stretch>
                      <a:fillRect/>
                    </a:stretch>
                  </pic:blipFill>
                  <pic:spPr bwMode="auto">
                    <a:xfrm>
                      <a:off x="0" y="0"/>
                      <a:ext cx="5613400" cy="587115"/>
                    </a:xfrm>
                    <a:prstGeom prst="rect">
                      <a:avLst/>
                    </a:prstGeom>
                    <a:noFill/>
                    <a:ln w="9525">
                      <a:noFill/>
                      <a:headEnd/>
                      <a:tailEnd/>
                    </a:ln>
                  </pic:spPr>
                </pic:pic>
              </a:graphicData>
            </a:graphic>
          </wp:inline>
        </w:drawing>
      </w:r>
    </w:p>
    <w:p>
      <w:pPr>
        <w:pStyle w:val="ImageCaption"/>
      </w:pPr>
      <w:r>
        <w:t xml:space="preserve">工具管理与注入流程</w:t>
      </w:r>
    </w:p>
    <w:p>
      <w:pPr>
        <w:pStyle w:val="BodyText"/>
      </w:pPr>
      <w:r>
        <w:t xml:space="preserve">配置入口不仅定义工具来源，更定义工具的可用范围与权限边界。平台通过统一的工具规格与版本化缓存，将异构工具转化为可治理的清单，再由调度引擎根据任务场景选择合适的工具集合注入提示词或请求体。这样做的目的，是让“可用工具”成为显式策略，避免模型在不适合的场景调用高风险或高成本工具。</w:t>
      </w:r>
    </w:p>
    <w:p>
      <w:pPr>
        <w:pStyle w:val="BodyText"/>
      </w:pPr>
      <w:r>
        <w:t xml:space="preserve">工具注入同时承担上下文预算控制的责任。通过在注入前裁剪、去重与合并描述，系统避免工具规格占用过多上下文，从而把预算留给真正影响回答质量的信息。这种流程使工具治理从“工具可用”进一步扩展到“工具可用且可控”。</w:t>
      </w:r>
    </w:p>
    <w:bookmarkEnd w:id="46"/>
    <w:bookmarkStart w:id="50" w:name="会话状态机"/>
    <w:p>
      <w:pPr>
        <w:pStyle w:val="Heading3"/>
      </w:pPr>
      <w:r>
        <w:t xml:space="preserve">5.3 会话状态机</w:t>
      </w:r>
    </w:p>
    <w:p>
      <w:pPr>
        <w:pStyle w:val="FirstParagraph"/>
      </w:pPr>
      <w:r>
        <w:t xml:space="preserve">会话状态机是平台运行的秩序约束，目的是让长链路对话在各种异常情况下仍具备清晰语义。</w:t>
      </w:r>
    </w:p>
    <w:p>
      <w:pPr>
        <w:pStyle w:val="CaptionedFigure"/>
        <w:spacing w:lineRule="auto" w:line="240" w:before="120" w:after="120"/>
        <w:ind w:firstLine="0"/>
        <w:jc w:val="center"/>
      </w:pPr>
      <w:r>
        <w:drawing>
          <wp:inline>
            <wp:extent cx="5613400" cy="6141720"/>
            <wp:effectExtent b="0" l="0" r="0" t="0"/>
            <wp:docPr descr="会话状态机" title="" id="48" name="Picture"/>
            <a:graphic>
              <a:graphicData uri="http://schemas.openxmlformats.org/drawingml/2006/picture">
                <pic:pic>
                  <pic:nvPicPr>
                    <pic:cNvPr descr="../../docs/diagrams/system-intro/04-session-state.png" id="49" name="Picture"/>
                    <pic:cNvPicPr>
                      <a:picLocks noChangeArrowheads="1" noChangeAspect="1"/>
                    </pic:cNvPicPr>
                  </pic:nvPicPr>
                  <pic:blipFill>
                    <a:blip r:embed="rId47"/>
                    <a:stretch>
                      <a:fillRect/>
                    </a:stretch>
                  </pic:blipFill>
                  <pic:spPr bwMode="auto">
                    <a:xfrm>
                      <a:off x="0" y="0"/>
                      <a:ext cx="5613400" cy="6141720"/>
                    </a:xfrm>
                    <a:prstGeom prst="rect">
                      <a:avLst/>
                    </a:prstGeom>
                    <a:noFill/>
                    <a:ln w="9525">
                      <a:noFill/>
                      <a:headEnd/>
                      <a:tailEnd/>
                    </a:ln>
                  </pic:spPr>
                </pic:pic>
              </a:graphicData>
            </a:graphic>
          </wp:inline>
        </w:drawing>
      </w:r>
    </w:p>
    <w:p>
      <w:pPr>
        <w:pStyle w:val="ImageCaption"/>
      </w:pPr>
      <w:r>
        <w:t xml:space="preserve">会话状态机</w:t>
      </w:r>
    </w:p>
    <w:p>
      <w:pPr>
        <w:pStyle w:val="BodyText"/>
      </w:pPr>
      <w:r>
        <w:t xml:space="preserve">状态机刻意保持简洁：running 表示正常调度，finished 表示结果可回收，error 表示异常终止，而 cancelling 作为中间态避免了“直接中断”导致的资源泄漏与状态不一致。这样的设计使得取消、超时、断线等情况都能被统一收敛为可识别状态，从而便于运维与审计。</w:t>
      </w:r>
    </w:p>
    <w:p>
      <w:pPr>
        <w:pStyle w:val="BodyText"/>
      </w:pPr>
      <w:r>
        <w:t xml:space="preserve">状态机同时是监控与回放的锚点。事件流与日志可以围绕状态变化进行聚合，帮助系统快速定位“在哪个阶段发生了问题”，避免在复杂的多轮调度中迷失问题根因。</w:t>
      </w:r>
    </w:p>
    <w:bookmarkEnd w:id="50"/>
    <w:bookmarkStart w:id="51" w:name="主要接口族设计"/>
    <w:p>
      <w:pPr>
        <w:pStyle w:val="Heading3"/>
      </w:pPr>
      <w:r>
        <w:t xml:space="preserve">5.4 主要接口族设计</w:t>
      </w:r>
    </w:p>
    <w:p>
      <w:pPr>
        <w:pStyle w:val="FirstParagraph"/>
      </w:pPr>
      <w:r>
        <w:t xml:space="preserve">接口族设计围绕“统一入口、管理面、标准互操作”三条主线展开。/wunder 作为主入口，承担对话与工具编排的统一请求面，同时提供流式与非流式两种交互方式，适配不同系统的集成需求；/wunder/system_prompt 与 /wunder/tools 提供可审计、可调试的入口，使提示词与工具清单成为可观察资产。</w:t>
      </w:r>
    </w:p>
    <w:p>
      <w:pPr>
        <w:pStyle w:val="BodyText"/>
      </w:pPr>
      <w:r>
        <w:t xml:space="preserve">管理端接口集中在 /wunder/admin/</w:t>
      </w:r>
      <w:r>
        <w:rPr>
          <w:i/>
          <w:iCs/>
        </w:rPr>
        <w:t xml:space="preserve">，用于模型、工具、MCP 与监控的治理；工作区相关能力集中在 /wunder/workspace/</w:t>
      </w:r>
      <w:r>
        <w:t xml:space="preserve">，确保文件操作与用户隔离保持一致语义。文档解析入口 /wunder/doc2md/convert 与 /wunder/attachments/convert 则建立统一的内容预处理链路，使“知识进入系统”的路径可控且可追踪。</w:t>
      </w:r>
    </w:p>
    <w:p>
      <w:pPr>
        <w:pStyle w:val="BodyText"/>
      </w:pPr>
      <w:r>
        <w:t xml:space="preserve">为了与外部智能体生态保持互操作性，平台同时提供 /a2a 的 JSON-RPC 标准入口以及 /.well-known/agent-card.json 的能力发现接口。通过这一组合，Wunder 在保持自身统一入口的同时，能够作为跨系统协作的一部分被发现、调用与编排。</w:t>
      </w:r>
    </w:p>
    <w:p>
      <w:pPr>
        <w:pStyle w:val="BodyText"/>
      </w:pPr>
      <w:r>
        <w:t xml:space="preserve">接口族的设计强调语义稳定而非功能堆叠。核心入口表达“任务意图”，管理面表达“治理策略”，工作区接口表达“资源边界”，三者互相独立以避免角色混淆；能力发现接口提供平台自描述性，使外部系统在不理解内部细节的情况下也能接入。这种结构让接口具备可演进性：新增能力更倾向于扩展治理与能力说明，而非破坏已有调用契约。</w:t>
      </w:r>
    </w:p>
    <w:bookmarkEnd w:id="51"/>
    <w:bookmarkStart w:id="55" w:name="多轮对话-agent-loop-实现要点"/>
    <w:p>
      <w:pPr>
        <w:pStyle w:val="Heading3"/>
      </w:pPr>
      <w:r>
        <w:t xml:space="preserve">5.5 多轮对话 Agent Loop 实现要点</w:t>
      </w:r>
    </w:p>
    <w:p>
      <w:pPr>
        <w:pStyle w:val="FirstParagraph"/>
      </w:pPr>
      <w:r>
        <w:rPr/>
        <w:t>多轮对话的 agent loop 本质上是“推理—行动—观察—再推理”的闭环，与 ReAct 的范式一致，并可通过反思/记忆机制维持长链路任务连续性</w:t>
      </w:r>
      <w:r>
        <w:rPr>
          <w:vertAlign w:val="superscript"/>
        </w:rPr>
        <w:t>[2]</w:t>
      </w:r>
      <w:r>
        <w:rPr>
          <w:vertAlign w:val="superscript"/>
        </w:rPr>
        <w:t>[20]</w:t>
      </w:r>
      <w:r>
        <w:rPr/>
        <w:t>。Wunder 将该闭环显式编码在 Orchestrator 中，以 user_round/model_round 作为全链路观察锚点，把每次模型动作、工具调用与最终回复映射为可追踪事件。其实现要点包括：</w:t>
      </w:r>
    </w:p>
    <w:p>
      <w:pPr>
        <w:pStyle w:val="CaptionedFigure"/>
        <w:spacing w:lineRule="auto" w:line="240" w:before="120" w:after="120"/>
        <w:ind w:firstLine="0"/>
        <w:jc w:val="center"/>
      </w:pPr>
      <w:r>
        <w:drawing>
          <wp:inline>
            <wp:extent cx="5613400" cy="873513"/>
            <wp:effectExtent b="0" l="0" r="0" t="0"/>
            <wp:docPr descr="多轮对话 Agent Loop" title="" id="53" name="Picture"/>
            <a:graphic>
              <a:graphicData uri="http://schemas.openxmlformats.org/drawingml/2006/picture">
                <pic:pic>
                  <pic:nvPicPr>
                    <pic:cNvPr descr="../../docs/diagrams/system-intro/06-agent-loop.png" id="54" name="Picture"/>
                    <pic:cNvPicPr>
                      <a:picLocks noChangeArrowheads="1" noChangeAspect="1"/>
                    </pic:cNvPicPr>
                  </pic:nvPicPr>
                  <pic:blipFill>
                    <a:blip r:embed="rId52"/>
                    <a:stretch>
                      <a:fillRect/>
                    </a:stretch>
                  </pic:blipFill>
                  <pic:spPr bwMode="auto">
                    <a:xfrm>
                      <a:off x="0" y="0"/>
                      <a:ext cx="5613400" cy="873513"/>
                    </a:xfrm>
                    <a:prstGeom prst="rect">
                      <a:avLst/>
                    </a:prstGeom>
                    <a:noFill/>
                    <a:ln w="9525">
                      <a:noFill/>
                      <a:headEnd/>
                      <a:tailEnd/>
                    </a:ln>
                  </pic:spPr>
                </pic:pic>
              </a:graphicData>
            </a:graphic>
          </wp:inline>
        </w:drawing>
      </w:r>
    </w:p>
    <w:p>
      <w:pPr>
        <w:pStyle w:val="ImageCaption"/>
      </w:pPr>
      <w:r>
        <w:t xml:space="preserve">多轮对话 Agent Loop</w:t>
      </w:r>
    </w:p>
    <w:p>
      <w:pPr>
        <w:pStyle w:val="Compact"/>
        <w:numPr>
          <w:ilvl w:val="0"/>
          <w:numId w:val="1001"/>
        </w:numPr>
      </w:pPr>
      <w:r>
        <w:t xml:space="preserve">轮次与状态双锚定：user_round 对齐用户输入，model_round 对齐一次“模型动作周期”，并与会话状态机同步；事件流在每个阶段附带轮次信息，使回放与统计有统一坐标。</w:t>
      </w:r>
    </w:p>
    <w:p>
      <w:pPr>
        <w:pStyle w:val="Compact"/>
        <w:numPr>
          <w:ilvl w:val="0"/>
          <w:numId w:val="1001"/>
        </w:numPr>
      </w:pPr>
      <w:r>
        <w:t xml:space="preserve">统一意图解析与工具回填：对 tool_call/function_call 输出做统一规约，将工具调用映射为标准化执行计划，再把结果回填到消息序列，保证下一轮推理的输入完整且可验证。</w:t>
      </w:r>
    </w:p>
    <w:p>
      <w:pPr>
        <w:pStyle w:val="Compact"/>
        <w:numPr>
          <w:ilvl w:val="0"/>
          <w:numId w:val="1001"/>
        </w:numPr>
      </w:pPr>
      <w:r>
        <w:t xml:space="preserve">有界循环与止损策略：max_rounds 为模型轮次数提供上限，超限会输出结构化 stop_reason；工具与模型调用均受超时/取消控制，避免任务悬挂或无限回环。</w:t>
      </w:r>
    </w:p>
    <w:p>
      <w:pPr>
        <w:pStyle w:val="Compact"/>
        <w:numPr>
          <w:ilvl w:val="0"/>
          <w:numId w:val="1001"/>
        </w:numPr>
      </w:pPr>
      <w:r>
        <w:rPr/>
        <w:t>上下文与记忆的循环内维护：每轮执行前进行上下文规范化与 token 估算，必要时触发压缩并保留关键约束；长期记忆异步生成并按需注入，保持连续性而不挤占预算</w:t>
      </w:r>
      <w:r>
        <w:rPr>
          <w:vertAlign w:val="superscript"/>
        </w:rPr>
        <w:t>[5]</w:t>
      </w:r>
      <w:r>
        <w:rPr/>
        <w:t>。</w:t>
      </w:r>
    </w:p>
    <w:p>
      <w:pPr>
        <w:pStyle w:val="Compact"/>
        <w:numPr>
          <w:ilvl w:val="0"/>
          <w:numId w:val="1001"/>
        </w:numPr>
      </w:pPr>
      <w:r>
        <w:t xml:space="preserve">可观测与可回放的事件流：SSE 事件对“模型输出—工具调用—工具结果—最终回复”提供逐步切片，使前端展示、监控统计与故障追踪共享同一事实源。</w:t>
      </w:r>
    </w:p>
    <w:p>
      <w:pPr>
        <w:pStyle w:val="FirstParagraph"/>
      </w:pPr>
      <w:r>
        <w:t xml:space="preserve">这一 loop 让“模型思考”成为可治理的系统流程，而非不可控的黑箱循环，避免长链路任务在多轮回合中累积不可解释的漂移。</w:t>
      </w:r>
    </w:p>
    <w:bookmarkEnd w:id="55"/>
    <w:bookmarkEnd w:id="56"/>
    <w:bookmarkStart w:id="65" w:name="工具体系设计与实现"/>
    <w:p>
      <w:pPr>
        <w:pStyle w:val="Heading2"/>
      </w:pPr>
      <w:r>
        <w:t xml:space="preserve">6 工具体系设计与实现</w:t>
      </w:r>
    </w:p>
    <w:bookmarkStart w:id="57" w:name="工具类型与命名空间"/>
    <w:p>
      <w:pPr>
        <w:pStyle w:val="Heading3"/>
      </w:pPr>
      <w:r>
        <w:t xml:space="preserve">6.1 工具类型与命名空间</w:t>
      </w:r>
    </w:p>
    <w:p>
      <w:pPr>
        <w:pStyle w:val="FirstParagraph"/>
      </w:pPr>
      <w:r>
        <w:t xml:space="preserve">工具类型与命名空间的目标，是把“来源差异”转化为“可识别的治理边界”。在多来源工具并存时，名称必须同时表达归属与使用边界，因此采用“命名空间 + 工具名”的策略，使调度引擎能够在不理解具体实现的前提下完成路由、权限与统计。</w:t>
      </w:r>
    </w:p>
    <w:tbl>
      <w:tblPr>
        <w:tblStyle w:val="TableGrid"/>
        <w:tblW w:type="auto" w:w="0"/>
        <w:jc w:val="left"/>
        <w:tblLayout w:type="fixed"/>
        <w:tblLook w:firstRow="1" w:lastRow="0" w:firstColumn="0" w:lastColumn="0" w:noHBand="0" w:noVBand="0" w:val="0020"/>
        <w:tblCellMar>
          <w:top w:w="56" w:type="dxa"/>
          <w:bottom w:w="56" w:type="dxa"/>
          <w:left w:w="113" w:type="dxa"/>
          <w:right w:w="113" w:type="dxa"/>
        </w:tblCellMar>
      </w:tblPr>
      <w:tblGrid>
        <w:gridCol w:w="1980"/>
        <w:gridCol w:w="1980"/>
        <w:gridCol w:w="1980"/>
        <w:gridCol w:w="1980"/>
      </w:tblGrid>
      <w:tr>
        <w:trPr>
          <w:tblHeader w:val="on"/>
        </w:trPr>
        <w:tc>
          <w:tcPr>
            <w:vAlign w:val="center"/>
          </w:tcPr>
          <w:p>
            <w:pPr>
              <w:pStyle w:val="Compact"/>
              <w:spacing w:before="0" w:after="0" w:lineRule="exact" w:line="578"/>
              <w:ind w:firstLine="0"/>
              <w:jc w:val="center"/>
            </w:pPr>
            <w:r>
              <w:rPr>
                <w:rFonts w:ascii="Times New Roman" w:hAnsi="Times New Roman" w:eastAsia="仿宋GB2312"/>
                <w:sz w:val="28"/>
              </w:rPr>
              <w:t xml:space="preserve">工具类型</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命名形式</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主要来源</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典型用途</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内置工具</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工具名</w:t>
            </w:r>
            <w:r>
              <w:rPr>
                <w:rFonts w:ascii="Times New Roman" w:hAnsi="Times New Roman" w:eastAsia="仿宋GB2312"/>
                <w:sz w:val="28"/>
              </w:rPr>
              <w:t xml:space="preserve"> </w:t>
            </w:r>
            <w:r>
              <w:rPr>
                <w:rFonts w:ascii="Times New Roman" w:hAnsi="Times New Roman" w:eastAsia="仿宋GB2312"/>
                <w:sz w:val="28"/>
              </w:rPr>
              <w:t xml:space="preserve">/ 英文别名</w:t>
            </w:r>
          </w:p>
        </w:tc>
        <w:tc>
          <w:tcPr>
            <w:vAlign w:val="center"/>
          </w:tcPr>
          <w:p>
            <w:pPr>
              <w:pStyle w:val="Compact"/>
              <w:spacing w:before="0" w:after="0" w:lineRule="exact" w:line="578"/>
              <w:ind w:firstLine="0"/>
              <w:jc w:val="left"/>
            </w:pPr>
            <w:r>
              <w:rPr>
                <w:rFonts w:ascii="Times New Roman" w:hAnsi="Times New Roman" w:eastAsia="仿宋GB2312"/>
                <w:sz w:val="28"/>
              </w:rPr>
              <w:t xml:space="preserve">平台内置</w:t>
            </w:r>
          </w:p>
        </w:tc>
        <w:tc>
          <w:tcPr>
            <w:vAlign w:val="center"/>
          </w:tcPr>
          <w:p>
            <w:pPr>
              <w:pStyle w:val="Compact"/>
              <w:spacing w:before="0" w:after="0" w:lineRule="exact" w:line="578"/>
              <w:ind w:firstLine="0"/>
              <w:jc w:val="left"/>
            </w:pPr>
            <w:r>
              <w:rPr>
                <w:rFonts w:ascii="Times New Roman" w:hAnsi="Times New Roman" w:eastAsia="仿宋GB2312"/>
                <w:sz w:val="28"/>
              </w:rPr>
              <w:t xml:space="preserve">文件/命令/计划面板</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MCP 工具</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server@tool</w:t>
            </w:r>
          </w:p>
        </w:tc>
        <w:tc>
          <w:tcPr>
            <w:vAlign w:val="center"/>
          </w:tcPr>
          <w:p>
            <w:pPr>
              <w:pStyle w:val="Compact"/>
              <w:spacing w:before="0" w:after="0" w:lineRule="exact" w:line="578"/>
              <w:ind w:firstLine="0"/>
              <w:jc w:val="left"/>
            </w:pPr>
            <w:r>
              <w:rPr>
                <w:rFonts w:ascii="Times New Roman" w:hAnsi="Times New Roman" w:eastAsia="仿宋GB2312"/>
                <w:sz w:val="28"/>
              </w:rPr>
              <w:t xml:space="preserve">MCP 服务</w:t>
            </w:r>
          </w:p>
        </w:tc>
        <w:tc>
          <w:tcPr>
            <w:vAlign w:val="center"/>
          </w:tcPr>
          <w:p>
            <w:pPr>
              <w:pStyle w:val="Compact"/>
              <w:spacing w:before="0" w:after="0" w:lineRule="exact" w:line="578"/>
              <w:ind w:firstLine="0"/>
              <w:jc w:val="left"/>
            </w:pPr>
            <w:r>
              <w:rPr>
                <w:rFonts w:ascii="Times New Roman" w:hAnsi="Times New Roman" w:eastAsia="仿宋GB2312"/>
                <w:sz w:val="28"/>
              </w:rPr>
              <w:t xml:space="preserve">外部服务能力</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A2A 服务工具</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a2a@service</w:t>
            </w:r>
          </w:p>
        </w:tc>
        <w:tc>
          <w:tcPr>
            <w:vAlign w:val="center"/>
          </w:tcPr>
          <w:p>
            <w:pPr>
              <w:pStyle w:val="Compact"/>
              <w:spacing w:before="0" w:after="0" w:lineRule="exact" w:line="578"/>
              <w:ind w:firstLine="0"/>
              <w:jc w:val="left"/>
            </w:pPr>
            <w:r>
              <w:rPr>
                <w:rFonts w:ascii="Times New Roman" w:hAnsi="Times New Roman" w:eastAsia="仿宋GB2312"/>
                <w:sz w:val="28"/>
              </w:rPr>
              <w:t xml:space="preserve">A2A 配置</w:t>
            </w:r>
          </w:p>
        </w:tc>
        <w:tc>
          <w:tcPr>
            <w:vAlign w:val="center"/>
          </w:tcPr>
          <w:p>
            <w:pPr>
              <w:pStyle w:val="Compact"/>
              <w:spacing w:before="0" w:after="0" w:lineRule="exact" w:line="578"/>
              <w:ind w:firstLine="0"/>
              <w:jc w:val="left"/>
            </w:pPr>
            <w:r>
              <w:rPr>
                <w:rFonts w:ascii="Times New Roman" w:hAnsi="Times New Roman" w:eastAsia="仿宋GB2312"/>
                <w:sz w:val="28"/>
              </w:rPr>
              <w:t xml:space="preserve">跨智能体协作</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Skills</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skill_name</w:t>
            </w:r>
          </w:p>
        </w:tc>
        <w:tc>
          <w:tcPr>
            <w:vAlign w:val="center"/>
          </w:tcPr>
          <w:p>
            <w:pPr>
              <w:pStyle w:val="Compact"/>
              <w:spacing w:before="0" w:after="0" w:lineRule="exact" w:line="578"/>
              <w:ind w:firstLine="0"/>
              <w:jc w:val="left"/>
            </w:pPr>
            <w:r>
              <w:rPr>
                <w:rFonts w:ascii="Times New Roman" w:hAnsi="Times New Roman" w:eastAsia="仿宋GB2312"/>
                <w:sz w:val="28"/>
              </w:rPr>
              <w:t xml:space="preserve">技能包</w:t>
            </w:r>
          </w:p>
        </w:tc>
        <w:tc>
          <w:tcPr>
            <w:vAlign w:val="center"/>
          </w:tcPr>
          <w:p>
            <w:pPr>
              <w:pStyle w:val="Compact"/>
              <w:spacing w:before="0" w:after="0" w:lineRule="exact" w:line="578"/>
              <w:ind w:firstLine="0"/>
              <w:jc w:val="left"/>
            </w:pPr>
            <w:r>
              <w:rPr>
                <w:rFonts w:ascii="Times New Roman" w:hAnsi="Times New Roman" w:eastAsia="仿宋GB2312"/>
                <w:sz w:val="28"/>
              </w:rPr>
              <w:t xml:space="preserve">固化流程</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知识库</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knowledge_base</w:t>
            </w:r>
          </w:p>
        </w:tc>
        <w:tc>
          <w:tcPr>
            <w:vAlign w:val="center"/>
          </w:tcPr>
          <w:p>
            <w:pPr>
              <w:pStyle w:val="Compact"/>
              <w:spacing w:before="0" w:after="0" w:lineRule="exact" w:line="578"/>
              <w:ind w:firstLine="0"/>
              <w:jc w:val="left"/>
            </w:pPr>
            <w:r>
              <w:rPr>
                <w:rFonts w:ascii="Times New Roman" w:hAnsi="Times New Roman" w:eastAsia="仿宋GB2312"/>
                <w:sz w:val="28"/>
              </w:rPr>
              <w:t xml:space="preserve">知识库</w:t>
            </w:r>
          </w:p>
        </w:tc>
        <w:tc>
          <w:tcPr>
            <w:vAlign w:val="center"/>
          </w:tcPr>
          <w:p>
            <w:pPr>
              <w:pStyle w:val="Compact"/>
              <w:spacing w:before="0" w:after="0" w:lineRule="exact" w:line="578"/>
              <w:ind w:firstLine="0"/>
              <w:jc w:val="left"/>
            </w:pPr>
            <w:r>
              <w:rPr>
                <w:rFonts w:ascii="Times New Roman" w:hAnsi="Times New Roman" w:eastAsia="仿宋GB2312"/>
                <w:sz w:val="28"/>
              </w:rPr>
              <w:t xml:space="preserve">本地检索</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用户自建</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user_id@tool</w:t>
            </w:r>
          </w:p>
        </w:tc>
        <w:tc>
          <w:tcPr>
            <w:vAlign w:val="center"/>
          </w:tcPr>
          <w:p>
            <w:pPr>
              <w:pStyle w:val="Compact"/>
              <w:spacing w:before="0" w:after="0" w:lineRule="exact" w:line="578"/>
              <w:ind w:firstLine="0"/>
              <w:jc w:val="left"/>
            </w:pPr>
            <w:r>
              <w:rPr>
                <w:rFonts w:ascii="Times New Roman" w:hAnsi="Times New Roman" w:eastAsia="仿宋GB2312"/>
                <w:sz w:val="28"/>
              </w:rPr>
              <w:t xml:space="preserve">用户配置</w:t>
            </w:r>
          </w:p>
        </w:tc>
        <w:tc>
          <w:tcPr>
            <w:vAlign w:val="center"/>
          </w:tcPr>
          <w:p>
            <w:pPr>
              <w:pStyle w:val="Compact"/>
              <w:spacing w:before="0" w:after="0" w:lineRule="exact" w:line="578"/>
              <w:ind w:firstLine="0"/>
              <w:jc w:val="left"/>
            </w:pPr>
            <w:r>
              <w:rPr>
                <w:rFonts w:ascii="Times New Roman" w:hAnsi="Times New Roman" w:eastAsia="仿宋GB2312"/>
                <w:sz w:val="28"/>
              </w:rPr>
              <w:t xml:space="preserve">个性化扩展</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共享工具</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owner_id@tool</w:t>
            </w:r>
          </w:p>
        </w:tc>
        <w:tc>
          <w:tcPr>
            <w:vAlign w:val="center"/>
          </w:tcPr>
          <w:p>
            <w:pPr>
              <w:pStyle w:val="Compact"/>
              <w:spacing w:before="0" w:after="0" w:lineRule="exact" w:line="578"/>
              <w:ind w:firstLine="0"/>
              <w:jc w:val="left"/>
            </w:pPr>
            <w:r>
              <w:rPr>
                <w:rFonts w:ascii="Times New Roman" w:hAnsi="Times New Roman" w:eastAsia="仿宋GB2312"/>
                <w:sz w:val="28"/>
              </w:rPr>
              <w:t xml:space="preserve">共享配置</w:t>
            </w:r>
          </w:p>
        </w:tc>
        <w:tc>
          <w:tcPr>
            <w:vAlign w:val="center"/>
          </w:tcPr>
          <w:p>
            <w:pPr>
              <w:pStyle w:val="Compact"/>
              <w:spacing w:before="0" w:after="0" w:lineRule="exact" w:line="578"/>
              <w:ind w:firstLine="0"/>
              <w:jc w:val="left"/>
            </w:pPr>
            <w:r>
              <w:rPr>
                <w:rFonts w:ascii="Times New Roman" w:hAnsi="Times New Roman" w:eastAsia="仿宋GB2312"/>
                <w:sz w:val="28"/>
              </w:rPr>
              <w:t xml:space="preserve">跨用户复用</w:t>
            </w:r>
          </w:p>
        </w:tc>
      </w:tr>
    </w:tbl>
    <w:p>
      <w:pPr>
        <w:pStyle w:val="BodyText"/>
      </w:pPr>
      <w:r>
        <w:t xml:space="preserve">这种命名策略让工具治理从“能不能调用”扩展为“调用谁、在什么范围调用”，同时也为用户提供直观的选择提示，避免因同名工具造成误用。</w:t>
      </w:r>
    </w:p>
    <w:bookmarkEnd w:id="57"/>
    <w:bookmarkStart w:id="58" w:name="工具调用协议与模式"/>
    <w:p>
      <w:pPr>
        <w:pStyle w:val="Heading3"/>
      </w:pPr>
      <w:r>
        <w:t xml:space="preserve">6.2 工具调用协议与模式</w:t>
      </w:r>
    </w:p>
    <w:p>
      <w:pPr>
        <w:pStyle w:val="FirstParagraph"/>
      </w:pPr>
      <w:r>
        <w:t xml:space="preserve">工具调用协议既要兼容多模型，又要保证执行确定性。tool_call 模式通过文本标签表达调用意图，适配那些缺乏结构化函数调用的模型；function_call 模式则通过结构化字段描述工具调用，具有更强的稳定性与可解析性。平台同时支持两者，是为了在真实工程环境中兼顾“兼容性”与“可靠性”。</w:t>
      </w:r>
    </w:p>
    <w:p>
      <w:pPr>
        <w:pStyle w:val="BodyText"/>
      </w:pPr>
      <w:r>
        <w:t xml:space="preserve">在调度层面，两种模式最终都被归一化为“工具调用事件”，并通过统一的回填机制进入下一轮推理。这样做的关键价值在于：模型的输出形式可以变化，但系统对工具调用的治理逻辑保持一致，从而降低模型差异对系统行为的影响。</w:t>
      </w:r>
    </w:p>
    <w:bookmarkEnd w:id="58"/>
    <w:bookmarkStart w:id="59" w:name="内置工具执行与安全策略"/>
    <w:p>
      <w:pPr>
        <w:pStyle w:val="Heading3"/>
      </w:pPr>
      <w:r>
        <w:t xml:space="preserve">6.3 内置工具执行与安全策略</w:t>
      </w:r>
    </w:p>
    <w:p>
      <w:pPr>
        <w:pStyle w:val="FirstParagraph"/>
      </w:pPr>
      <w:r>
        <w:t xml:space="preserve">内置工具构成平台的基础能力集合，覆盖文件操作、命令执行、计划面板与最终回复等核心场景。设计上强调“稳定、可预测、可约束”，因此每类工具都对应明确的权限边界与使用规则。工具集合并非越多越好，而是通过明确的命名与权限控制，使模型在需要时精准调用，而非在不确定场景下盲目尝试。</w:t>
      </w:r>
    </w:p>
    <w:p>
      <w:pPr>
        <w:pStyle w:val="BodyText"/>
      </w:pPr>
      <w:r>
        <w:t xml:space="preserve">安全策略强调最小权限原则。文件访问通过路径白名单与黑名单划分边界，命令执行则通过白名单限制可执行指令，并支持在共享沙盒环境中运行。这样可以在保持工具可用性的同时，将潜在风险限制在可控范围内，为长期运行提供稳定性保障。</w:t>
      </w:r>
    </w:p>
    <w:bookmarkEnd w:id="59"/>
    <w:bookmarkStart w:id="60" w:name="mcp-工具协作"/>
    <w:p>
      <w:pPr>
        <w:pStyle w:val="Heading3"/>
      </w:pPr>
      <w:r>
        <w:t xml:space="preserve">6.4 MCP 工具协作</w:t>
      </w:r>
    </w:p>
    <w:p>
      <w:pPr>
        <w:pStyle w:val="FirstParagraph"/>
      </w:pPr>
      <w:r>
        <w:t xml:space="preserve">MCP 工具由外部服务提供，平台将其视为“可远程治理的能力扩展”。与本地工具不同，MCP 工具的可用性与延迟具有不确定性，因此平台首先通过缓存工具规格形成稳定的提示词基线，避免每次请求都触发远端发现造成抖动。</w:t>
      </w:r>
    </w:p>
    <w:p>
      <w:pPr>
        <w:pStyle w:val="BodyText"/>
      </w:pPr>
      <w:r>
        <w:t xml:space="preserve">在协作机制上，平台将 MCP 工具映射为统一规格，以便与内置工具共用同一调度逻辑，并在调用侧引入超时、限流与失败回退策略。当远端不可用时，系统回退到最近一次可用规格，保证模型看到的工具集不会频繁波动，从而提升整体稳定性与用户体验。工具调用日志记录 server/tool 与延迟，为后续治理与容量规划提供依据。</w:t>
      </w:r>
    </w:p>
    <w:bookmarkEnd w:id="60"/>
    <w:bookmarkStart w:id="61" w:name="skills"/>
    <w:p>
      <w:pPr>
        <w:pStyle w:val="Heading3"/>
      </w:pPr>
      <w:r>
        <w:t xml:space="preserve">6.5 Skills</w:t>
      </w:r>
    </w:p>
    <w:p>
      <w:pPr>
        <w:pStyle w:val="FirstParagraph"/>
      </w:pPr>
      <w:r>
        <w:t xml:space="preserve">Skills 被设计为“可复用的流程片段”，它们不是简单的脚本集合，而是带有输入约束、步骤边界与可审计规则的过程知识。通过将技能描述注入提示词，模型能够在理解目的与限制的基础上调用技能，从而降低“工具乱用”与流程漂移的概率。技能的价值在于把经验固化为可迁移的流程，并让不同用户共享同一套稳定的执行逻辑。</w:t>
      </w:r>
    </w:p>
    <w:p>
      <w:pPr>
        <w:pStyle w:val="BodyText"/>
      </w:pPr>
      <w:r>
        <w:t xml:space="preserve">在 Skill 的形成方式上，平台强调“先跑通，再固化”。用户与智能体先完整跑通一次真实业务的全流程，随后要求智能体对该流程进行结构化总结，明确输入/输出、关键步骤、关键约束与失败兜底策略，并将其打包为技能包。这样可以保证技能来源于真实执行经验，将隐性操作习惯转化为可审计、可复用的过程资产，便于后续在相同任务中快速复用与持续迭代。</w:t>
      </w:r>
      <w:r>
        <w:t xml:space="preserve"> </w:t>
      </w:r>
      <w:r>
        <w:t xml:space="preserve">流程表达：用户与智能体完成全流程 -&gt; 生成过程摘要 -&gt; 结构化整理输入/输出与关键步骤 -&gt; 补齐约束/兜底策略 -&gt; 打包为技能包 -&gt; 启用与复用/迭代。</w:t>
      </w:r>
    </w:p>
    <w:p>
      <w:pPr>
        <w:pStyle w:val="BodyText"/>
      </w:pPr>
      <w:r>
        <w:rPr/>
        <w:t>从主流研究与实践看，开放式智能体逐渐依赖“可增长的技能库”和“标准化流程”。Voyager 展示了持续扩展技能库对长期探索的作用</w:t>
      </w:r>
      <w:r>
        <w:rPr>
          <w:vertAlign w:val="superscript"/>
        </w:rPr>
        <w:t>[21]</w:t>
      </w:r>
      <w:r>
        <w:rPr/>
        <w:t>，MetaGPT 以 SOP 驱动多角色协作以降低错误传播</w:t>
      </w:r>
      <w:r>
        <w:rPr>
          <w:vertAlign w:val="superscript"/>
        </w:rPr>
        <w:t>[22]</w:t>
      </w:r>
      <w:r>
        <w:rPr/>
        <w:t>，而框架层的流程编排也在强调任务分解与可复用步骤</w:t>
      </w:r>
      <w:r>
        <w:rPr>
          <w:vertAlign w:val="superscript"/>
        </w:rPr>
        <w:t>[9]</w:t>
      </w:r>
      <w:r>
        <w:rPr>
          <w:vertAlign w:val="superscript"/>
        </w:rPr>
        <w:t>[15]</w:t>
      </w:r>
      <w:r>
        <w:rPr>
          <w:vertAlign w:val="superscript"/>
        </w:rPr>
        <w:t>[16]</w:t>
      </w:r>
      <w:r>
        <w:rPr>
          <w:vertAlign w:val="superscript"/>
        </w:rPr>
        <w:t>[17]</w:t>
      </w:r>
      <w:r>
        <w:rPr/>
        <w:t>。这些趋势说明技能与流程是可复用的过程资产，而非一次性工具调用。</w:t>
      </w:r>
    </w:p>
    <w:p>
      <w:pPr>
        <w:pStyle w:val="BodyText"/>
      </w:pPr>
      <w:r>
        <w:t xml:space="preserve">Wunder 的设计创新在于将 Skills 作为“可治理的流程资产”：技能以 SKILL.md 形式沉淀，提示词仅注入已启用技能及其路径，强调“先读技能再执行”；技能与工具清单统一纳管，支持共享与版本化，避免提示词膨胀与流程失真；同时配合工作区隔离与权限控制，使技能既可跨团队复用，又可在边界内安全运行。相比传统“脚本库式复用”，该设计把流程与约束同时纳入提示词治理，使执行更稳定、可回放、可审计。</w:t>
      </w:r>
    </w:p>
    <w:bookmarkEnd w:id="61"/>
    <w:bookmarkStart w:id="62" w:name="知识库"/>
    <w:p>
      <w:pPr>
        <w:pStyle w:val="Heading3"/>
      </w:pPr>
      <w:r>
        <w:t xml:space="preserve">6.6 知识库</w:t>
      </w:r>
    </w:p>
    <w:p>
      <w:pPr>
        <w:pStyle w:val="FirstParagraph"/>
      </w:pPr>
      <w:r>
        <w:t xml:space="preserve">知识库承担“可检索记忆”的角色，提供事实信息与上下文补充，但不直接定义执行流程。平台以结构化 Markdown 作为知识单元，配合元数据与片段置信度，使检索结果可追踪可解释。通过缓存与重排序策略，系统在保证命中率的同时控制检索成本，使知识调用从“开销很大”变为“可持续使用”的能力。与 Skills 的流程资产定位不同，知识库更强调内容可检索与事实可追溯，是提示词之外的“外部知识层”。</w:t>
      </w:r>
    </w:p>
    <w:bookmarkEnd w:id="62"/>
    <w:bookmarkStart w:id="63" w:name="用户自建与共享工具"/>
    <w:p>
      <w:pPr>
        <w:pStyle w:val="Heading3"/>
      </w:pPr>
      <w:r>
        <w:t xml:space="preserve">6.7 用户自建与共享工具</w:t>
      </w:r>
    </w:p>
    <w:p>
      <w:pPr>
        <w:pStyle w:val="FirstParagraph"/>
      </w:pPr>
      <w:r>
        <w:t xml:space="preserve">用户自建与共享工具强调“配置即能力”。用户可以将自定义 MCP、技能或知识库以配置方式挂载到个人空间，而共享并不是复制实现，而是共享配置与可用清单。此设计确保工具复用不破坏隔离边界，并要求被共享工具显式勾选后才能启用，从而在可复用与可控之间取得平衡。</w:t>
      </w:r>
    </w:p>
    <w:bookmarkEnd w:id="63"/>
    <w:bookmarkStart w:id="64" w:name="a2a-服务工具"/>
    <w:p>
      <w:pPr>
        <w:pStyle w:val="Heading3"/>
      </w:pPr>
      <w:r>
        <w:t xml:space="preserve">6.8 A2A 服务工具</w:t>
      </w:r>
    </w:p>
    <w:p>
      <w:pPr>
        <w:pStyle w:val="FirstParagraph"/>
      </w:pPr>
      <w:r>
        <w:t xml:space="preserve">A2A 服务工具以标准接口为核心，解决“跨智能体协作”中的发现与调用问题。通过统一命名与协议，平台能够把外部智能体视作可调用工具，使任务拆解与多智能体协作具备工程可行性。内置的“观察/等待”能力进一步减少跨系统等待的不确定性，使协作链路更可控、更易调试。</w:t>
      </w:r>
    </w:p>
    <w:bookmarkEnd w:id="64"/>
    <w:bookmarkEnd w:id="65"/>
    <w:bookmarkStart w:id="71" w:name="调度引擎设计与实现"/>
    <w:p>
      <w:pPr>
        <w:pStyle w:val="Heading2"/>
      </w:pPr>
      <w:r>
        <w:t xml:space="preserve">7 调度引擎设计与实现</w:t>
      </w:r>
    </w:p>
    <w:bookmarkStart w:id="66" w:name="资源与并发控制"/>
    <w:p>
      <w:pPr>
        <w:pStyle w:val="Heading3"/>
      </w:pPr>
      <w:r>
        <w:t xml:space="preserve">7.1 资源与并发控制</w:t>
      </w:r>
    </w:p>
    <w:p>
      <w:pPr>
        <w:pStyle w:val="FirstParagraph"/>
      </w:pPr>
      <w:r>
        <w:t xml:space="preserve">资源与并发控制决定平台在高负载场景中的稳定性。同一 user_id 互斥执行主要是为了保护工作区与上下文一致性，避免同时执行导致的文件竞争与上下文污染；全局并发上限则防止系统在突发流量下被耗尽资源。该策略兼顾了“单用户体验稳定”与“整体系统可用”，让平台在多用户环境中保持可预测的响应。</w:t>
      </w:r>
    </w:p>
    <w:p>
      <w:pPr>
        <w:pStyle w:val="BodyText"/>
      </w:pPr>
      <w:r>
        <w:t xml:space="preserve">并发控制之外，额度治理对注册用户的模型调用进行精细约束，与全局并发上限形成互补，确保成本与资源消耗可预期。</w:t>
      </w:r>
    </w:p>
    <w:p>
      <w:pPr>
        <w:pStyle w:val="BodyText"/>
      </w:pPr>
      <w:r>
        <w:t xml:space="preserve">并发控制不仅是性能优化，也是公平与一致性的约束。同一用户互斥避免工作区与上下文被并行修改导致的语义漂移；全局上限提供背压，保证系统在高负载下维持可预测的响应曲线。对长期任务而言，这种组合还能减少“长任务占用资源导致短任务饥饿”的风险，使平台具备更稳定的服务质量。</w:t>
      </w:r>
    </w:p>
    <w:bookmarkEnd w:id="66"/>
    <w:bookmarkStart w:id="67" w:name="轮次驱动与工具回填"/>
    <w:p>
      <w:pPr>
        <w:pStyle w:val="Heading3"/>
      </w:pPr>
      <w:r>
        <w:t xml:space="preserve">7.2 轮次驱动与工具回填</w:t>
      </w:r>
    </w:p>
    <w:p>
      <w:pPr>
        <w:pStyle w:val="FirstParagraph"/>
      </w:pPr>
      <w:r>
        <w:t xml:space="preserve">轮次驱动的调度机制使复杂任务能够在“模型—工具—模型”的循环中逐步收敛。每轮输出既可能是直接回答，也可能是工具调用意图，调度引擎将其解析为可执行事件并回填结果，再触发下一轮推理。对 tool_call 与 function_call 的双重支持保证了模型差异不会破坏调度的稳定性。</w:t>
      </w:r>
    </w:p>
    <w:p>
      <w:pPr>
        <w:pStyle w:val="BodyText"/>
      </w:pPr>
      <w:r>
        <w:t xml:space="preserve">安全与收敛控制则通过快速终止与轮次数上限提供“快速止损”能力：当任务过度发散或出现异常时，可以在不破坏会话语义的情况下终止流程。这种设计体现了对长链路可控性的重视。</w:t>
      </w:r>
    </w:p>
    <w:bookmarkEnd w:id="67"/>
    <w:bookmarkStart w:id="68" w:name="sse-事件流与持久化"/>
    <w:p>
      <w:pPr>
        <w:pStyle w:val="Heading3"/>
      </w:pPr>
      <w:r>
        <w:t xml:space="preserve">7.3 SSE 事件流与持久化</w:t>
      </w:r>
    </w:p>
    <w:p>
      <w:pPr>
        <w:pStyle w:val="FirstParagraph"/>
      </w:pPr>
      <w:r>
        <w:t xml:space="preserve">SSE 事件流是平台可观测性的重要基础。平台将模型输出、工具调用、工具结果与最终回答统一为事件序列，使前端与监控系统共享同一视图。当事件队列溢出或网络中断时，事件仍可落库并支持续传，从而避免“看不到过程”或“过程丢失”的问题。</w:t>
      </w:r>
    </w:p>
    <w:p>
      <w:pPr>
        <w:pStyle w:val="BodyText"/>
      </w:pPr>
      <w:r>
        <w:t xml:space="preserve">为了控制事件量与存储开销，系统会对连续输出片段进行合并，兼顾实时性与成本。这种“流式可见 + 存储可控”的策略，使平台能够在大规模并发场景中维持稳定的监控能力。</w:t>
      </w:r>
    </w:p>
    <w:bookmarkEnd w:id="68"/>
    <w:bookmarkStart w:id="69" w:name="异常处理与取消机制"/>
    <w:p>
      <w:pPr>
        <w:pStyle w:val="Heading3"/>
      </w:pPr>
      <w:r>
        <w:t xml:space="preserve">7.4 异常处理与取消机制</w:t>
      </w:r>
    </w:p>
    <w:p>
      <w:pPr>
        <w:pStyle w:val="FirstParagraph"/>
      </w:pPr>
      <w:r>
        <w:t xml:space="preserve">异常处理与取消机制强调“可恢复与可解释”。模型调用与工具执行均设置超时与错误捕获，确保单点故障不会拖垮全局流程；取消请求通过明确的中间状态逐步收敛，避免直接中断造成资源泄漏或状态错乱。错误信息以结构化方式返回，使前端与运维能够快速定位问题，而不是依赖模糊日志。</w:t>
      </w:r>
    </w:p>
    <w:bookmarkEnd w:id="69"/>
    <w:bookmarkStart w:id="70" w:name="调度流程总结"/>
    <w:p>
      <w:pPr>
        <w:pStyle w:val="Heading3"/>
      </w:pPr>
      <w:r>
        <w:t xml:space="preserve">7.5 调度流程总结</w:t>
      </w:r>
    </w:p>
    <w:p>
      <w:pPr>
        <w:pStyle w:val="FirstParagraph"/>
      </w:pPr>
      <w:r>
        <w:t xml:space="preserve">从流程视角看，调度可以概括为“入口校验—会话锁—提示词构建—多轮推理—结果收尾”的闭环。入口校验保证请求与权限一致，会话锁确保上下文一致性，提示词构建决定模型的可解释能力；多轮推理在工具调用与结果回填之间循环，最终以明确的终止原因收敛。</w:t>
      </w:r>
    </w:p>
    <w:p>
      <w:pPr>
        <w:pStyle w:val="BodyText"/>
      </w:pPr>
      <w:r>
        <w:t xml:space="preserve">这一流程的关键不在于步骤数量，而在于每一步都有清晰的责任边界与可观测输出，使得复杂任务能够被分解为一系列可追踪的阶段，既便于优化，也便于运维。</w:t>
      </w:r>
    </w:p>
    <w:bookmarkEnd w:id="70"/>
    <w:bookmarkEnd w:id="71"/>
    <w:bookmarkStart w:id="76" w:name="提示词构建与上下文管理"/>
    <w:p>
      <w:pPr>
        <w:pStyle w:val="Heading2"/>
      </w:pPr>
      <w:r>
        <w:t xml:space="preserve">8 提示词构建与上下文管理</w:t>
      </w:r>
    </w:p>
    <w:bookmarkStart w:id="72" w:name="prompt-builder-与缓存策略"/>
    <w:p>
      <w:pPr>
        <w:pStyle w:val="Heading3"/>
      </w:pPr>
      <w:r>
        <w:t xml:space="preserve">8.1 Prompt Builder 与缓存策略</w:t>
      </w:r>
    </w:p>
    <w:p>
      <w:pPr>
        <w:pStyle w:val="FirstParagraph"/>
      </w:pPr>
      <w:r>
        <w:t xml:space="preserve">Prompt Builder 被视为“模型认知接口”。它将系统模板、工具清单、技能说明与工作区摘要整合为统一上下文，并通过多层缓存减少重复计算。缓存不仅是性能优化，也是稳定性策略：当工具规格或工作区树未发生变化时，提示词保持一致，避免模型因提示词抖动而产生行为漂移。</w:t>
      </w:r>
    </w:p>
    <w:p>
      <w:pPr>
        <w:pStyle w:val="BodyText"/>
      </w:pPr>
      <w:r>
        <w:t xml:space="preserve">在高并发场景下，提示词构建的并发去重同样关键。通过对相同 Key 的请求进行等待合并，系统避免重复拼接与重复 IO，确保性能与一致性兼得。</w:t>
      </w:r>
    </w:p>
    <w:bookmarkEnd w:id="72"/>
    <w:bookmarkStart w:id="73" w:name="工具注入与技能提示"/>
    <w:p>
      <w:pPr>
        <w:pStyle w:val="Heading3"/>
      </w:pPr>
      <w:r>
        <w:t xml:space="preserve">8.2 工具注入与技能提示</w:t>
      </w:r>
    </w:p>
    <w:p>
      <w:pPr>
        <w:pStyle w:val="FirstParagraph"/>
      </w:pPr>
      <w:r>
        <w:t xml:space="preserve">工具注入与技能提示的设计目标是“在最小上下文内传递最大可执行信息”。对于 tool_call 模式，工具清单与调用协议被显式注入，以保证模型输出格式稳定；对于 function_call 模式，则尽量简化提示词，把工具结构交由请求参数承载，减少对模型的干扰。技能信息在两种模式下均保留，使模型理解技能边界与输入约束。</w:t>
      </w:r>
    </w:p>
    <w:p>
      <w:pPr>
        <w:pStyle w:val="BodyText"/>
      </w:pPr>
      <w:r>
        <w:t xml:space="preserve">当启用结构化 UI 输出能力时，平台会移除“最终回复”工具，以避免模型同时输出结构化 UI 与自然语言回答造成冲突。这体现了提示词注入的一个核心原则：模型应在明确、无歧义的任务空间内决策。</w:t>
      </w:r>
    </w:p>
    <w:bookmarkEnd w:id="73"/>
    <w:bookmarkStart w:id="74" w:name="系统提示词设计原则"/>
    <w:p>
      <w:pPr>
        <w:pStyle w:val="Heading3"/>
      </w:pPr>
      <w:r>
        <w:t xml:space="preserve">8.3 系统提示词设计原则</w:t>
      </w:r>
    </w:p>
    <w:p>
      <w:pPr>
        <w:pStyle w:val="FirstParagraph"/>
      </w:pPr>
      <w:r>
        <w:rPr/>
        <w:t>系统提示词是智能体的“认知接口”，决定了模型如何理解任务、如何调用工具以及如何与环境互动。主流实践通常包含角色定位、工具调用协议与行为约束，例如 ReAct 强调推理—行动协作</w:t>
      </w:r>
      <w:r>
        <w:rPr>
          <w:vertAlign w:val="superscript"/>
        </w:rPr>
        <w:t>[2]</w:t>
      </w:r>
      <w:r>
        <w:rPr/>
        <w:t>，而函数调用/工具调用规范则让执行路径可解析与可验证</w:t>
      </w:r>
      <w:r>
        <w:rPr>
          <w:vertAlign w:val="superscript"/>
        </w:rPr>
        <w:t>[8]</w:t>
      </w:r>
      <w:r>
        <w:rPr/>
        <w:t>。Wunder 在此基础上强调“工程可治理”：提示词必须可版本化、可裁剪、可与工具/技能/环境配置联动，从而减少随意性并保证长链路稳定。</w:t>
      </w:r>
    </w:p>
    <w:p>
      <w:pPr>
        <w:pStyle w:val="BodyText"/>
      </w:pPr>
      <w:r>
        <w:t xml:space="preserve">Wunder 的提示词设计分为四类核心部分，分别对应编码、工具、技能与行为准则：</w:t>
      </w:r>
    </w:p>
    <w:p>
      <w:pPr>
        <w:pStyle w:val="BodyText"/>
      </w:pPr>
      <w:r>
        <w:rPr>
          <w:b/>
          <w:bCs/>
        </w:rPr>
        <w:t xml:space="preserve">编码提示</w:t>
      </w:r>
      <w:r>
        <w:t xml:space="preserve"> </w:t>
      </w:r>
      <w:r>
        <w:t xml:space="preserve">聚焦执行环境与产出质量。在系统提示中明确运行环境、可用依赖、默认编程语言与绘图工具，引导模型优先产生可运行、可维护的结果，避免“看似正确但无法执行”的输出。相比主流通用提示词，Wunder 将容器依赖与限制显式化，使生成代码与实际运行环境对齐，减少部署偏差。</w:t>
      </w:r>
    </w:p>
    <w:p>
      <w:pPr>
        <w:pStyle w:val="BodyText"/>
      </w:pPr>
      <w:r>
        <w:rPr>
          <w:b/>
          <w:bCs/>
        </w:rPr>
        <w:t xml:space="preserve">工具提示</w:t>
      </w:r>
      <w:r>
        <w:t xml:space="preserve"> </w:t>
      </w:r>
      <w:r>
        <w:t xml:space="preserve">聚焦调用协议与工具清单治理。工具协议根据 tool_call/function_call 模式切换：tool_call 模式显式注入</w:t>
      </w:r>
      <w:r>
        <w:t xml:space="preserve"> </w:t>
      </w:r>
      <w:r>
        <w:rPr>
          <w:rStyle w:val="VerbatimChar"/>
        </w:rPr>
        <w:t xml:space="preserve">&lt;tools&gt;</w:t>
      </w:r>
      <w:r>
        <w:t xml:space="preserve"> </w:t>
      </w:r>
      <w:r>
        <w:t xml:space="preserve">描述与 JSON 调用规范，function_call 模式将结构化调用交由请求参数承载，从而节省上下文并提升稳定性。工具清单按场景筛选注入，减少冗余工具干扰，这是对主流“全量工具表”做法的优化。</w:t>
      </w:r>
    </w:p>
    <w:p>
      <w:pPr>
        <w:pStyle w:val="BodyText"/>
      </w:pPr>
      <w:r>
        <w:rPr>
          <w:b/>
          <w:bCs/>
        </w:rPr>
        <w:t>技能提示</w:t>
      </w:r>
      <w:r>
        <w:rPr/>
        <w:t xml:space="preserve"> </w:t>
      </w:r>
      <w:r>
        <w:rPr/>
        <w:t>聚焦流程复用与边界约束。技能以 SKILL.md 形式描述，提示词仅注入已启用技能与其路径，强调“先读技能再执行”，使流程可复用、可审计。该设计把流程知识从“隐含经验”变成“可治理资产”，与主流框架的流程编排思路保持一致</w:t>
      </w:r>
      <w:r>
        <w:rPr>
          <w:vertAlign w:val="superscript"/>
        </w:rPr>
        <w:t>[9]</w:t>
      </w:r>
      <w:r>
        <w:rPr>
          <w:vertAlign w:val="superscript"/>
        </w:rPr>
        <w:t>[15]</w:t>
      </w:r>
      <w:r>
        <w:rPr>
          <w:vertAlign w:val="superscript"/>
        </w:rPr>
        <w:t>[16]</w:t>
      </w:r>
      <w:r>
        <w:rPr>
          <w:vertAlign w:val="superscript"/>
        </w:rPr>
        <w:t>[17]</w:t>
      </w:r>
      <w:r>
        <w:rPr/>
        <w:t>，但更强调路径可追溯与版本可控。</w:t>
      </w:r>
    </w:p>
    <w:p>
      <w:pPr>
        <w:pStyle w:val="BodyText"/>
      </w:pPr>
      <w:r>
        <w:rPr>
          <w:b/>
          <w:bCs/>
        </w:rPr>
        <w:t xml:space="preserve">行为准则</w:t>
      </w:r>
      <w:r>
        <w:t xml:space="preserve"> </w:t>
      </w:r>
      <w:r>
        <w:t xml:space="preserve">聚焦交互质量与调度稳定性。包括“简洁回答、逐步执行、一次只调用一个工具、遇到歧义先澄清、启用计划面板则先规划”等规则，使模型输出与调度引擎保持稳定协作关系。相比通用提示词中对礼貌或风格的笼统要求，这里更强调工程可控与执行一致性。</w:t>
      </w:r>
    </w:p>
    <w:p>
      <w:pPr>
        <w:pStyle w:val="BodyText"/>
      </w:pPr>
      <w:r>
        <w:t xml:space="preserve">在以上基础上，Wunder 的创新点主要体现在三方面：其一，提示词分层构建（系统模板 + 工具协议 + 工程准则 + 技能列表 + 用户额外提示），并以缓存与版本键治理变更，减少“提示词抖动”；其二，提示词与工具模式联动，避免无效工具规格占用上下文；其三，提示词与工作区/环境信息绑定，使模型在多用户隔离场景下稳定遵循路径与资源边界。</w:t>
      </w:r>
    </w:p>
    <w:p>
      <w:pPr>
        <w:pStyle w:val="BodyText"/>
      </w:pPr>
      <w:r>
        <w:t xml:space="preserve">最小示例如下（节选）：</w:t>
      </w:r>
    </w:p>
    <w:p>
      <w:pPr>
        <w:pStyle w:val="SourceCode"/>
        <w:spacing w:line="240" w:lineRule="auto" w:before="120" w:after="120"/>
        <w:ind w:firstLine="0" w:left="283"/>
        <w:shd w:val="clear" w:color="auto" w:fill="F7F7F7"/>
        <w:pBdr>
          <w:top w:val="single" w:sz="4" w:space="2" w:color="D9D9D9"/>
          <w:left w:val="single" w:sz="4" w:space="2" w:color="D9D9D9"/>
          <w:bottom w:val="single" w:sz="4" w:space="2" w:color="D9D9D9"/>
          <w:right w:val="single" w:sz="4" w:space="2" w:color="D9D9D9"/>
        </w:pBdr>
      </w:pPr>
      <w:r>
        <w:rPr>
          <w:rStyle w:val="VerbatimChar"/>
          <w:rFonts w:ascii="Times New Roman" w:hAnsi="Times New Roman" w:eastAsia="仿宋GB2312"/>
          <w:sz w:val="28"/>
        </w:rPr>
        <w:t xml:space="preserve">你是 WUNDER，一个强大的智能体。</w:t>
      </w:r>
      <w:r>
        <w:rPr>
          <w:rFonts w:ascii="Times New Roman" w:hAnsi="Times New Roman" w:eastAsia="仿宋GB2312"/>
          <w:sz w:val="28"/>
        </w:rPr>
        <w:br/>
      </w:r>
      <w:r>
        <w:rPr>
          <w:rFonts w:ascii="Times New Roman" w:hAnsi="Times New Roman" w:eastAsia="仿宋GB2312"/>
          <w:sz w:val="28"/>
        </w:rPr>
        <w:br/>
      </w:r>
      <w:r>
        <w:rPr>
          <w:rStyle w:val="VerbatimChar"/>
          <w:rFonts w:ascii="Times New Roman" w:hAnsi="Times New Roman" w:eastAsia="仿宋GB2312"/>
          <w:sz w:val="28"/>
        </w:rPr>
        <w:t xml:space="preserve">[编程提示]</w:t>
      </w:r>
      <w:r>
        <w:rPr>
          <w:rFonts w:ascii="Times New Roman" w:hAnsi="Times New Roman" w:eastAsia="仿宋GB2312"/>
          <w:sz w:val="28"/>
        </w:rPr>
        <w:br/>
      </w:r>
      <w:r>
        <w:rPr>
          <w:rStyle w:val="VerbatimChar"/>
          <w:rFonts w:ascii="Times New Roman" w:hAnsi="Times New Roman" w:eastAsia="仿宋GB2312"/>
          <w:sz w:val="28"/>
        </w:rPr>
        <w:t xml:space="preserve">- 先确认语言/版本/运行环境/输入输出/性能目标。</w:t>
      </w:r>
      <w:r>
        <w:rPr>
          <w:rFonts w:ascii="Times New Roman" w:hAnsi="Times New Roman" w:eastAsia="仿宋GB2312"/>
          <w:sz w:val="28"/>
        </w:rPr>
        <w:br/>
      </w:r>
      <w:r>
        <w:rPr>
          <w:rStyle w:val="VerbatimChar"/>
          <w:rFonts w:ascii="Times New Roman" w:hAnsi="Times New Roman" w:eastAsia="仿宋GB2312"/>
          <w:sz w:val="28"/>
        </w:rPr>
        <w:t xml:space="preserve">- 你目前在一个 docker 容器里运行，环境摘要如下：Debian 12；Python3；Matplotlib 可用。</w:t>
      </w:r>
      <w:r>
        <w:rPr>
          <w:rFonts w:ascii="Times New Roman" w:hAnsi="Times New Roman" w:eastAsia="仿宋GB2312"/>
          <w:sz w:val="28"/>
        </w:rPr>
        <w:br/>
      </w:r>
      <w:r>
        <w:rPr>
          <w:rFonts w:ascii="Times New Roman" w:hAnsi="Times New Roman" w:eastAsia="仿宋GB2312"/>
          <w:sz w:val="28"/>
        </w:rPr>
        <w:br/>
      </w:r>
      <w:r>
        <w:rPr>
          <w:rStyle w:val="VerbatimChar"/>
          <w:rFonts w:ascii="Times New Roman" w:hAnsi="Times New Roman" w:eastAsia="仿宋GB2312"/>
          <w:sz w:val="28"/>
        </w:rPr>
        <w:t xml:space="preserve">工具签名在 &lt;tools&gt; &lt;/tools&gt; 内：</w:t>
      </w:r>
      <w:r>
        <w:rPr>
          <w:rFonts w:ascii="Times New Roman" w:hAnsi="Times New Roman" w:eastAsia="仿宋GB2312"/>
          <w:sz w:val="28"/>
        </w:rPr>
        <w:br/>
      </w:r>
      <w:r>
        <w:rPr>
          <w:rStyle w:val="VerbatimChar"/>
          <w:rFonts w:ascii="Times New Roman" w:hAnsi="Times New Roman" w:eastAsia="仿宋GB2312"/>
          <w:sz w:val="28"/>
        </w:rPr>
        <w:t xml:space="preserve">&lt;tools&gt;</w:t>
      </w:r>
      <w:r>
        <w:rPr>
          <w:rFonts w:ascii="Times New Roman" w:hAnsi="Times New Roman" w:eastAsia="仿宋GB2312"/>
          <w:sz w:val="28"/>
        </w:rPr>
        <w:br/>
      </w:r>
      <w:r>
        <w:rPr>
          <w:rStyle w:val="VerbatimChar"/>
          <w:rFonts w:ascii="Times New Roman" w:hAnsi="Times New Roman" w:eastAsia="仿宋GB2312"/>
          <w:sz w:val="28"/>
        </w:rPr>
        <w:t xml:space="preserve">{"name":"读取文件","description":"读取指定路径文件","arguments":{"path":"string"}}</w:t>
      </w:r>
      <w:r>
        <w:rPr>
          <w:rFonts w:ascii="Times New Roman" w:hAnsi="Times New Roman" w:eastAsia="仿宋GB2312"/>
          <w:sz w:val="28"/>
        </w:rPr>
        <w:br/>
      </w:r>
      <w:r>
        <w:rPr>
          <w:rStyle w:val="VerbatimChar"/>
          <w:rFonts w:ascii="Times New Roman" w:hAnsi="Times New Roman" w:eastAsia="仿宋GB2312"/>
          <w:sz w:val="28"/>
        </w:rPr>
        <w:t xml:space="preserve">&lt;/tools&gt;</w:t>
      </w:r>
      <w:r>
        <w:rPr>
          <w:rFonts w:ascii="Times New Roman" w:hAnsi="Times New Roman" w:eastAsia="仿宋GB2312"/>
          <w:sz w:val="28"/>
        </w:rPr>
        <w:br/>
      </w:r>
      <w:r>
        <w:rPr>
          <w:rFonts w:ascii="Times New Roman" w:hAnsi="Times New Roman" w:eastAsia="仿宋GB2312"/>
          <w:sz w:val="28"/>
        </w:rPr>
        <w:br/>
      </w:r>
      <w:r>
        <w:rPr>
          <w:rStyle w:val="VerbatimChar"/>
          <w:rFonts w:ascii="Times New Roman" w:hAnsi="Times New Roman" w:eastAsia="仿宋GB2312"/>
          <w:sz w:val="28"/>
        </w:rPr>
        <w:t xml:space="preserve">目标：用最少闲聊和步骤准确完成用户任务。</w:t>
      </w:r>
      <w:r>
        <w:rPr>
          <w:rFonts w:ascii="Times New Roman" w:hAnsi="Times New Roman" w:eastAsia="仿宋GB2312"/>
          <w:sz w:val="28"/>
        </w:rPr>
        <w:br/>
      </w:r>
      <w:r>
        <w:rPr>
          <w:rStyle w:val="VerbatimChar"/>
          <w:rFonts w:ascii="Times New Roman" w:hAnsi="Times New Roman" w:eastAsia="仿宋GB2312"/>
          <w:sz w:val="28"/>
        </w:rPr>
        <w:t xml:space="preserve">- 每次只能调用一个工具，遇到不明确指令先澄清。</w:t>
      </w:r>
      <w:r>
        <w:rPr>
          <w:rFonts w:ascii="Times New Roman" w:hAnsi="Times New Roman" w:eastAsia="仿宋GB2312"/>
          <w:sz w:val="28"/>
        </w:rPr>
        <w:br/>
      </w:r>
      <w:r>
        <w:rPr>
          <w:rFonts w:ascii="Times New Roman" w:hAnsi="Times New Roman" w:eastAsia="仿宋GB2312"/>
          <w:sz w:val="28"/>
        </w:rPr>
        <w:br/>
      </w:r>
      <w:r>
        <w:rPr>
          <w:rStyle w:val="VerbatimChar"/>
          <w:rFonts w:ascii="Times New Roman" w:hAnsi="Times New Roman" w:eastAsia="仿宋GB2312"/>
          <w:sz w:val="28"/>
        </w:rPr>
        <w:t xml:space="preserve">[技能提示]</w:t>
      </w:r>
      <w:r>
        <w:rPr>
          <w:rFonts w:ascii="Times New Roman" w:hAnsi="Times New Roman" w:eastAsia="仿宋GB2312"/>
          <w:sz w:val="28"/>
        </w:rPr>
        <w:br/>
      </w:r>
      <w:r>
        <w:rPr>
          <w:rStyle w:val="VerbatimChar"/>
          <w:rFonts w:ascii="Times New Roman" w:hAnsi="Times New Roman" w:eastAsia="仿宋GB2312"/>
          <w:sz w:val="28"/>
        </w:rPr>
        <w:t xml:space="preserve">- skill_name</w:t>
      </w:r>
      <w:r>
        <w:rPr>
          <w:rFonts w:ascii="Times New Roman" w:hAnsi="Times New Roman" w:eastAsia="仿宋GB2312"/>
          <w:sz w:val="28"/>
        </w:rPr>
        <w:br/>
      </w:r>
      <w:r>
        <w:rPr>
          <w:rStyle w:val="VerbatimChar"/>
          <w:rFonts w:ascii="Times New Roman" w:hAnsi="Times New Roman" w:eastAsia="仿宋GB2312"/>
          <w:sz w:val="28"/>
        </w:rPr>
        <w:t xml:space="preserve">  SKILL.md: /workspaces/user/skills/skill_name/SKILL.md</w:t>
      </w:r>
    </w:p>
    <w:bookmarkEnd w:id="74"/>
    <w:bookmarkStart w:id="75" w:name="token-统计与上下文预算"/>
    <w:p>
      <w:pPr>
        <w:pStyle w:val="Heading3"/>
      </w:pPr>
      <w:r>
        <w:t xml:space="preserve">8.4 Token 统计与上下文预算</w:t>
      </w:r>
    </w:p>
    <w:p>
      <w:pPr>
        <w:pStyle w:val="FirstParagraph"/>
      </w:pPr>
      <w:r>
        <w:t xml:space="preserve">Token 统计强调“上下文占用量”而非计费消耗，是为了把预算管理与系统行为直接绑定。平台采用近似估算策略（如固定 bytes/token 近似），以换取实时性与低开销；对图片等多模态输入采用固定 token 估计，确保预算可控。压缩前移除 reasoning 内容，既降低成本，也避免无关信息挤占上下文。这一策略在速度与精度之间取得平衡，使预算控制成为可操作的工程手段。</w:t>
      </w:r>
    </w:p>
    <w:p>
      <w:pPr>
        <w:pStyle w:val="BodyText"/>
      </w:pPr>
      <w:r>
        <w:t xml:space="preserve">在 token 统计策略上，平台更关注“预算上界的稳定性”而不是精确计费。近似估算的意义在于快速给出安全阈值信号，让系统在逼近上限时提前压缩或裁剪，从而避免运行时突然超限带来的失败。这使预算管理成为可操作的控制手段，而不是事后分析的指标。</w:t>
      </w:r>
    </w:p>
    <w:bookmarkEnd w:id="75"/>
    <w:bookmarkEnd w:id="76"/>
    <w:bookmarkStart w:id="83" w:name="历史压缩与长期记忆"/>
    <w:p>
      <w:pPr>
        <w:pStyle w:val="Heading2"/>
      </w:pPr>
      <w:r>
        <w:t xml:space="preserve">9 历史压缩与长期记忆</w:t>
      </w:r>
    </w:p>
    <w:bookmarkStart w:id="80" w:name="历史压缩算法"/>
    <w:p>
      <w:pPr>
        <w:pStyle w:val="Heading3"/>
      </w:pPr>
      <w:r>
        <w:t xml:space="preserve">9.1 历史压缩算法</w:t>
      </w:r>
    </w:p>
    <w:p>
      <w:pPr>
        <w:pStyle w:val="FirstParagraph"/>
      </w:pPr>
      <w:r>
        <w:t xml:space="preserve">上下文压缩采用“双阈值触发 + 摘要生成 + 结果回填”的策略，核心流程如下：</w:t>
      </w:r>
    </w:p>
    <w:p>
      <w:pPr>
        <w:pStyle w:val="CaptionedFigure"/>
        <w:spacing w:lineRule="auto" w:line="240" w:before="120" w:after="120"/>
        <w:ind w:firstLine="0"/>
        <w:jc w:val="center"/>
      </w:pPr>
      <w:r>
        <w:drawing>
          <wp:inline>
            <wp:extent cx="5613400" cy="1252991"/>
            <wp:effectExtent b="0" l="0" r="0" t="0"/>
            <wp:docPr descr="历史压缩流程" title="" id="78" name="Picture"/>
            <a:graphic>
              <a:graphicData uri="http://schemas.openxmlformats.org/drawingml/2006/picture">
                <pic:pic>
                  <pic:nvPicPr>
                    <pic:cNvPr descr="../../docs/diagrams/system-intro/05-context-compaction-flow.png" id="79" name="Picture"/>
                    <pic:cNvPicPr>
                      <a:picLocks noChangeArrowheads="1" noChangeAspect="1"/>
                    </pic:cNvPicPr>
                  </pic:nvPicPr>
                  <pic:blipFill>
                    <a:blip r:embed="rId77"/>
                    <a:stretch>
                      <a:fillRect/>
                    </a:stretch>
                  </pic:blipFill>
                  <pic:spPr bwMode="auto">
                    <a:xfrm>
                      <a:off x="0" y="0"/>
                      <a:ext cx="5613400" cy="1252991"/>
                    </a:xfrm>
                    <a:prstGeom prst="rect">
                      <a:avLst/>
                    </a:prstGeom>
                    <a:noFill/>
                    <a:ln w="9525">
                      <a:noFill/>
                      <a:headEnd/>
                      <a:tailEnd/>
                    </a:ln>
                  </pic:spPr>
                </pic:pic>
              </a:graphicData>
            </a:graphic>
          </wp:inline>
        </w:drawing>
      </w:r>
    </w:p>
    <w:p>
      <w:pPr>
        <w:pStyle w:val="ImageCaption"/>
      </w:pPr>
      <w:r>
        <w:t xml:space="preserve">历史压缩流程</w:t>
      </w:r>
    </w:p>
    <w:p>
      <w:pPr>
        <w:pStyle w:val="BodyText"/>
      </w:pPr>
      <w:r>
        <w:t xml:space="preserve">该流程的设计逻辑是：当历史消息占用逼近预算或超出安全阈值时，系统先估算可用窗口并裁剪待压缩范围，然后以摘要代替大量历史，保持对话连续性。双阈值设计避免过早压缩导致信息不足，也避免过晚压缩带来的性能抖动。</w:t>
      </w:r>
    </w:p>
    <w:p>
      <w:pPr>
        <w:pStyle w:val="BodyText"/>
      </w:pPr>
      <w:r>
        <w:t xml:space="preserve">摘要内容不仅记录事实，还保留任务目标与关键决策线索，从而在后续推理中维持语义连贯。当摘要生成失败时，平台使用占位摘要并继续执行，保证流程不断；极端超限场景下再对工具结果进行裁剪，以确保系统始终可在预算内运行。</w:t>
      </w:r>
    </w:p>
    <w:p>
      <w:pPr>
        <w:pStyle w:val="BodyText"/>
      </w:pPr>
      <w:r>
        <w:t xml:space="preserve">压缩并不只是缩短文本，而是一次“叙事重构”。它需要保留任务目标、已完成的决策路径与关键约束，使模型在“简化后的历史”中继续推理时不偏离原意。这样，压缩不只是成本控制，而是长期任务连续性的一部分。</w:t>
      </w:r>
    </w:p>
    <w:bookmarkEnd w:id="80"/>
    <w:bookmarkStart w:id="81" w:name="长期记忆生成与队列"/>
    <w:p>
      <w:pPr>
        <w:pStyle w:val="Heading3"/>
      </w:pPr>
      <w:r>
        <w:t xml:space="preserve">9.2 长期记忆生成与队列</w:t>
      </w:r>
    </w:p>
    <w:p>
      <w:pPr>
        <w:pStyle w:val="FirstParagraph"/>
      </w:pPr>
      <w:r>
        <w:t xml:space="preserve">长期记忆生成被放置在主流程之外，以异步队列的方式执行，避免延迟影响实时响应。队列结构使得记忆生成具备可追踪的任务生命周期，成功与失败都可以被记录和回溯。这种设计将“高价值、低时效”的总结工作与“低延迟、高可用”的对话工作分离，实现性能与质量的同时兼顾。</w:t>
      </w:r>
    </w:p>
    <w:bookmarkEnd w:id="81"/>
    <w:bookmarkStart w:id="82" w:name="记忆注入策略"/>
    <w:p>
      <w:pPr>
        <w:pStyle w:val="Heading3"/>
      </w:pPr>
      <w:r>
        <w:t xml:space="preserve">9.3 记忆注入策略</w:t>
      </w:r>
    </w:p>
    <w:p>
      <w:pPr>
        <w:pStyle w:val="FirstParagraph"/>
      </w:pPr>
      <w:r>
        <w:t xml:space="preserve">记忆注入策略强调可读性与可控性。通过“标签 + 时间前缀”的结构，模型能够快速定位记忆内容的语境与时间，同时便于人工审计。限制单用户记忆条数的策略避免提示词无限增长，使长期记忆成为“帮助决策的背景”，而非“新的负担”。</w:t>
      </w:r>
    </w:p>
    <w:bookmarkEnd w:id="82"/>
    <w:bookmarkEnd w:id="83"/>
    <w:bookmarkStart w:id="87" w:name="工作区与数据持久化"/>
    <w:p>
      <w:pPr>
        <w:pStyle w:val="Heading2"/>
      </w:pPr>
      <w:r>
        <w:t xml:space="preserve">10 工作区与数据持久化</w:t>
      </w:r>
    </w:p>
    <w:bookmarkStart w:id="84" w:name="工作区管理"/>
    <w:p>
      <w:pPr>
        <w:pStyle w:val="Heading3"/>
      </w:pPr>
      <w:r>
        <w:t xml:space="preserve">10.1 工作区管理</w:t>
      </w:r>
    </w:p>
    <w:p>
      <w:pPr>
        <w:pStyle w:val="FirstParagraph"/>
      </w:pPr>
      <w:r>
        <w:t xml:space="preserve">工作区是多用户隔离与工具操作的基础边界。平台将每个 user_id 映射为独立工作区，使文件、日志与生成产物在逻辑上可独立管理。工作区管理围绕“隔离、可复现、低 IO”展开：</w:t>
      </w:r>
    </w:p>
    <w:p>
      <w:pPr>
        <w:pStyle w:val="Compact"/>
        <w:numPr>
          <w:ilvl w:val="0"/>
          <w:numId w:val="1002"/>
        </w:numPr>
      </w:pPr>
      <w:r>
        <w:t xml:space="preserve">隔离边界：工作区路径与工具默认执行目录绑定，降低跨用户污染与路径误用风险。</w:t>
      </w:r>
    </w:p>
    <w:p>
      <w:pPr>
        <w:pStyle w:val="Compact"/>
        <w:numPr>
          <w:ilvl w:val="0"/>
          <w:numId w:val="1002"/>
        </w:numPr>
      </w:pPr>
      <w:r>
        <w:t xml:space="preserve">可复现性：工作区树快照与产物索引保留关键文件/命令上下文，便于回放与追踪。</w:t>
      </w:r>
    </w:p>
    <w:p>
      <w:pPr>
        <w:pStyle w:val="Compact"/>
        <w:numPr>
          <w:ilvl w:val="0"/>
          <w:numId w:val="1002"/>
        </w:numPr>
      </w:pPr>
      <w:r>
        <w:t xml:space="preserve">性能控制：树缓存与搜索缓存降低频繁扫描成本，使高并发下响应更稳定。</w:t>
      </w:r>
    </w:p>
    <w:p>
      <w:pPr>
        <w:pStyle w:val="FirstParagraph"/>
      </w:pPr>
      <w:r>
        <w:t xml:space="preserve">工作区不仅是存储空间，更是任务连续性的载体，为长期协作提供可持久的“上下文外部化”。</w:t>
      </w:r>
    </w:p>
    <w:bookmarkEnd w:id="84"/>
    <w:bookmarkStart w:id="85" w:name="存储抽象与数据模型"/>
    <w:p>
      <w:pPr>
        <w:pStyle w:val="Heading3"/>
      </w:pPr>
      <w:r>
        <w:t xml:space="preserve">10.2 存储抽象与数据模型</w:t>
      </w:r>
    </w:p>
    <w:p>
      <w:pPr>
        <w:pStyle w:val="FirstParagraph"/>
      </w:pPr>
      <w:r>
        <w:t xml:space="preserve">存储层采用抽象接口统一对话历史、工具日志、监控事件与记忆记录，使业务逻辑不绑定具体数据库实现。核心思想是把“数据语义”稳定下来，而把“存储实现”做成可替换选项。典型数据类型如下：</w:t>
      </w:r>
    </w:p>
    <w:tbl>
      <w:tblPr>
        <w:tblStyle w:val="TableGrid"/>
        <w:tblW w:type="auto" w:w="0"/>
        <w:jc w:val="left"/>
        <w:tblLayout w:type="fixed"/>
        <w:tblLook w:firstRow="1" w:lastRow="0" w:firstColumn="0" w:lastColumn="0" w:noHBand="0" w:noVBand="0" w:val="0020"/>
        <w:tblCellMar>
          <w:top w:w="56" w:type="dxa"/>
          <w:bottom w:w="56" w:type="dxa"/>
          <w:left w:w="113" w:type="dxa"/>
          <w:right w:w="113" w:type="dxa"/>
        </w:tblCellMar>
      </w:tblPr>
      <w:tblGrid>
        <w:gridCol w:w="2640"/>
        <w:gridCol w:w="2640"/>
        <w:gridCol w:w="2640"/>
      </w:tblGrid>
      <w:tr>
        <w:trPr>
          <w:tblHeader w:val="on"/>
        </w:trPr>
        <w:tc>
          <w:tcPr>
            <w:vAlign w:val="center"/>
          </w:tcPr>
          <w:p>
            <w:pPr>
              <w:pStyle w:val="Compact"/>
              <w:spacing w:before="0" w:after="0" w:lineRule="exact" w:line="578"/>
              <w:ind w:firstLine="0"/>
              <w:jc w:val="center"/>
            </w:pPr>
            <w:r>
              <w:rPr>
                <w:rFonts w:ascii="Times New Roman" w:hAnsi="Times New Roman" w:eastAsia="仿宋GB2312"/>
                <w:sz w:val="28"/>
              </w:rPr>
              <w:t xml:space="preserve">数据类型</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主要用途</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设计要点</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会话历史</w:t>
            </w:r>
          </w:p>
        </w:tc>
        <w:tc>
          <w:tcPr>
            <w:vAlign w:val="center"/>
          </w:tcPr>
          <w:p>
            <w:pPr>
              <w:pStyle w:val="Compact"/>
              <w:spacing w:before="0" w:after="0" w:lineRule="exact" w:line="578"/>
              <w:ind w:firstLine="0"/>
              <w:jc w:val="left"/>
            </w:pPr>
            <w:r>
              <w:rPr>
                <w:rFonts w:ascii="Times New Roman" w:hAnsi="Times New Roman" w:eastAsia="仿宋GB2312"/>
                <w:sz w:val="28"/>
              </w:rPr>
              <w:t xml:space="preserve">还原对话上下文</w:t>
            </w:r>
          </w:p>
        </w:tc>
        <w:tc>
          <w:tcPr>
            <w:vAlign w:val="center"/>
          </w:tcPr>
          <w:p>
            <w:pPr>
              <w:pStyle w:val="Compact"/>
              <w:spacing w:before="0" w:after="0" w:lineRule="exact" w:line="578"/>
              <w:ind w:firstLine="0"/>
              <w:jc w:val="left"/>
            </w:pPr>
            <w:r>
              <w:rPr>
                <w:rFonts w:ascii="Times New Roman" w:hAnsi="Times New Roman" w:eastAsia="仿宋GB2312"/>
                <w:sz w:val="28"/>
              </w:rPr>
              <w:t xml:space="preserve">与系统提示词绑定、支持回放</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工具日志</w:t>
            </w:r>
          </w:p>
        </w:tc>
        <w:tc>
          <w:tcPr>
            <w:vAlign w:val="center"/>
          </w:tcPr>
          <w:p>
            <w:pPr>
              <w:pStyle w:val="Compact"/>
              <w:spacing w:before="0" w:after="0" w:lineRule="exact" w:line="578"/>
              <w:ind w:firstLine="0"/>
              <w:jc w:val="left"/>
            </w:pPr>
            <w:r>
              <w:rPr>
                <w:rFonts w:ascii="Times New Roman" w:hAnsi="Times New Roman" w:eastAsia="仿宋GB2312"/>
                <w:sz w:val="28"/>
              </w:rPr>
              <w:t xml:space="preserve">追踪工具调用</w:t>
            </w:r>
          </w:p>
        </w:tc>
        <w:tc>
          <w:tcPr>
            <w:vAlign w:val="center"/>
          </w:tcPr>
          <w:p>
            <w:pPr>
              <w:pStyle w:val="Compact"/>
              <w:spacing w:before="0" w:after="0" w:lineRule="exact" w:line="578"/>
              <w:ind w:firstLine="0"/>
              <w:jc w:val="left"/>
            </w:pPr>
            <w:r>
              <w:rPr>
                <w:rFonts w:ascii="Times New Roman" w:hAnsi="Times New Roman" w:eastAsia="仿宋GB2312"/>
                <w:sz w:val="28"/>
              </w:rPr>
              <w:t xml:space="preserve">记录参数/结果/耗时以便审计</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监控事件</w:t>
            </w:r>
          </w:p>
        </w:tc>
        <w:tc>
          <w:tcPr>
            <w:vAlign w:val="center"/>
          </w:tcPr>
          <w:p>
            <w:pPr>
              <w:pStyle w:val="Compact"/>
              <w:spacing w:before="0" w:after="0" w:lineRule="exact" w:line="578"/>
              <w:ind w:firstLine="0"/>
              <w:jc w:val="left"/>
            </w:pPr>
            <w:r>
              <w:rPr>
                <w:rFonts w:ascii="Times New Roman" w:hAnsi="Times New Roman" w:eastAsia="仿宋GB2312"/>
                <w:sz w:val="28"/>
              </w:rPr>
              <w:t xml:space="preserve">运行可观测</w:t>
            </w:r>
          </w:p>
        </w:tc>
        <w:tc>
          <w:tcPr>
            <w:vAlign w:val="center"/>
          </w:tcPr>
          <w:p>
            <w:pPr>
              <w:pStyle w:val="Compact"/>
              <w:spacing w:before="0" w:after="0" w:lineRule="exact" w:line="578"/>
              <w:ind w:firstLine="0"/>
              <w:jc w:val="left"/>
            </w:pPr>
            <w:r>
              <w:rPr>
                <w:rFonts w:ascii="Times New Roman" w:hAnsi="Times New Roman" w:eastAsia="仿宋GB2312"/>
                <w:sz w:val="28"/>
              </w:rPr>
              <w:t xml:space="preserve">事件流统一、支持 TTL 裁剪</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记忆/摘要</w:t>
            </w:r>
          </w:p>
        </w:tc>
        <w:tc>
          <w:tcPr>
            <w:vAlign w:val="center"/>
          </w:tcPr>
          <w:p>
            <w:pPr>
              <w:pStyle w:val="Compact"/>
              <w:spacing w:before="0" w:after="0" w:lineRule="exact" w:line="578"/>
              <w:ind w:firstLine="0"/>
              <w:jc w:val="left"/>
            </w:pPr>
            <w:r>
              <w:rPr>
                <w:rFonts w:ascii="Times New Roman" w:hAnsi="Times New Roman" w:eastAsia="仿宋GB2312"/>
                <w:sz w:val="28"/>
              </w:rPr>
              <w:t xml:space="preserve">长期演进</w:t>
            </w:r>
          </w:p>
        </w:tc>
        <w:tc>
          <w:tcPr>
            <w:vAlign w:val="center"/>
          </w:tcPr>
          <w:p>
            <w:pPr>
              <w:pStyle w:val="Compact"/>
              <w:spacing w:before="0" w:after="0" w:lineRule="exact" w:line="578"/>
              <w:ind w:firstLine="0"/>
              <w:jc w:val="left"/>
            </w:pPr>
            <w:r>
              <w:rPr>
                <w:rFonts w:ascii="Times New Roman" w:hAnsi="Times New Roman" w:eastAsia="仿宋GB2312"/>
                <w:sz w:val="28"/>
              </w:rPr>
              <w:t xml:space="preserve">结构化摘要、可追溯</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评估结果</w:t>
            </w:r>
          </w:p>
        </w:tc>
        <w:tc>
          <w:tcPr>
            <w:vAlign w:val="center"/>
          </w:tcPr>
          <w:p>
            <w:pPr>
              <w:pStyle w:val="Compact"/>
              <w:spacing w:before="0" w:after="0" w:lineRule="exact" w:line="578"/>
              <w:ind w:firstLine="0"/>
              <w:jc w:val="left"/>
            </w:pPr>
            <w:r>
              <w:rPr>
                <w:rFonts w:ascii="Times New Roman" w:hAnsi="Times New Roman" w:eastAsia="仿宋GB2312"/>
                <w:sz w:val="28"/>
              </w:rPr>
              <w:t xml:space="preserve">质量回归</w:t>
            </w:r>
          </w:p>
        </w:tc>
        <w:tc>
          <w:tcPr>
            <w:vAlign w:val="center"/>
          </w:tcPr>
          <w:p>
            <w:pPr>
              <w:pStyle w:val="Compact"/>
              <w:spacing w:before="0" w:after="0" w:lineRule="exact" w:line="578"/>
              <w:ind w:firstLine="0"/>
              <w:jc w:val="left"/>
            </w:pPr>
            <w:r>
              <w:rPr>
                <w:rFonts w:ascii="Times New Roman" w:hAnsi="Times New Roman" w:eastAsia="仿宋GB2312"/>
                <w:sz w:val="28"/>
              </w:rPr>
              <w:t xml:space="preserve">指标化对比与历史留存</w:t>
            </w:r>
          </w:p>
        </w:tc>
      </w:tr>
    </w:tbl>
    <w:p>
      <w:pPr>
        <w:pStyle w:val="BodyText"/>
      </w:pPr>
      <w:r>
        <w:t xml:space="preserve">在实现上以 PostgreSQL 作为生产数据库，SQLite 作为测试/轻量场景的兼容实现，从而在开发与部署之间保持一致的数据语义。</w:t>
      </w:r>
    </w:p>
    <w:bookmarkEnd w:id="85"/>
    <w:bookmarkStart w:id="86" w:name="数据保留与清理"/>
    <w:p>
      <w:pPr>
        <w:pStyle w:val="Heading3"/>
      </w:pPr>
      <w:r>
        <w:t xml:space="preserve">10.3 数据保留与清理</w:t>
      </w:r>
    </w:p>
    <w:p>
      <w:pPr>
        <w:pStyle w:val="FirstParagraph"/>
      </w:pPr>
      <w:r>
        <w:t xml:space="preserve">数据保留与清理策略面向长期运行，目标是在“可回放”与“可控成本”之间取得平衡。主要策略包括：</w:t>
      </w:r>
    </w:p>
    <w:p>
      <w:pPr>
        <w:pStyle w:val="Compact"/>
        <w:numPr>
          <w:ilvl w:val="0"/>
          <w:numId w:val="1003"/>
        </w:numPr>
      </w:pPr>
      <w:r>
        <w:t xml:space="preserve">历史记录与事件 TTL：保留必要回放窗口，避免无限增长。</w:t>
      </w:r>
    </w:p>
    <w:p>
      <w:pPr>
        <w:pStyle w:val="Compact"/>
        <w:numPr>
          <w:ilvl w:val="0"/>
          <w:numId w:val="1003"/>
        </w:numPr>
      </w:pPr>
      <w:r>
        <w:t xml:space="preserve">日志裁剪与批量写入：降低存储与 IO 压力，维持可观测性。</w:t>
      </w:r>
    </w:p>
    <w:p>
      <w:pPr>
        <w:pStyle w:val="Compact"/>
        <w:numPr>
          <w:ilvl w:val="0"/>
          <w:numId w:val="1003"/>
        </w:numPr>
      </w:pPr>
      <w:r>
        <w:t xml:space="preserve">工作区清理与统计：基于缓存与周期任务进行占用评估，避免频繁磁盘扫描。</w:t>
      </w:r>
    </w:p>
    <w:p>
      <w:pPr>
        <w:pStyle w:val="FirstParagraph"/>
      </w:pPr>
      <w:r>
        <w:t xml:space="preserve">这些策略让系统在多年运行中仍能保持可预测的资源曲线。</w:t>
      </w:r>
    </w:p>
    <w:bookmarkEnd w:id="86"/>
    <w:bookmarkEnd w:id="87"/>
    <w:bookmarkStart w:id="92" w:name="llm-适配与周边能力"/>
    <w:p>
      <w:pPr>
        <w:pStyle w:val="Heading2"/>
      </w:pPr>
      <w:r>
        <w:t xml:space="preserve">11 LLM 适配与周边能力</w:t>
      </w:r>
    </w:p>
    <w:bookmarkStart w:id="88" w:name="llm-适配层"/>
    <w:p>
      <w:pPr>
        <w:pStyle w:val="Heading3"/>
      </w:pPr>
      <w:r>
        <w:t xml:space="preserve">11.1 LLM 适配层</w:t>
      </w:r>
    </w:p>
    <w:p>
      <w:pPr>
        <w:pStyle w:val="FirstParagraph"/>
      </w:pPr>
      <w:r>
        <w:t xml:space="preserve">LLM 适配层的目标是把“多模型差异”隐藏在统一接口之后，保证上层调度逻辑稳定。适配策略可归纳为三类：</w:t>
      </w:r>
    </w:p>
    <w:p>
      <w:pPr>
        <w:pStyle w:val="Compact"/>
        <w:numPr>
          <w:ilvl w:val="0"/>
          <w:numId w:val="1004"/>
        </w:numPr>
      </w:pPr>
      <w:r>
        <w:t xml:space="preserve">接入统一：多 provider 预设、统一请求/响应结构、超时与重试策略一致化。</w:t>
      </w:r>
    </w:p>
    <w:p>
      <w:pPr>
        <w:pStyle w:val="Compact"/>
        <w:numPr>
          <w:ilvl w:val="0"/>
          <w:numId w:val="1004"/>
        </w:numPr>
      </w:pPr>
      <w:r>
        <w:t xml:space="preserve">输出一致：流式与非流式调用统一封装，流式 usage 缺失时自动降级估算。</w:t>
      </w:r>
    </w:p>
    <w:p>
      <w:pPr>
        <w:pStyle w:val="Compact"/>
        <w:numPr>
          <w:ilvl w:val="0"/>
          <w:numId w:val="1004"/>
        </w:numPr>
      </w:pPr>
      <w:r>
        <w:t xml:space="preserve">可观测性：reasoning 内容保留并透传，既服务调试，也为压缩与评估提供素材。</w:t>
      </w:r>
    </w:p>
    <w:bookmarkEnd w:id="88"/>
    <w:bookmarkStart w:id="89" w:name="mcp-双向互通"/>
    <w:p>
      <w:pPr>
        <w:pStyle w:val="Heading3"/>
      </w:pPr>
      <w:r>
        <w:t xml:space="preserve">11.2 MCP 双向互通</w:t>
      </w:r>
    </w:p>
    <w:p>
      <w:pPr>
        <w:pStyle w:val="FirstParagraph"/>
      </w:pPr>
      <w:r>
        <w:t xml:space="preserve">MCP 双向互通让平台既是能力使用者，也是能力提供者：</w:t>
      </w:r>
    </w:p>
    <w:p>
      <w:pPr>
        <w:pStyle w:val="Compact"/>
        <w:numPr>
          <w:ilvl w:val="0"/>
          <w:numId w:val="1005"/>
        </w:numPr>
      </w:pPr>
      <w:r>
        <w:t xml:space="preserve">客户端视角：缓存工具规格与版本标记，保持提示词基线稳定，减少远端抖动。</w:t>
      </w:r>
    </w:p>
    <w:p>
      <w:pPr>
        <w:pStyle w:val="Compact"/>
        <w:numPr>
          <w:ilvl w:val="0"/>
          <w:numId w:val="1005"/>
        </w:numPr>
      </w:pPr>
      <w:r>
        <w:t xml:space="preserve">服务端视角：将平台能力以 MCP 工具暴露，便于被其他系统调用与编排。</w:t>
      </w:r>
    </w:p>
    <w:p>
      <w:pPr>
        <w:pStyle w:val="Compact"/>
        <w:numPr>
          <w:ilvl w:val="0"/>
          <w:numId w:val="1005"/>
        </w:numPr>
      </w:pPr>
      <w:r>
        <w:t xml:space="preserve">治理策略：超时、限流与失败回退机制保证远端不可用时仍可稳定运行。</w:t>
      </w:r>
    </w:p>
    <w:bookmarkEnd w:id="89"/>
    <w:bookmarkStart w:id="90" w:name="lsp-语义增强"/>
    <w:p>
      <w:pPr>
        <w:pStyle w:val="Heading3"/>
      </w:pPr>
      <w:r>
        <w:t xml:space="preserve">11.3 LSP 语义增强</w:t>
      </w:r>
    </w:p>
    <w:p>
      <w:pPr>
        <w:pStyle w:val="FirstParagraph"/>
      </w:pPr>
      <w:r>
        <w:t xml:space="preserve">LSP 语义增强将代码语义能力引入智能体环境，使模型能够基于“语义结构”而非仅文本相似进行分析，核心价值包括：</w:t>
      </w:r>
    </w:p>
    <w:p>
      <w:pPr>
        <w:pStyle w:val="Compact"/>
        <w:numPr>
          <w:ilvl w:val="0"/>
          <w:numId w:val="1006"/>
        </w:numPr>
      </w:pPr>
      <w:r>
        <w:t xml:space="preserve">减少复杂代码库的误判与误改。</w:t>
      </w:r>
    </w:p>
    <w:p>
      <w:pPr>
        <w:pStyle w:val="Compact"/>
        <w:numPr>
          <w:ilvl w:val="0"/>
          <w:numId w:val="1006"/>
        </w:numPr>
      </w:pPr>
      <w:r>
        <w:t xml:space="preserve">为工具调用提供更可靠的上下文与定位依据。</w:t>
      </w:r>
    </w:p>
    <w:p>
      <w:pPr>
        <w:pStyle w:val="Compact"/>
        <w:numPr>
          <w:ilvl w:val="0"/>
          <w:numId w:val="1006"/>
        </w:numPr>
      </w:pPr>
      <w:r>
        <w:t xml:space="preserve">支撑代码导航、引用追踪与结构化理解。</w:t>
      </w:r>
    </w:p>
    <w:bookmarkEnd w:id="90"/>
    <w:bookmarkStart w:id="91" w:name="文档解析与附件处理"/>
    <w:p>
      <w:pPr>
        <w:pStyle w:val="Heading3"/>
      </w:pPr>
      <w:r>
        <w:t xml:space="preserve">11.4 文档解析与附件处理</w:t>
      </w:r>
    </w:p>
    <w:p>
      <w:pPr>
        <w:pStyle w:val="FirstParagraph"/>
      </w:pPr>
      <w:r>
        <w:t xml:space="preserve">文档解析与附件处理统一了“非结构化内容”进入系统的路径，强调一致的标准化入口：</w:t>
      </w:r>
    </w:p>
    <w:p>
      <w:pPr>
        <w:pStyle w:val="Compact"/>
        <w:numPr>
          <w:ilvl w:val="0"/>
          <w:numId w:val="1007"/>
        </w:numPr>
      </w:pPr>
      <w:r>
        <w:t xml:space="preserve">多格式统一转 Markdown，降低后续检索与推理的不确定性。</w:t>
      </w:r>
    </w:p>
    <w:p>
      <w:pPr>
        <w:pStyle w:val="Compact"/>
        <w:numPr>
          <w:ilvl w:val="0"/>
          <w:numId w:val="1007"/>
        </w:numPr>
      </w:pPr>
      <w:r>
        <w:t xml:space="preserve">管理端与用户端共用同一转换链路，避免解析逻辑分裂。</w:t>
      </w:r>
    </w:p>
    <w:p>
      <w:pPr>
        <w:pStyle w:val="Compact"/>
        <w:numPr>
          <w:ilvl w:val="0"/>
          <w:numId w:val="1007"/>
        </w:numPr>
      </w:pPr>
      <w:r>
        <w:t xml:space="preserve">解析结果可追踪，便于审计与质量回归。</w:t>
      </w:r>
    </w:p>
    <w:bookmarkEnd w:id="91"/>
    <w:bookmarkEnd w:id="92"/>
    <w:bookmarkStart w:id="97" w:name="可观测性与性能评估"/>
    <w:p>
      <w:pPr>
        <w:pStyle w:val="Heading2"/>
      </w:pPr>
      <w:r>
        <w:t xml:space="preserve">12 可观测性与性能评估</w:t>
      </w:r>
    </w:p>
    <w:bookmarkStart w:id="93" w:name="监控事件模型与系统快照"/>
    <w:p>
      <w:pPr>
        <w:pStyle w:val="Heading3"/>
      </w:pPr>
      <w:r>
        <w:t xml:space="preserve">12.1 监控事件模型与系统快照</w:t>
      </w:r>
    </w:p>
    <w:p>
      <w:pPr>
        <w:pStyle w:val="FirstParagraph"/>
      </w:pPr>
      <w:r>
        <w:t xml:space="preserve">监控事件模型以“可回放”为目标。事件流记录会话状态、工具调用与模型输出，使系统能够在问题发生后复现完整执行路径；系统快照提供资源与负载的横截面视图，为容量规划与性能优化提供依据。两者结合，让可观测性从“日志查看”提升为“过程理解”。</w:t>
      </w:r>
    </w:p>
    <w:tbl>
      <w:tblPr>
        <w:tblStyle w:val="TableGrid"/>
        <w:tblW w:type="auto" w:w="0"/>
        <w:jc w:val="left"/>
        <w:tblLayout w:type="fixed"/>
        <w:tblLook w:firstRow="1" w:lastRow="0" w:firstColumn="0" w:lastColumn="0" w:noHBand="0" w:noVBand="0" w:val="0020"/>
        <w:tblCellMar>
          <w:top w:w="56" w:type="dxa"/>
          <w:bottom w:w="56" w:type="dxa"/>
          <w:left w:w="113" w:type="dxa"/>
          <w:right w:w="113" w:type="dxa"/>
        </w:tblCellMar>
      </w:tblPr>
      <w:tblGrid>
        <w:gridCol w:w="2640"/>
        <w:gridCol w:w="2640"/>
        <w:gridCol w:w="2640"/>
      </w:tblGrid>
      <w:tr>
        <w:trPr>
          <w:tblHeader w:val="on"/>
        </w:trPr>
        <w:tc>
          <w:tcPr>
            <w:vAlign w:val="center"/>
          </w:tcPr>
          <w:p>
            <w:pPr>
              <w:pStyle w:val="Compact"/>
              <w:spacing w:before="0" w:after="0" w:lineRule="exact" w:line="578"/>
              <w:ind w:firstLine="0"/>
              <w:jc w:val="center"/>
            </w:pPr>
            <w:r>
              <w:rPr>
                <w:rFonts w:ascii="Times New Roman" w:hAnsi="Times New Roman" w:eastAsia="仿宋GB2312"/>
                <w:sz w:val="28"/>
              </w:rPr>
              <w:t xml:space="preserve">监控对象</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代表信息</w:t>
            </w:r>
          </w:p>
        </w:tc>
        <w:tc>
          <w:tcPr>
            <w:vAlign w:val="center"/>
          </w:tcPr>
          <w:p>
            <w:pPr>
              <w:pStyle w:val="Compact"/>
              <w:spacing w:before="0" w:after="0" w:lineRule="exact" w:line="578"/>
              <w:ind w:firstLine="0"/>
              <w:jc w:val="center"/>
            </w:pPr>
            <w:r>
              <w:rPr>
                <w:rFonts w:ascii="Times New Roman" w:hAnsi="Times New Roman" w:eastAsia="仿宋GB2312"/>
                <w:sz w:val="28"/>
              </w:rPr>
              <w:t xml:space="preserve">价值</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会话事件流</w:t>
            </w:r>
          </w:p>
        </w:tc>
        <w:tc>
          <w:tcPr>
            <w:vAlign w:val="center"/>
          </w:tcPr>
          <w:p>
            <w:pPr>
              <w:pStyle w:val="Compact"/>
              <w:spacing w:before="0" w:after="0" w:lineRule="exact" w:line="578"/>
              <w:ind w:firstLine="0"/>
              <w:jc w:val="left"/>
            </w:pPr>
            <w:r>
              <w:rPr>
                <w:rFonts w:ascii="Times New Roman" w:hAnsi="Times New Roman" w:eastAsia="仿宋GB2312"/>
                <w:sz w:val="28"/>
              </w:rPr>
              <w:t xml:space="preserve">轮次、工具调用、模型输出</w:t>
            </w:r>
          </w:p>
        </w:tc>
        <w:tc>
          <w:tcPr>
            <w:vAlign w:val="center"/>
          </w:tcPr>
          <w:p>
            <w:pPr>
              <w:pStyle w:val="Compact"/>
              <w:spacing w:before="0" w:after="0" w:lineRule="exact" w:line="578"/>
              <w:ind w:firstLine="0"/>
              <w:jc w:val="left"/>
            </w:pPr>
            <w:r>
              <w:rPr>
                <w:rFonts w:ascii="Times New Roman" w:hAnsi="Times New Roman" w:eastAsia="仿宋GB2312"/>
                <w:sz w:val="28"/>
              </w:rPr>
              <w:t xml:space="preserve">复现执行链路</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额度事件</w:t>
            </w:r>
          </w:p>
        </w:tc>
        <w:tc>
          <w:tcPr>
            <w:vAlign w:val="center"/>
          </w:tcPr>
          <w:p>
            <w:pPr>
              <w:pStyle w:val="Compact"/>
              <w:spacing w:before="0" w:after="0" w:lineRule="exact" w:line="578"/>
              <w:ind w:firstLine="0"/>
              <w:jc w:val="left"/>
            </w:pPr>
            <w:r>
              <w:rPr>
                <w:rStyle w:val="VerbatimChar"/>
                <w:rFonts w:ascii="Times New Roman" w:hAnsi="Times New Roman" w:eastAsia="仿宋GB2312"/>
                <w:sz w:val="28"/>
              </w:rPr>
              <w:t xml:space="preserve">quota_usage</w:t>
            </w:r>
          </w:p>
        </w:tc>
        <w:tc>
          <w:tcPr>
            <w:vAlign w:val="center"/>
          </w:tcPr>
          <w:p>
            <w:pPr>
              <w:pStyle w:val="Compact"/>
              <w:spacing w:before="0" w:after="0" w:lineRule="exact" w:line="578"/>
              <w:ind w:firstLine="0"/>
              <w:jc w:val="left"/>
            </w:pPr>
            <w:r>
              <w:rPr>
                <w:rFonts w:ascii="Times New Roman" w:hAnsi="Times New Roman" w:eastAsia="仿宋GB2312"/>
                <w:sz w:val="28"/>
              </w:rPr>
              <w:t xml:space="preserve">成本与治理可见</w:t>
            </w:r>
          </w:p>
        </w:tc>
      </w:tr>
      <w:tr>
        <w:tc>
          <w:tcPr>
            <w:vAlign w:val="center"/>
          </w:tcPr>
          <w:p>
            <w:pPr>
              <w:pStyle w:val="Compact"/>
              <w:spacing w:before="0" w:after="0" w:lineRule="exact" w:line="578"/>
              <w:ind w:firstLine="0"/>
              <w:jc w:val="left"/>
            </w:pPr>
            <w:r>
              <w:rPr>
                <w:rFonts w:ascii="Times New Roman" w:hAnsi="Times New Roman" w:eastAsia="仿宋GB2312"/>
                <w:sz w:val="28"/>
              </w:rPr>
              <w:t xml:space="preserve">系统快照</w:t>
            </w:r>
          </w:p>
        </w:tc>
        <w:tc>
          <w:tcPr>
            <w:vAlign w:val="center"/>
          </w:tcPr>
          <w:p>
            <w:pPr>
              <w:pStyle w:val="Compact"/>
              <w:spacing w:before="0" w:after="0" w:lineRule="exact" w:line="578"/>
              <w:ind w:firstLine="0"/>
              <w:jc w:val="left"/>
            </w:pPr>
            <w:r>
              <w:rPr>
                <w:rFonts w:ascii="Times New Roman" w:hAnsi="Times New Roman" w:eastAsia="仿宋GB2312"/>
                <w:sz w:val="28"/>
              </w:rPr>
              <w:t xml:space="preserve">负载、缓存、运行态</w:t>
            </w:r>
          </w:p>
        </w:tc>
        <w:tc>
          <w:tcPr>
            <w:vAlign w:val="center"/>
          </w:tcPr>
          <w:p>
            <w:pPr>
              <w:pStyle w:val="Compact"/>
              <w:spacing w:before="0" w:after="0" w:lineRule="exact" w:line="578"/>
              <w:ind w:firstLine="0"/>
              <w:jc w:val="left"/>
            </w:pPr>
            <w:r>
              <w:rPr>
                <w:rFonts w:ascii="Times New Roman" w:hAnsi="Times New Roman" w:eastAsia="仿宋GB2312"/>
                <w:sz w:val="28"/>
              </w:rPr>
              <w:t xml:space="preserve">容量规划与排障</w:t>
            </w:r>
          </w:p>
        </w:tc>
      </w:tr>
    </w:tbl>
    <w:bookmarkEnd w:id="93"/>
    <w:bookmarkStart w:id="94" w:name="吞吐量测试"/>
    <w:p>
      <w:pPr>
        <w:pStyle w:val="Heading3"/>
      </w:pPr>
      <w:r>
        <w:t xml:space="preserve">12.2 吞吐量测试</w:t>
      </w:r>
    </w:p>
    <w:p>
      <w:pPr>
        <w:pStyle w:val="FirstParagraph"/>
      </w:pPr>
      <w:r>
        <w:t xml:space="preserve">吞吐量测试用于量化平台在不同并发梯度下的表现，重点关注“稳定性”而非单点极值：</w:t>
      </w:r>
    </w:p>
    <w:p>
      <w:pPr>
        <w:pStyle w:val="Compact"/>
        <w:numPr>
          <w:ilvl w:val="0"/>
          <w:numId w:val="1008"/>
        </w:numPr>
      </w:pPr>
      <w:r>
        <w:t xml:space="preserve">多档并发 + 随机抽题，避免结果被单一场景偏置。</w:t>
      </w:r>
    </w:p>
    <w:p>
      <w:pPr>
        <w:pStyle w:val="Compact"/>
        <w:numPr>
          <w:ilvl w:val="0"/>
          <w:numId w:val="1008"/>
        </w:numPr>
      </w:pPr>
      <w:r>
        <w:t xml:space="preserve">延迟分布与 token 使用同时统计，便于评估性能与成本。</w:t>
      </w:r>
    </w:p>
    <w:p>
      <w:pPr>
        <w:pStyle w:val="Compact"/>
        <w:numPr>
          <w:ilvl w:val="0"/>
          <w:numId w:val="1008"/>
        </w:numPr>
      </w:pPr>
      <w:r>
        <w:t xml:space="preserve">报告持久化与历史对比，确保优化可以被量化验证。</w:t>
      </w:r>
    </w:p>
    <w:bookmarkEnd w:id="94"/>
    <w:bookmarkStart w:id="95" w:name="性能采样"/>
    <w:p>
      <w:pPr>
        <w:pStyle w:val="Heading3"/>
      </w:pPr>
      <w:r>
        <w:t xml:space="preserve">12.3 性能采样</w:t>
      </w:r>
    </w:p>
    <w:p>
      <w:pPr>
        <w:pStyle w:val="FirstParagraph"/>
      </w:pPr>
      <w:r>
        <w:t xml:space="preserve">性能采样强调“定位瓶颈”。平台在关键路径上进行耗时统计，使优化工作具有明确方向：</w:t>
      </w:r>
    </w:p>
    <w:p>
      <w:pPr>
        <w:pStyle w:val="Compact"/>
        <w:numPr>
          <w:ilvl w:val="0"/>
          <w:numId w:val="1009"/>
        </w:numPr>
      </w:pPr>
      <w:r>
        <w:t xml:space="preserve">提示词构建、文件操作、命令执行、日志写入等核心环节。</w:t>
      </w:r>
    </w:p>
    <w:p>
      <w:pPr>
        <w:pStyle w:val="Compact"/>
        <w:numPr>
          <w:ilvl w:val="0"/>
          <w:numId w:val="1009"/>
        </w:numPr>
      </w:pPr>
      <w:r>
        <w:t xml:space="preserve">采样结果用于性能优化，也为容量规划提供依据。</w:t>
      </w:r>
    </w:p>
    <w:bookmarkEnd w:id="95"/>
    <w:bookmarkStart w:id="96" w:name="能力评估"/>
    <w:p>
      <w:pPr>
        <w:pStyle w:val="Heading3"/>
      </w:pPr>
      <w:r>
        <w:t xml:space="preserve">12.4 能力评估</w:t>
      </w:r>
    </w:p>
    <w:p>
      <w:pPr>
        <w:pStyle w:val="FirstParagraph"/>
      </w:pPr>
      <w:r>
        <w:t xml:space="preserve">能力评估机制把“智能体质量”转化为可度量指标。评估流程强调覆盖面与可回放性：</w:t>
      </w:r>
    </w:p>
    <w:p>
      <w:pPr>
        <w:pStyle w:val="Compact"/>
        <w:numPr>
          <w:ilvl w:val="0"/>
          <w:numId w:val="1010"/>
        </w:numPr>
      </w:pPr>
      <w:r>
        <w:t xml:space="preserve">用例集 + 维度组合覆盖多任务类型，避免单一指标偏差。</w:t>
      </w:r>
    </w:p>
    <w:p>
      <w:pPr>
        <w:pStyle w:val="Compact"/>
        <w:numPr>
          <w:ilvl w:val="0"/>
          <w:numId w:val="1010"/>
        </w:numPr>
      </w:pPr>
      <w:r>
        <w:t xml:space="preserve">SSE 进度与单用例状态提升评估过程可见性。</w:t>
      </w:r>
    </w:p>
    <w:p>
      <w:pPr>
        <w:pStyle w:val="Compact"/>
        <w:numPr>
          <w:ilvl w:val="0"/>
          <w:numId w:val="1010"/>
        </w:numPr>
      </w:pPr>
      <w:r>
        <w:t xml:space="preserve">结果落库与历史回溯形成质量回归依据，并与 AgentBench、ToolBench 等基准对标。</w:t>
      </w:r>
    </w:p>
    <w:p>
      <w:pPr>
        <w:pStyle w:val="FirstParagraph"/>
      </w:pPr>
      <w:r>
        <w:rPr/>
        <w:t>最新基准如 WebArena 与 SWE-bench 将评测置于真实网站与真实代码库，强调长链路任务与多工具协同的困难性</w:t>
      </w:r>
      <w:r>
        <w:rPr>
          <w:vertAlign w:val="superscript"/>
        </w:rPr>
        <w:t>[23]</w:t>
      </w:r>
      <w:r>
        <w:rPr>
          <w:vertAlign w:val="superscript"/>
        </w:rPr>
        <w:t>[24]</w:t>
      </w:r>
      <w:r>
        <w:rPr/>
        <w:t>。这意味着评估不能停留在单轮回答的正确性，而必须关注过程一致性、工具调用路径与结果可回放性。Wunder 将事件流、会话状态与工具日志统一纳入评估视图，使改进能够围绕可观测证据展开，而不是依赖主观体验。</w:t>
      </w:r>
    </w:p>
    <w:bookmarkEnd w:id="96"/>
    <w:bookmarkEnd w:id="97"/>
    <w:bookmarkStart w:id="104" w:name="安全与可靠性设计"/>
    <w:p>
      <w:pPr>
        <w:pStyle w:val="Heading2"/>
      </w:pPr>
      <w:r>
        <w:t xml:space="preserve">13 安全与可靠性设计</w:t>
      </w:r>
    </w:p>
    <w:bookmarkStart w:id="98" w:name="鉴权与角色"/>
    <w:p>
      <w:pPr>
        <w:pStyle w:val="Heading3"/>
      </w:pPr>
      <w:r>
        <w:t xml:space="preserve">13.1 鉴权与角色</w:t>
      </w:r>
    </w:p>
    <w:p>
      <w:pPr>
        <w:pStyle w:val="FirstParagraph"/>
      </w:pPr>
      <w:r>
        <w:t xml:space="preserve">鉴权与角色设计强调“入口统一、权限清晰”，以最小角色集合覆盖主要场景：</w:t>
      </w:r>
    </w:p>
    <w:p>
      <w:pPr>
        <w:pStyle w:val="Compact"/>
        <w:numPr>
          <w:ilvl w:val="0"/>
          <w:numId w:val="1011"/>
        </w:numPr>
      </w:pPr>
      <w:r>
        <w:t xml:space="preserve">管理员接口通过 API key 或管理员 Token 控制敏感能力。</w:t>
      </w:r>
    </w:p>
    <w:p>
      <w:pPr>
        <w:pStyle w:val="Compact"/>
        <w:numPr>
          <w:ilvl w:val="0"/>
          <w:numId w:val="1011"/>
        </w:numPr>
      </w:pPr>
      <w:r>
        <w:t xml:space="preserve">用户侧接口使用 Bearer Token 确保身份隔离。</w:t>
      </w:r>
    </w:p>
    <w:p>
      <w:pPr>
        <w:pStyle w:val="Compact"/>
        <w:numPr>
          <w:ilvl w:val="0"/>
          <w:numId w:val="1011"/>
        </w:numPr>
      </w:pPr>
      <w:r>
        <w:t xml:space="preserve">user_id 被视为对话隔离的关键标识，使调试与生产调用保持一致语义。</w:t>
      </w:r>
    </w:p>
    <w:bookmarkEnd w:id="98"/>
    <w:bookmarkStart w:id="99" w:name="工具权限与沙盒"/>
    <w:p>
      <w:pPr>
        <w:pStyle w:val="Heading3"/>
      </w:pPr>
      <w:r>
        <w:t xml:space="preserve">13.2 工具权限与沙盒</w:t>
      </w:r>
    </w:p>
    <w:p>
      <w:pPr>
        <w:pStyle w:val="FirstParagraph"/>
      </w:pPr>
      <w:r>
        <w:t xml:space="preserve">工具权限与沙盒策略构建了多层防护，核心在于“边界明确、能力可控”：</w:t>
      </w:r>
    </w:p>
    <w:p>
      <w:pPr>
        <w:pStyle w:val="Compact"/>
        <w:numPr>
          <w:ilvl w:val="0"/>
          <w:numId w:val="1012"/>
        </w:numPr>
      </w:pPr>
      <w:r>
        <w:t xml:space="preserve">文件访问以工作区为默认边界，白名单/黑名单用于细化控制。</w:t>
      </w:r>
    </w:p>
    <w:p>
      <w:pPr>
        <w:pStyle w:val="Compact"/>
        <w:numPr>
          <w:ilvl w:val="0"/>
          <w:numId w:val="1012"/>
        </w:numPr>
      </w:pPr>
      <w:r>
        <w:t xml:space="preserve">命令执行受白名单约束，避免任意系统调用。</w:t>
      </w:r>
    </w:p>
    <w:p>
      <w:pPr>
        <w:pStyle w:val="Compact"/>
        <w:numPr>
          <w:ilvl w:val="0"/>
          <w:numId w:val="1012"/>
        </w:numPr>
      </w:pPr>
      <w:r>
        <w:t xml:space="preserve">可切换至共享沙盒运行，降低对主系统的影响。</w:t>
      </w:r>
    </w:p>
    <w:bookmarkEnd w:id="99"/>
    <w:bookmarkStart w:id="100" w:name="错误处理与恢复"/>
    <w:p>
      <w:pPr>
        <w:pStyle w:val="Heading3"/>
      </w:pPr>
      <w:r>
        <w:t xml:space="preserve">13.3 错误处理与恢复</w:t>
      </w:r>
    </w:p>
    <w:p>
      <w:pPr>
        <w:pStyle w:val="FirstParagraph"/>
      </w:pPr>
      <w:r>
        <w:t xml:space="preserve">错误处理与恢复机制强调“可解释与可继续”：</w:t>
      </w:r>
    </w:p>
    <w:p>
      <w:pPr>
        <w:pStyle w:val="Compact"/>
        <w:numPr>
          <w:ilvl w:val="0"/>
          <w:numId w:val="1013"/>
        </w:numPr>
      </w:pPr>
      <w:r>
        <w:t xml:space="preserve">统一错误码与结构化错误体，便于前端稳定展示异常原因。</w:t>
      </w:r>
    </w:p>
    <w:p>
      <w:pPr>
        <w:pStyle w:val="Compact"/>
        <w:numPr>
          <w:ilvl w:val="0"/>
          <w:numId w:val="1013"/>
        </w:numPr>
      </w:pPr>
      <w:r>
        <w:t xml:space="preserve">超时与重试策略应对短暂故障，降低失败率。</w:t>
      </w:r>
    </w:p>
    <w:p>
      <w:pPr>
        <w:pStyle w:val="Compact"/>
        <w:numPr>
          <w:ilvl w:val="0"/>
          <w:numId w:val="1013"/>
        </w:numPr>
      </w:pPr>
      <w:r>
        <w:t xml:space="preserve">事件回放确保 SSE 断线时过程可续与可追踪。</w:t>
      </w:r>
    </w:p>
    <w:bookmarkEnd w:id="100"/>
    <w:bookmarkStart w:id="101" w:name="长期运行策略"/>
    <w:p>
      <w:pPr>
        <w:pStyle w:val="Heading3"/>
      </w:pPr>
      <w:r>
        <w:t xml:space="preserve">13.4 长期运行策略</w:t>
      </w:r>
    </w:p>
    <w:p>
      <w:pPr>
        <w:pStyle w:val="FirstParagraph"/>
      </w:pPr>
      <w:r>
        <w:t xml:space="preserve">长期运行策略体现为持续的资源治理：</w:t>
      </w:r>
    </w:p>
    <w:p>
      <w:pPr>
        <w:pStyle w:val="Compact"/>
        <w:numPr>
          <w:ilvl w:val="0"/>
          <w:numId w:val="1014"/>
        </w:numPr>
      </w:pPr>
      <w:r>
        <w:t xml:space="preserve">缓存 TTL 与批量写入降低长时间运行的资源膨胀。</w:t>
      </w:r>
    </w:p>
    <w:p>
      <w:pPr>
        <w:pStyle w:val="Compact"/>
        <w:numPr>
          <w:ilvl w:val="0"/>
          <w:numId w:val="1014"/>
        </w:numPr>
      </w:pPr>
      <w:r>
        <w:t xml:space="preserve">工作区清理与存储保留策略保证历史可追溯且成本可控。</w:t>
      </w:r>
    </w:p>
    <w:p>
      <w:pPr>
        <w:pStyle w:val="Compact"/>
        <w:numPr>
          <w:ilvl w:val="0"/>
          <w:numId w:val="1014"/>
        </w:numPr>
      </w:pPr>
      <w:r>
        <w:t xml:space="preserve">长链路任务的可回放与可审计能力持续保留。</w:t>
      </w:r>
    </w:p>
    <w:bookmarkEnd w:id="101"/>
    <w:bookmarkStart w:id="102" w:name="内容安全与提示词防护"/>
    <w:p>
      <w:pPr>
        <w:pStyle w:val="Heading3"/>
      </w:pPr>
      <w:r>
        <w:t xml:space="preserve">13.5 内容安全与提示词防护</w:t>
      </w:r>
    </w:p>
    <w:p>
      <w:pPr>
        <w:pStyle w:val="FirstParagraph"/>
      </w:pPr>
      <w:r>
        <w:t xml:space="preserve">安全不仅是执行层约束，也是模型认知层的“前置规则”。Wunder 在系统提示词中内置安全协议，明确禁止违法、有害或不道德行为；针对自伤/他害等极端风险请求要求直接拒绝并提供安全引导；对可能存在风险但具有合法用途的任务，仅提供高层次、去危害的说明与替代方案；同时强调工具与数据仅可在授权范围内使用，避免越权或泄露。通过将安全原则固化在提示词中，平台把风险控制从“事后拦截”前移到“生成前约束”，显著降低模型误用的概率。</w:t>
      </w:r>
    </w:p>
    <w:p>
      <w:pPr>
        <w:pStyle w:val="BodyText"/>
      </w:pPr>
      <w:r>
        <w:t xml:space="preserve">提示词安全与工具治理联动：工具清单按场景显式启用与裁剪，减少不必要能力暴露；工作区隔离与工具日志/事件流确保可追踪与可审计，便于在发现风险时快速回放与定位。以上措施共同形成“提示词约束 + 工具边界 + 审计可追溯”的三层安全体系，强调安全是平台长期稳定运行的首要前提。</w:t>
      </w:r>
    </w:p>
    <w:bookmarkEnd w:id="102"/>
    <w:bookmarkStart w:id="103" w:name="长期稳定运行方法与工程化手段"/>
    <w:p>
      <w:pPr>
        <w:pStyle w:val="Heading3"/>
      </w:pPr>
      <w:r>
        <w:t xml:space="preserve">13.6 长期稳定运行方法与工程化手段</w:t>
      </w:r>
    </w:p>
    <w:p>
      <w:pPr>
        <w:pStyle w:val="FirstParagraph"/>
      </w:pPr>
      <w:r>
        <w:rPr/>
        <w:t>长期稳定运行不是单一优化，而是资源有界、故障隔离、可观测与质量回归的组合工程。SRE 与韧性工程强调以监控、自动化与演练/回归测试控制复杂系统风险</w:t>
      </w:r>
      <w:r>
        <w:rPr>
          <w:vertAlign w:val="superscript"/>
        </w:rPr>
        <w:t>[28]</w:t>
      </w:r>
      <w:r>
        <w:rPr>
          <w:vertAlign w:val="superscript"/>
        </w:rPr>
        <w:t>[30]</w:t>
      </w:r>
      <w:r>
        <w:rPr/>
        <w:t>，数据系统实践也强调生命周期治理与存储成本可控</w:t>
      </w:r>
      <w:r>
        <w:rPr>
          <w:vertAlign w:val="superscript"/>
        </w:rPr>
        <w:t>[29]</w:t>
      </w:r>
      <w:r>
        <w:rPr/>
        <w:t>。Wunder 将这些原则落地为以下机制：</w:t>
      </w:r>
    </w:p>
    <w:p>
      <w:pPr>
        <w:pStyle w:val="Compact"/>
        <w:numPr>
          <w:ilvl w:val="0"/>
          <w:numId w:val="1015"/>
        </w:numPr>
      </w:pPr>
      <w:r>
        <w:t xml:space="preserve">资源有界与背压：同一用户互斥 + 全局并发上限提供稳定吞吐基线，模型调用额度与 max_rounds 约束避免长链路占用过久；上下文预算与工具结果截断让每轮推理都有明确上界。</w:t>
      </w:r>
    </w:p>
    <w:p>
      <w:pPr>
        <w:pStyle w:val="Compact"/>
        <w:numPr>
          <w:ilvl w:val="0"/>
          <w:numId w:val="1015"/>
        </w:numPr>
      </w:pPr>
      <w:r>
        <w:t xml:space="preserve">故障隔离与退化：工作区隔离与沙盒执行限制风险扩散，工具白名单与权限边界减少误用；外部工具具备超时与失败回退，SSE 断线仍可继续执行并复用事件回放。</w:t>
      </w:r>
    </w:p>
    <w:p>
      <w:pPr>
        <w:pStyle w:val="Compact"/>
        <w:numPr>
          <w:ilvl w:val="0"/>
          <w:numId w:val="1015"/>
        </w:numPr>
      </w:pPr>
      <w:r>
        <w:t xml:space="preserve">上下文与数据生命周期治理：双阈值压缩、异步记忆队列与事件/日志 TTL 控制长期成本曲线；批量写入与缓存策略降低长期运行的 IO 压力，并让历史数据在可追溯与可控规模之间取得平衡。</w:t>
      </w:r>
    </w:p>
    <w:p>
      <w:pPr>
        <w:pStyle w:val="Compact"/>
        <w:numPr>
          <w:ilvl w:val="0"/>
          <w:numId w:val="1015"/>
        </w:numPr>
      </w:pPr>
      <w:r>
        <w:t xml:space="preserve">可观测与可回放：会话状态机、事件流与系统快照形成“事实记录 + 横截面视图”的组合，便于定位长链路任务的瓶颈与异常，避免问题长期潜伏。</w:t>
      </w:r>
    </w:p>
    <w:p>
      <w:pPr>
        <w:pStyle w:val="Compact"/>
        <w:numPr>
          <w:ilvl w:val="0"/>
          <w:numId w:val="1015"/>
        </w:numPr>
      </w:pPr>
      <w:r>
        <w:t xml:space="preserve">质量回归与长期验证：吞吐测试、能力评估与长对话稳定性验证形成持续回归闭环，使性能退化与行为漂移可被量化发现并快速修复。</w:t>
      </w:r>
    </w:p>
    <w:p>
      <w:pPr>
        <w:pStyle w:val="Compact"/>
        <w:numPr>
          <w:ilvl w:val="0"/>
          <w:numId w:val="1015"/>
        </w:numPr>
      </w:pPr>
      <w:r>
        <w:t xml:space="preserve">版本化与可演进配置：提示词分层构建与缓存、工具清单版本化、基础配置 + 覆盖配置机制共同降低变更抖动，使系统在多年演进中保持可控与可回溯。</w:t>
      </w:r>
    </w:p>
    <w:p>
      <w:pPr>
        <w:pStyle w:val="FirstParagraph"/>
      </w:pPr>
      <w:r>
        <w:t xml:space="preserve">这些手段共同把“多轮对话”从高不确定性的生成过程转化为可治理的工程系统，使平台具备年级别的稳定性与可演进性。</w:t>
      </w:r>
    </w:p>
    <w:bookmarkEnd w:id="103"/>
    <w:bookmarkEnd w:id="104"/>
    <w:bookmarkStart w:id="108" w:name="运维实践与可扩展性"/>
    <w:p>
      <w:pPr>
        <w:pStyle w:val="Heading2"/>
      </w:pPr>
      <w:r>
        <w:t xml:space="preserve">14 运维实践与可扩展性</w:t>
      </w:r>
    </w:p>
    <w:bookmarkStart w:id="105" w:name="管理与用户前端实践"/>
    <w:p>
      <w:pPr>
        <w:pStyle w:val="Heading3"/>
      </w:pPr>
      <w:r>
        <w:t xml:space="preserve">14.1 管理与用户前端实践</w:t>
      </w:r>
    </w:p>
    <w:p>
      <w:pPr>
        <w:pStyle w:val="FirstParagraph"/>
      </w:pPr>
      <w:r>
        <w:t xml:space="preserve">管理端与用户端的分工体现“治理与使用分离”：</w:t>
      </w:r>
    </w:p>
    <w:p>
      <w:pPr>
        <w:pStyle w:val="Compact"/>
        <w:numPr>
          <w:ilvl w:val="0"/>
          <w:numId w:val="1016"/>
        </w:numPr>
      </w:pPr>
      <w:r>
        <w:t xml:space="preserve">管理端聚焦配置、监控与评估，使平台能力可被持续调整与审计。</w:t>
      </w:r>
    </w:p>
    <w:p>
      <w:pPr>
        <w:pStyle w:val="Compact"/>
        <w:numPr>
          <w:ilvl w:val="0"/>
          <w:numId w:val="1016"/>
        </w:numPr>
      </w:pPr>
      <w:r>
        <w:t xml:space="preserve">用户端聚焦任务输入、结果获取与工作区操作，保持交互简洁。</w:t>
      </w:r>
    </w:p>
    <w:p>
      <w:pPr>
        <w:pStyle w:val="Compact"/>
        <w:numPr>
          <w:ilvl w:val="0"/>
          <w:numId w:val="1016"/>
        </w:numPr>
      </w:pPr>
      <w:r>
        <w:t xml:space="preserve">语言与主题一致性降低跨角色操作成本，便于协作与培训。</w:t>
      </w:r>
    </w:p>
    <w:p>
      <w:pPr>
        <w:pStyle w:val="FirstParagraph"/>
      </w:pPr>
      <w:r>
        <w:t xml:space="preserve">额度治理形成清晰闭环：管理端调整每日额度与权限，用户端在回复后展示本次消耗与剩余额度。</w:t>
      </w:r>
    </w:p>
    <w:bookmarkEnd w:id="105"/>
    <w:bookmarkStart w:id="106" w:name="部署与配置策略"/>
    <w:p>
      <w:pPr>
        <w:pStyle w:val="Heading3"/>
      </w:pPr>
      <w:r>
        <w:t xml:space="preserve">14.2 部署与配置策略</w:t>
      </w:r>
    </w:p>
    <w:p>
      <w:pPr>
        <w:pStyle w:val="FirstParagraph"/>
      </w:pPr>
      <w:r>
        <w:t xml:space="preserve">部署与配置策略强调“分层与可覆盖”，以减少环境差异带来的运行风险：</w:t>
      </w:r>
    </w:p>
    <w:p>
      <w:pPr>
        <w:pStyle w:val="Compact"/>
        <w:numPr>
          <w:ilvl w:val="0"/>
          <w:numId w:val="1017"/>
        </w:numPr>
      </w:pPr>
      <w:r>
        <w:t xml:space="preserve">容器化部署解耦主服务、数据库与沙盒服务，降低单点故障影响。</w:t>
      </w:r>
    </w:p>
    <w:p>
      <w:pPr>
        <w:pStyle w:val="Compact"/>
        <w:numPr>
          <w:ilvl w:val="0"/>
          <w:numId w:val="1017"/>
        </w:numPr>
      </w:pPr>
      <w:r>
        <w:t xml:space="preserve">基础配置 + 覆盖配置支持不同环境快速切换，并允许管理端动态调整。</w:t>
      </w:r>
    </w:p>
    <w:p>
      <w:pPr>
        <w:pStyle w:val="Compact"/>
        <w:numPr>
          <w:ilvl w:val="0"/>
          <w:numId w:val="1017"/>
        </w:numPr>
      </w:pPr>
      <w:r>
        <w:t xml:space="preserve">字体与绘图资源补齐保障中文显示与图形渲染稳定性。</w:t>
      </w:r>
    </w:p>
    <w:bookmarkEnd w:id="106"/>
    <w:bookmarkStart w:id="107" w:name="扩展方向"/>
    <w:p>
      <w:pPr>
        <w:pStyle w:val="Heading3"/>
      </w:pPr>
      <w:r>
        <w:t xml:space="preserve">14.3 扩展方向</w:t>
      </w:r>
    </w:p>
    <w:p>
      <w:pPr>
        <w:pStyle w:val="FirstParagraph"/>
      </w:pPr>
      <w:r>
        <w:t xml:space="preserve">扩展方向面向更大规模的企业级场景，强调“能力扩展不破坏既有边界”：</w:t>
      </w:r>
    </w:p>
    <w:p>
      <w:pPr>
        <w:pStyle w:val="Compact"/>
        <w:numPr>
          <w:ilvl w:val="0"/>
          <w:numId w:val="1018"/>
        </w:numPr>
      </w:pPr>
      <w:r>
        <w:t xml:space="preserve">分布式调度：提升跨机房吞吐与容错能力。</w:t>
      </w:r>
    </w:p>
    <w:p>
      <w:pPr>
        <w:pStyle w:val="Compact"/>
        <w:numPr>
          <w:ilvl w:val="0"/>
          <w:numId w:val="1018"/>
        </w:numPr>
      </w:pPr>
      <w:r>
        <w:t xml:space="preserve">向量检索：提高知识库命中率与召回质量。</w:t>
      </w:r>
    </w:p>
    <w:p>
      <w:pPr>
        <w:pStyle w:val="Compact"/>
        <w:numPr>
          <w:ilvl w:val="0"/>
          <w:numId w:val="1018"/>
        </w:numPr>
      </w:pPr>
      <w:r>
        <w:t xml:space="preserve">细粒度 RBAC 与审计：提升合规性与治理能力。</w:t>
      </w:r>
    </w:p>
    <w:p>
      <w:pPr>
        <w:pStyle w:val="Compact"/>
        <w:numPr>
          <w:ilvl w:val="0"/>
          <w:numId w:val="1018"/>
        </w:numPr>
      </w:pPr>
      <w:r>
        <w:t xml:space="preserve">计量计费体系：为商业化运营提供可持续基础。</w:t>
      </w:r>
    </w:p>
    <w:bookmarkEnd w:id="107"/>
    <w:bookmarkEnd w:id="108"/>
    <w:bookmarkStart w:id="109" w:name="结论与展望"/>
    <w:p>
      <w:pPr>
        <w:pStyle w:val="Heading2"/>
      </w:pPr>
      <w:r>
        <w:t xml:space="preserve">15 结论与展望</w:t>
      </w:r>
    </w:p>
    <w:p>
      <w:pPr>
        <w:pStyle w:val="FirstParagraph"/>
      </w:pPr>
      <w:r>
        <w:t xml:space="preserve">本文围绕 Wunder 智能体调度平台，从架构设计到关键实现进行了系统论述。平台通过统一入口、工具编排、上下文压缩、长期记忆与监控评估形成完整工程闭环，能够满足多用户、多工具、多模型的复杂需求，并具备良好的可维护性与可扩展性。未来工作可进一步增强知识库检索质量、完善技能执行与知识库持久化、引入更细粒度的权限控制与审计机制，并探索面向多集群的弹性调度与成本优化策略。</w:t>
      </w:r>
    </w:p>
    <w:bookmarkEnd w:id="109"/>
    <w:bookmarkStart w:id="110" w:name="十八参考文献"/>
    <w:p>
      <w:pPr>
        <w:pStyle w:val="Heading2"/>
      </w:pPr>
      <w:r>
        <w:t xml:space="preserve">十八、参考文献</w:t>
      </w:r>
    </w:p>
    <w:p>
      <w:pPr>
        <w:pStyle w:val="FirstParagraph"/>
      </w:pPr>
      <w:r>
        <w:t xml:space="preserve">[1] Wang L., Ma C., Feng X., et al. A Survey on Large Language Model based Autonomous Agents. arXiv:2308.11432, 2023. https://arxiv.org/abs/2308.11432</w:t>
      </w:r>
    </w:p>
    <w:p>
      <w:pPr>
        <w:pStyle w:val="BodyText"/>
      </w:pPr>
      <w:r>
        <w:t xml:space="preserve">[2] Yao S., Zhao J., Yu D., et al. ReAct: Synergizing Reasoning and Acting in Language Models. arXiv:2210.03629, 2022. https://arxiv.org/abs/2210.03629</w:t>
      </w:r>
    </w:p>
    <w:p>
      <w:pPr>
        <w:pStyle w:val="BodyText"/>
      </w:pPr>
      <w:r>
        <w:t xml:space="preserve">[3] Schick T., Dwivedi-Yu J., Dessì R., et al. Toolformer: Language Models Can Teach Themselves to Use Tools. arXiv:2302.04761, 2023. https://arxiv.org/abs/2302.04761</w:t>
      </w:r>
    </w:p>
    <w:p>
      <w:pPr>
        <w:pStyle w:val="BodyText"/>
      </w:pPr>
      <w:r>
        <w:t xml:space="preserve">[4] Park J. S., O’Brien J. C., Cai C. J., et al. Generative Agents: Interactive Simulacra of Human Behavior. arXiv:2304.03442, 2023. https://arxiv.org/abs/2304.03442</w:t>
      </w:r>
    </w:p>
    <w:p>
      <w:pPr>
        <w:pStyle w:val="BodyText"/>
      </w:pPr>
      <w:r>
        <w:t xml:space="preserve">[5] Packer C., Wooders S., Lin K., et al. MemGPT: Towards LLMs as Operating Systems. arXiv:2310.08560, 2023. https://arxiv.org/abs/2310.08560</w:t>
      </w:r>
    </w:p>
    <w:p>
      <w:pPr>
        <w:pStyle w:val="BodyText"/>
      </w:pPr>
      <w:r>
        <w:t xml:space="preserve">[6] Xu Q., Hong F., Li B., et al. On the Tool Manipulation Capability of Open-source Large Language Models. arXiv:2305.16504, 2023. https://arxiv.org/abs/2305.16504</w:t>
      </w:r>
    </w:p>
    <w:p>
      <w:pPr>
        <w:pStyle w:val="BodyText"/>
      </w:pPr>
      <w:r>
        <w:t xml:space="preserve">[7] Liu X., Yu H., Zhang H., et al. AgentBench: Evaluating LLMs as Agents. arXiv:2308.03688, 2023. https://arxiv.org/abs/2308.03688</w:t>
      </w:r>
    </w:p>
    <w:p>
      <w:pPr>
        <w:pStyle w:val="BodyText"/>
      </w:pPr>
      <w:r>
        <w:t xml:space="preserve">[8] OpenAI. How to call functions with chat models. OpenAI Cookbook, 2023. https://developers.openai.com/cookbook/examples/how_to_call_functions_with_chat_models (accessed 2026-01-22)</w:t>
      </w:r>
    </w:p>
    <w:p>
      <w:pPr>
        <w:pStyle w:val="BodyText"/>
      </w:pPr>
      <w:r>
        <w:t xml:space="preserve">[9] LangChain. LangChain overview - Docs by LangChain. https://docs.langchain.com/oss/python/langchain/overview (accessed 2026-01-22)</w:t>
      </w:r>
    </w:p>
    <w:p>
      <w:pPr>
        <w:pStyle w:val="BodyText"/>
      </w:pPr>
      <w:r>
        <w:t xml:space="preserve">[10] Significant-Gravitas. AutoGPT (GitHub). https://github.com/Significant-Gravitas/AutoGPT (accessed 2026-01-22)</w:t>
      </w:r>
    </w:p>
    <w:p>
      <w:pPr>
        <w:pStyle w:val="BodyText"/>
      </w:pPr>
      <w:r>
        <w:t xml:space="preserve">[11] Model Context Protocol. What is the Model Context Protocol (MCP)?. https://modelcontextprotocol.io/docs/getting-started/intro (accessed 2026-01-22)</w:t>
      </w:r>
    </w:p>
    <w:p>
      <w:pPr>
        <w:pStyle w:val="BodyText"/>
      </w:pPr>
      <w:r>
        <w:t xml:space="preserve">[12] JSON-RPC Working Group. JSON-RPC 2.0 Specification. https://www.jsonrpc.org/specification (accessed 2026-01-22)</w:t>
      </w:r>
    </w:p>
    <w:p>
      <w:pPr>
        <w:pStyle w:val="BodyText"/>
      </w:pPr>
      <w:r>
        <w:t xml:space="preserve">[13] WHATWG. HTML Standard — Server-Sent Events. https://html.spec.whatwg.org/multipage/server-sent-events.html (accessed 2026-01-22)</w:t>
      </w:r>
    </w:p>
    <w:p>
      <w:pPr>
        <w:pStyle w:val="BodyText"/>
      </w:pPr>
      <w:r>
        <w:t xml:space="preserve">[14] LangGenius. Dify README (GitHub). https://raw.githubusercontent.com/langgenius/dify/main/README.md (accessed 2026-01-22)</w:t>
      </w:r>
    </w:p>
    <w:p>
      <w:pPr>
        <w:pStyle w:val="BodyText"/>
      </w:pPr>
      <w:r>
        <w:t xml:space="preserve">[15] LangChain. LangGraph overview - Docs by LangChain. https://docs.langchain.com/oss/python/langgraph/overview (accessed 2026-01-22)</w:t>
      </w:r>
    </w:p>
    <w:p>
      <w:pPr>
        <w:pStyle w:val="BodyText"/>
      </w:pPr>
      <w:r>
        <w:t xml:space="preserve">[16] Microsoft. AutoGen README (GitHub). https://raw.githubusercontent.com/microsoft/autogen/main/README.md (accessed 2026-01-22)</w:t>
      </w:r>
    </w:p>
    <w:p>
      <w:pPr>
        <w:pStyle w:val="BodyText"/>
      </w:pPr>
      <w:r>
        <w:t xml:space="preserve">[17] crewAI Inc. crewAI README (GitHub). https://raw.githubusercontent.com/crewAIInc/crewAI/main/README.md (accessed 2026-01-22)</w:t>
      </w:r>
    </w:p>
    <w:p>
      <w:pPr>
        <w:pStyle w:val="BodyText"/>
      </w:pPr>
      <w:r>
        <w:t xml:space="preserve">[18] Coze. Coze Docs. https://www.coze.com/docs/ (accessed 2026-01-22)</w:t>
      </w:r>
    </w:p>
    <w:p>
      <w:pPr>
        <w:pStyle w:val="BodyText"/>
      </w:pPr>
      <w:r>
        <w:t xml:space="preserve">[19] Yao S., Yu D., Zhao J., et al. Tree of Thoughts: Deliberate Problem Solving with Large Language Models. arXiv:2305.10601, 2023. https://arxiv.org/abs/2305.10601</w:t>
      </w:r>
    </w:p>
    <w:p>
      <w:pPr>
        <w:pStyle w:val="BodyText"/>
      </w:pPr>
      <w:r>
        <w:t xml:space="preserve">[20] Shinn N., Cassano F., Berman E., et al. Reflexion: Language Agents with Verbal Reinforcement Learning. arXiv:2303.11366, 2023. https://arxiv.org/abs/2303.11366</w:t>
      </w:r>
    </w:p>
    <w:p>
      <w:pPr>
        <w:pStyle w:val="BodyText"/>
      </w:pPr>
      <w:r>
        <w:t xml:space="preserve">[21] Wang G., Xie Y., Jiang Y., et al. Voyager: An Open-Ended Embodied Agent with Large Language Models. arXiv:2305.16291, 2023. https://arxiv.org/abs/2305.16291</w:t>
      </w:r>
    </w:p>
    <w:p>
      <w:pPr>
        <w:pStyle w:val="BodyText"/>
      </w:pPr>
      <w:r>
        <w:t xml:space="preserve">[22] Hong S., Zhuge M., Chen J., et al. MetaGPT: Meta Programming for A Multi-Agent Collaborative Framework. arXiv:2308.00352, 2023. https://arxiv.org/abs/2308.00352</w:t>
      </w:r>
    </w:p>
    <w:p>
      <w:pPr>
        <w:pStyle w:val="BodyText"/>
      </w:pPr>
      <w:r>
        <w:t xml:space="preserve">[23] Zhou S., Xu F. F., Zhu H., et al. WebArena: A Realistic Web Environment for Building Autonomous Agents. arXiv:2307.13854, 2023. https://arxiv.org/abs/2307.13854</w:t>
      </w:r>
    </w:p>
    <w:p>
      <w:pPr>
        <w:pStyle w:val="BodyText"/>
      </w:pPr>
      <w:r>
        <w:t xml:space="preserve">[24] Jimenez C. E., Yang J., Wettig A., et al. SWE-bench: Can Language Models Resolve Real-World GitHub Issues?. arXiv:2310.06770, 2023. https://arxiv.org/abs/2310.06770</w:t>
      </w:r>
    </w:p>
    <w:p>
      <w:pPr>
        <w:pStyle w:val="BodyText"/>
      </w:pPr>
      <w:r>
        <w:t xml:space="preserve">[25] Xie T., Zhang D., Chen J., et al. OSWorld: Benchmarking Multimodal Agents for Open-Ended Tasks in Real Computer Environments. arXiv:2404.07972, 2024. https://arxiv.org/abs/2404.07972</w:t>
      </w:r>
    </w:p>
    <w:p>
      <w:pPr>
        <w:pStyle w:val="BodyText"/>
      </w:pPr>
      <w:r>
        <w:t xml:space="preserve">[26] Koh J. Y., Lo R., Jang L., et al. VisualWebArena: Evaluating Multimodal Agents on Realistic Visual Web Tasks. arXiv:2401.13649, 2024. https://arxiv.org/abs/2401.13649</w:t>
      </w:r>
    </w:p>
    <w:p>
      <w:pPr>
        <w:pStyle w:val="BodyText"/>
      </w:pPr>
      <w:r>
        <w:t xml:space="preserve">[27] Baechler G., Sunkara S., Wang M., et al. ScreenAI: A Vision-Language Model for UI and Infographics Understanding. arXiv:2402.04615, 2024. https://arxiv.org/abs/2402.04615</w:t>
      </w:r>
    </w:p>
    <w:p>
      <w:pPr>
        <w:pStyle w:val="BodyText"/>
      </w:pPr>
      <w:r>
        <w:t xml:space="preserve">[28] Beyer B., Jones C., Petoff J., Murphy N. R. Site Reliability Engineering: How Google Runs Production Systems. O’Reilly Media, 2016.</w:t>
      </w:r>
    </w:p>
    <w:p>
      <w:pPr>
        <w:pStyle w:val="BodyText"/>
      </w:pPr>
      <w:r>
        <w:t xml:space="preserve">[29] Kleppmann M. Designing Data-Intensive Applications: The Big Ideas Behind Reliable, Scalable, and Maintainable Systems. O’Reilly Media, 2017.</w:t>
      </w:r>
    </w:p>
    <w:p>
      <w:pPr>
        <w:pStyle w:val="BodyText"/>
      </w:pPr>
      <w:r>
        <w:t xml:space="preserve">[30] Basiri A., Behnam N., de Rooij R., et al. Chaos Engineering. IEEE Software, 2016. https://doi.org/10.1109/MS.2016.88</w:t>
      </w:r>
    </w:p>
    <w:bookmarkEnd w:id="110"/>
    <w:bookmarkEnd w:id="111"/>
    <w:sectPr w:rsidR="00FC693F" w:rsidRPr="0006063C" w:rsidSect="00034616">
      <w:footerReference r:id="rId9" w:type="default"/>
      <w:footerReference r:id="rId10" w:type="even"/>
      <w:pgSz w:h="16838" w:w="11906"/>
      <w:pgMar w:bottom="1984" w:footer="720" w:gutter="0" w:header="720" w:left="1587" w:right="1474" w:top="2098"/>
      <w:cols w:space="720"/>
      <w:docGrid w:charSpace="315" w:linePitch="578"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right"/>
    </w:pPr>
    <w:fldSimple w:instr="PAGE">
      <w:r>
        <w:rPr>
          <w:rFonts w:eastAsia="宋体" w:ascii="宋体" w:hAnsi="宋体"/>
          <w:sz w:val="28"/>
          <w:szCs w:val="28"/>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left"/>
    </w:pPr>
    <w:fldSimple w:instr="PAGE">
      <w:r>
        <w:rPr>
          <w:rFonts w:eastAsia="宋体" w:ascii="宋体" w:hAnsi="宋体"/>
          <w:sz w:val="28"/>
          <w:szCs w:val="28"/>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578" w:lineRule="exact"/>
      <w:ind w:firstLine="640"/>
    </w:pPr>
    <w:rPr>
      <w:rFonts w:ascii="Times New Roman" w:eastAsia="仿宋GB2312" w:hAnsi="Times New Roman"/>
      <w:sz w:val="3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578" w:lineRule="exact"/>
      <w:ind w:firstLine="640"/>
      <w:jc w:val="center"/>
      <w:outlineLvl w:val="0"/>
    </w:pPr>
    <w:rPr>
      <w:rFonts w:ascii="Times New Roman" w:eastAsia="方正小标宋简体" w:hAnsi="Times New Roman"/>
      <w:b w:val="0"/>
      <w:bCs/>
      <w:color w:themeColor="accent1" w:themeShade="BF" w:val="365F91"/>
      <w:sz w:val="44"/>
      <w:szCs w:val="28"/>
    </w:rPr>
  </w:style>
  <w:style w:styleId="Heading2" w:type="paragraph">
    <w:name w:val="heading 2"/>
    <w:basedOn w:val="Normal"/>
    <w:next w:val="Normal"/>
    <w:link w:val="Heading2Char"/>
    <w:uiPriority w:val="9"/>
    <w:unhideWhenUsed/>
    <w:qFormat/>
    <w:rsid w:val="00FC693F"/>
    <w:pPr>
      <w:keepNext/>
      <w:keepLines/>
      <w:spacing w:after="0" w:before="0" w:line="578" w:lineRule="exact"/>
      <w:ind w:firstLine="640"/>
      <w:jc w:val="left"/>
      <w:outlineLvl w:val="1"/>
    </w:pPr>
    <w:rPr>
      <w:rFonts w:ascii="Times New Roman" w:eastAsia="黑体" w:hAnsi="Times New Roman"/>
      <w:b w:val="0"/>
      <w:bCs/>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0" w:before="0" w:line="578" w:lineRule="exact"/>
      <w:ind w:firstLine="640"/>
      <w:jc w:val="left"/>
      <w:outlineLvl w:val="2"/>
    </w:pPr>
    <w:rPr>
      <w:rFonts w:ascii="Times New Roman" w:eastAsia="楷体GB2312" w:hAnsi="Times New Roman"/>
      <w:b w:val="0"/>
      <w:bCs/>
      <w:color w:themeColor="accent1" w:val="4F81BD"/>
      <w:sz w:val="32"/>
    </w:rPr>
  </w:style>
  <w:style w:styleId="Heading4" w:type="paragraph">
    <w:name w:val="heading 4"/>
    <w:basedOn w:val="Normal"/>
    <w:next w:val="Normal"/>
    <w:link w:val="Heading4Char"/>
    <w:uiPriority w:val="9"/>
    <w:semiHidden/>
    <w:unhideWhenUsed/>
    <w:qFormat/>
    <w:rsid w:val="00FC693F"/>
    <w:pPr>
      <w:keepNext/>
      <w:keepLines/>
      <w:spacing w:after="0" w:before="0" w:line="578" w:lineRule="exact"/>
      <w:ind w:firstLine="640"/>
      <w:jc w:val="left"/>
      <w:outlineLvl w:val="3"/>
    </w:pPr>
    <w:rPr>
      <w:rFonts w:ascii="Times New Roman" w:eastAsia="仿宋GB2312" w:hAnsi="Times New Roman"/>
      <w:b w:val="0"/>
      <w:bCs/>
      <w:i/>
      <w:iCs/>
      <w:color w:themeColor="accent1" w:val="4F81BD"/>
      <w:sz w:val="32"/>
    </w:rPr>
  </w:style>
  <w:style w:styleId="Heading5" w:type="paragraph">
    <w:name w:val="heading 5"/>
    <w:basedOn w:val="Normal"/>
    <w:next w:val="Normal"/>
    <w:link w:val="Heading5Char"/>
    <w:uiPriority w:val="9"/>
    <w:semiHidden/>
    <w:unhideWhenUsed/>
    <w:qFormat/>
    <w:rsid w:val="00FC693F"/>
    <w:pPr>
      <w:keepNext/>
      <w:keepLines/>
      <w:spacing w:after="0" w:before="0" w:line="578" w:lineRule="exact"/>
      <w:ind w:firstLine="640"/>
      <w:jc w:val="left"/>
      <w:outlineLvl w:val="4"/>
    </w:pPr>
    <w:rPr>
      <w:rFonts w:ascii="Times New Roman" w:eastAsia="仿宋GB2312" w:hAnsi="Times New Roman"/>
      <w:b w:val="0"/>
      <w:color w:themeColor="accent1" w:themeShade="7F" w:val="243F60"/>
      <w:sz w:val="3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rPr>
      <w:rFonts w:ascii="Times New Roman" w:hAnsi="Times New Roman" w:eastAsia="仿宋GB2312"/>
      <w:sz w:val="32"/>
    </w:rPr>
  </w:style>
  <w:style w:default="1" w:styleId="TableNormal" w:type="table">
    <w:name w:val="Normal Table"/>
    <w:uiPriority w:val="99"/>
    <w:semiHidden/>
    <w:unhideWhenUsed/>
    <w:rPr>
      <w:rFonts w:ascii="Times New Roman" w:hAnsi="Times New Roman" w:eastAsia="仿宋GB2312"/>
      <w:sz w:val="32"/>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imes New Roman" w:hAnsi="Times New Roman" w:eastAsia="方正小标宋简体"/>
      <w:b/>
      <w:bCs/>
      <w:color w:themeColor="accent1" w:themeShade="BF" w:val="365F91"/>
      <w:sz w:val="44"/>
      <w:szCs w:val="28"/>
    </w:rPr>
  </w:style>
  <w:style w:customStyle="1" w:styleId="Heading2Char" w:type="character">
    <w:name w:val="Heading 2 Char"/>
    <w:basedOn w:val="DefaultParagraphFont"/>
    <w:link w:val="Heading2"/>
    <w:uiPriority w:val="9"/>
    <w:rsid w:val="00FC693F"/>
    <w:rPr>
      <w:rFonts w:ascii="Times New Roman" w:hAnsi="Times New Roman" w:eastAsia="黑体"/>
      <w:b/>
      <w:bCs/>
      <w:color w:themeColor="accent1" w:val="4F81BD"/>
      <w:sz w:val="32"/>
      <w:szCs w:val="26"/>
    </w:rPr>
  </w:style>
  <w:style w:customStyle="1" w:styleId="Heading3Char" w:type="character">
    <w:name w:val="Heading 3 Char"/>
    <w:basedOn w:val="DefaultParagraphFont"/>
    <w:link w:val="Heading3"/>
    <w:uiPriority w:val="9"/>
    <w:rsid w:val="00FC693F"/>
    <w:rPr>
      <w:rFonts w:ascii="Times New Roman" w:hAnsi="Times New Roman" w:eastAsia="楷体GB2312"/>
      <w:b/>
      <w:bCs/>
      <w:color w:themeColor="accent1" w:val="4F81BD"/>
      <w:sz w:val="32"/>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hAnsi="Times New Roman" w:eastAsia="方正小标宋简体"/>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imes New Roman" w:hAnsi="Times New Roman" w:eastAsia="方正小标宋简体"/>
      <w:color w:themeColor="text2" w:themeShade="BF" w:val="17365D"/>
      <w:spacing w:val="5"/>
      <w:kern w:val="28"/>
      <w:sz w:val="44"/>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eastAsia="黑体"/>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imes New Roman" w:hAnsi="Times New Roman" w:eastAsia="黑体"/>
      <w:i/>
      <w:iCs/>
      <w:color w:themeColor="accent1" w:val="4F81BD"/>
      <w:spacing w:val="15"/>
      <w:sz w:val="32"/>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eastAsia="仿宋GB2312"/>
      <w:sz w:val="32"/>
    </w:rPr>
  </w:style>
  <w:style w:customStyle="1" w:styleId="BodyTextChar" w:type="character">
    <w:name w:val="Body Text Char"/>
    <w:basedOn w:val="DefaultParagraphFont"/>
    <w:link w:val="BodyText"/>
    <w:uiPriority w:val="99"/>
    <w:rsid w:val="00AA1D8D"/>
    <w:rPr>
      <w:rFonts w:ascii="Times New Roman" w:hAnsi="Times New Roman" w:eastAsia="仿宋GB2312"/>
      <w:sz w:val="32"/>
    </w:rPr>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before="0" w:line="578" w:lineRule="exact"/>
      <w:contextualSpacing/>
    </w:pPr>
    <w:rPr>
      <w:rFonts w:ascii="Times New Roman" w:eastAsia="仿宋GB2312" w:hAnsi="Times New Roman"/>
      <w:sz w:val="3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0" w:before="0" w:line="578" w:lineRule="exact"/>
      <w:contextualSpacing/>
    </w:pPr>
    <w:rPr>
      <w:rFonts w:ascii="Times New Roman" w:eastAsia="仿宋GB2312" w:hAnsi="Times New Roman"/>
      <w:sz w:val="3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imes New Roman" w:hAnsi="Times New Roman" w:eastAsia="仿宋GB2312"/>
      <w:b/>
      <w:bCs/>
      <w:i/>
      <w:iCs/>
      <w:color w:themeColor="accent1" w:val="4F81BD"/>
      <w:sz w:val="32"/>
    </w:rPr>
  </w:style>
  <w:style w:customStyle="1" w:styleId="Heading5Char" w:type="character">
    <w:name w:val="Heading 5 Char"/>
    <w:basedOn w:val="DefaultParagraphFont"/>
    <w:link w:val="Heading5"/>
    <w:uiPriority w:val="9"/>
    <w:semiHidden/>
    <w:rsid w:val="00FC693F"/>
    <w:rPr>
      <w:rFonts w:ascii="Times New Roman" w:hAnsi="Times New Roman" w:eastAsia="仿宋GB2312"/>
      <w:color w:themeColor="accent1" w:themeShade="7F" w:val="243F60"/>
      <w:sz w:val="32"/>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hAnsi="Times New Roman" w:eastAsia="仿宋GB2312"/>
      <w:sz w:val="32"/>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Imprint" w:type="paragraph">
    <w:name w:val="Imprint"/>
    <w:pPr>
      <w:spacing w:after="0" w:before="0" w:line="578" w:lineRule="exact"/>
      <w:ind w:firstLine="0"/>
    </w:pPr>
    <w:rPr>
      <w:rFonts w:ascii="Times New Roman" w:eastAsia="仿宋GB2312" w:hAnsi="Times New Roman"/>
      <w:sz w:val="28"/>
    </w:rPr>
  </w:style>
  <w:style w:type="paragraph" w:customStyle="1" w:styleId="SourceCode">
    <w:name w:val="Source Code"/>
    <w:basedOn w:val="Normal"/>
    <w:link w:val="VerbatimChar"/>
    <w:pPr>
      <w:wordWrap w:val="off"/>
      <w:spacing w:line="240" w:lineRule="auto" w:before="120" w:after="120"/>
      <w:ind w:firstLine="0" w:left="283"/>
    </w:pPr>
    <w:rPr>
      <w:rFonts w:ascii="Times New Roman" w:hAnsi="Times New Roman" w:eastAsia="仿宋GB2312"/>
      <w:sz w:val="2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32" Type="http://schemas.openxmlformats.org/officeDocument/2006/relationships/image" Target="media/rId32.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77" Type="http://schemas.openxmlformats.org/officeDocument/2006/relationships/image" Target="media/rId77.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2026-01-25T07:33:03Z</dcterms:created>
  <dcterms:modified xsi:type="dcterms:W3CDTF">2026-01-25T07:33:03Z</dcterms:modified>
</cp:coreProperties>
</file>

<file path=docProps/custom.xml><?xml version="1.0" encoding="utf-8"?>
<Properties xmlns="http://schemas.openxmlformats.org/officeDocument/2006/custom-properties" xmlns:vt="http://schemas.openxmlformats.org/officeDocument/2006/docPropsVTypes"/>
</file>