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91E4A">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Manuscript Number: </w:t>
      </w:r>
      <w:r>
        <w:rPr>
          <w:rStyle w:val="4"/>
          <w:rFonts w:hint="default" w:ascii="Times New Roman" w:hAnsi="Times New Roman" w:eastAsia="宋体" w:cs="Times New Roman"/>
          <w:i w:val="0"/>
          <w:iCs w:val="0"/>
          <w:caps w:val="0"/>
          <w:color w:val="000000"/>
          <w:spacing w:val="0"/>
          <w:sz w:val="21"/>
          <w:szCs w:val="21"/>
        </w:rPr>
        <w:t>FRL-D-26-00410</w:t>
      </w:r>
      <w:r>
        <w:rPr>
          <w:rFonts w:hint="default" w:ascii="Times New Roman" w:hAnsi="Times New Roman" w:eastAsia="宋体" w:cs="Times New Roman"/>
          <w:i w:val="0"/>
          <w:iCs w:val="0"/>
          <w:caps w:val="0"/>
          <w:color w:val="000000"/>
          <w:spacing w:val="0"/>
          <w:sz w:val="21"/>
          <w:szCs w:val="21"/>
        </w:rPr>
        <w:t>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The Digital WatchDog for Transparent Procurement: Detecting Bid Rigging in China's Government and Enterprise Procurement via Blockchain and Large Language Models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Dear Ms Yang,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Thank you for submitting your manuscript to Finance Research Letters.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I have completed my evaluation of your manuscript. The reviewers recommend reconsideration of your manuscript following major revision and modification. I invite you to resubmit your manuscript after addressing the comments below. Please resubmit your revised manuscript by </w:t>
      </w:r>
      <w:r>
        <w:rPr>
          <w:rStyle w:val="4"/>
          <w:rFonts w:hint="default" w:ascii="Times New Roman" w:hAnsi="Times New Roman" w:eastAsia="宋体" w:cs="Times New Roman"/>
          <w:i w:val="0"/>
          <w:iCs w:val="0"/>
          <w:caps w:val="0"/>
          <w:color w:val="000000"/>
          <w:spacing w:val="0"/>
          <w:sz w:val="21"/>
          <w:szCs w:val="21"/>
        </w:rPr>
        <w:t>Jun 01, 2026</w:t>
      </w:r>
      <w:r>
        <w:rPr>
          <w:rFonts w:hint="default" w:ascii="Times New Roman" w:hAnsi="Times New Roman" w:eastAsia="宋体" w:cs="Times New Roman"/>
          <w:i w:val="0"/>
          <w:iCs w:val="0"/>
          <w:caps w:val="0"/>
          <w:color w:val="000000"/>
          <w:spacing w:val="0"/>
          <w:sz w:val="21"/>
          <w:szCs w:val="21"/>
        </w:rPr>
        <w:t>.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When revising your manuscript, please consider all issues mentioned in the reviewers' comments carefully: please outline every change made in response to their comments and provide suitable rebuttals for any comments not addressed. Please note that your revised submission may need to be re-reviewed.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To submit your revised manuscript, please log in as an author at https://www.editorialmanager.com/frl/, and navigate to the "Submissions Needing Revision" folder under the Author Main Menu.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Research Elements (optional)</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Finance Research Letters values your contribution and I look forward to receiving your revised manuscript.￼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Kind regards,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Finance Research Letters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Editor and Reviewer comments:  </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Reviewer #1: This paper proposes a digital regulatory framework that integrates large language models (LLMs) with blockchain infrastructure ("Digital Watchdog") to address bid-rigging detection in public procurement. The authors argue that the approach simultaneously fills two structural gaps in existing regulatory practice: the neglect of unstructured "soft information" in traditional price-based screens and the lack of tamper-resistant audit trails in centralized data systems. Using data from a municipal blockchain-based tendering platform, the paper reports performance improvements and draws strong conclusions about the necessity of both LLMs and blockchain in procurement oversight.</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Weaknesses:</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1. The theoretical argument for performance gains relies on a probabilistic aggregation of a price-based model and an LLM-based detector that is not statistically well-founded. The paper defines detection probabilities in terms of precision, then interprets the resulting union probability as a "total identification rate" or "overall accuracy," conflating distinct evaluation metrics. Moreover, key parameters governing the dependence between the two detectors are not empirically estimated in a transparent or reproducible way. As a result, the claimed theoretical upper bound (e.g., a combined rate exceeding 0.8) lacks a coherent statistical interpretation and cannot be used to substantiate the paper's central claim of a fundamental performance breakthrough.</w:t>
      </w:r>
    </w:p>
    <w:p w14:paraId="128C024F">
      <w:pPr>
        <w:rPr>
          <w:rFonts w:hint="default" w:ascii="Times New Roman" w:hAnsi="Times New Roman" w:eastAsia="宋体" w:cs="Times New Roman"/>
          <w:i w:val="0"/>
          <w:iCs w:val="0"/>
          <w:caps w:val="0"/>
          <w:color w:val="000000"/>
          <w:spacing w:val="0"/>
          <w:sz w:val="21"/>
          <w:szCs w:val="21"/>
        </w:rPr>
      </w:pPr>
    </w:p>
    <w:p w14:paraId="15B49EDD">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关于性能提升的理论论证依赖于基于价格模型和基于语言模型的检测器的概率性综合，但这种综合在统计上并不具有充分的依据。该论文以精确度来定义检测概率，然后将由此产生的并集概率解释为“总识别率”或“总体准确率”，将不同的评估指标混为一谈。此外，控制两个检测器之间相互依赖关系的关键参数并未以透明或可重复的方式进行实证估计。因此，所宣称的理论上限（例如，综合率超过 0.8）缺乏一致的统计解释，无法用于证实该论文关于实现根本性能突破的核心论点。</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2. The conclusion that blockchain is a "non-negotiable" component of the proposed system is supported only by a narrowly constructed counterfactual experiment. The simulated internal manipulation alters bid prices to align them with the normal price distribution, after which model performance deteriorates. This experiment demonstrates that systematic data tampering undermines detection models, but it does not identify blockchain as the unique or necessary institutional solution. Alternative integrity-preserving mechanisms (e.g., immutable audit logs, third-party time-stamping, or independent archival systems) are not considered or compared, making the leap from "data manipulation is harmful" to "blockchain is indispensable" logically unsupported.</w:t>
      </w:r>
    </w:p>
    <w:p w14:paraId="264F85E1">
      <w:pPr>
        <w:rPr>
          <w:rFonts w:hint="default" w:ascii="Times New Roman" w:hAnsi="Times New Roman" w:eastAsia="宋体" w:cs="Times New Roman"/>
          <w:i w:val="0"/>
          <w:iCs w:val="0"/>
          <w:caps w:val="0"/>
          <w:color w:val="000000"/>
          <w:spacing w:val="0"/>
          <w:sz w:val="21"/>
          <w:szCs w:val="21"/>
        </w:rPr>
      </w:pPr>
    </w:p>
    <w:p w14:paraId="5CE9403F">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关于区块链是所提议系统中“不可协商”的组成部分这一结论，仅由一个狭义构建的反事实实验所支持。模拟中的内部操作会改变出价价格，使其与正常价格分布相一致，之后模型的表现就会变差。这个实验表明，系统性的数据篡改会破坏检测模型，但它并未将区块链认定为唯一或必要的制度解决方案。其他保持数据完整性的机制（例如不可更改的审计日志、第三方时间戳或独立存档系统）未被考虑或比较，因此从“数据篡改是有害的”到“区块链是不可或缺的”这一逻辑推断是缺乏依据的。</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3. There is a substantial risk of label-feature endogeneity that threatens the validity and external applicability of the results. Bid-rigging labels are derived from past regulatory investigations using indicators such as shared contact information or system-level identifiers, while the model inputs include overlapping identity, interaction, and metadata fields. Consequently, the LLM may primarily be learning to reproduce existing enforcement heuristics or platform-specific artifacts rather than detecting underlying collusive economic behavior. This raises concerns about information leakage and suggests that reported performance may not generalize to other jurisdictions, platforms, or data environments where such artifacts differ or are unavailable.</w:t>
      </w:r>
    </w:p>
    <w:p w14:paraId="07299894">
      <w:pPr>
        <w:rPr>
          <w:rFonts w:hint="default" w:ascii="Times New Roman" w:hAnsi="Times New Roman" w:eastAsia="宋体" w:cs="Times New Roman"/>
          <w:i w:val="0"/>
          <w:iCs w:val="0"/>
          <w:caps w:val="0"/>
          <w:color w:val="000000"/>
          <w:spacing w:val="0"/>
          <w:sz w:val="21"/>
          <w:szCs w:val="21"/>
        </w:rPr>
      </w:pPr>
    </w:p>
    <w:p w14:paraId="4E232874">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存在明显的标签特征内生性风险，这会威胁到研究结果的有效性和外部适用性。操纵标签的依据是过去监管调查中所使用的指标，例如共享的联系信息或系统级别的标识符，而模型的输入则包括重叠的身份、交互和元数据字段。因此，这种语言模型可能主要是在学习重现现有的执法策略或平台特有的特征，而非检测潜在的勾结经济行为。这引发了关于信息泄露的担忧，并表明所报告的性能可能无法推广到其他司法管辖区、平台或数据环境，因为在这些环境中，此类特征可能不同或不存在。</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4. The manuscript relies on strong rhetorical claims that are not proportionate to the evidentiary base. Phrases such as "non-negotiable trust anchor" and "degenerates into random guessing" are used to support policy-level conclusions, despite the fact that the empirical analysis is confined to a single dataset and a limited set of experimental conditions. This rhetorical overstatement weakens the perceived rigor of the contribution and may bias readers toward viewing the conclusions as normative rather than empirically identified.</w:t>
      </w:r>
    </w:p>
    <w:p w14:paraId="2D64E15A">
      <w:pPr>
        <w:rPr>
          <w:rFonts w:hint="default" w:ascii="Times New Roman" w:hAnsi="Times New Roman" w:eastAsia="宋体" w:cs="Times New Roman"/>
          <w:i w:val="0"/>
          <w:iCs w:val="0"/>
          <w:caps w:val="0"/>
          <w:color w:val="000000"/>
          <w:spacing w:val="0"/>
          <w:sz w:val="21"/>
          <w:szCs w:val="21"/>
        </w:rPr>
      </w:pPr>
    </w:p>
    <w:p w14:paraId="22FA44E0">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文稿所依据的论点极具煽动性，但与所依据的证据基础并不匹配。诸如“不可动摇的信任基石”和“最终沦为随意猜测”这样的表述被用于支持政策层面的结论，然而实际上，该文的实证分析仅基于单一数据集和有限的一组实验条件。这种夸大的言辞削弱了该研究成果的严谨性之感，并可能使读者倾向于将这些结论视为规范性的而非基于实证得出的结论。</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5. Key experimental and methodological details are insufficiently specified, limiting reproducibility and interpretability. The paper does not clearly document how LLM confidence scores are converted into binary decisions, how thresholds are selected or calibrated, how observations are aggregated across bids or projects, or how prompt designs and few-shot examples are constructed. In addition, inconsistencies in metric terminology (e.g., precision versus accuracy) further complicate evaluation. Combined with the non-public nature of the dataset, these omissions significantly hinder independent verification of the results.</w:t>
      </w:r>
    </w:p>
    <w:p w14:paraId="4C130BF9">
      <w:pPr>
        <w:rPr>
          <w:rFonts w:hint="default" w:ascii="Times New Roman" w:hAnsi="Times New Roman" w:eastAsia="宋体" w:cs="Times New Roman"/>
          <w:i w:val="0"/>
          <w:iCs w:val="0"/>
          <w:caps w:val="0"/>
          <w:color w:val="000000"/>
          <w:spacing w:val="0"/>
          <w:sz w:val="21"/>
          <w:szCs w:val="21"/>
        </w:rPr>
      </w:pPr>
    </w:p>
    <w:p w14:paraId="3A0E8387">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关键的实验和方法细节未得到充分说明，这限制了结果的可重复性和可解释性。该论文没有清晰地记录语言模型的置信度分数是如何转化为二元决策的，阈值是如何选择或校准的，如何在投标或项目之间汇总观察结果，或者如何构建提示设计和少量示例。此外，术语方面的不一致（例如，精确度与准确性）也使评估变得更加复杂。再加上数据集的非公开性，这些遗漏严重阻碍了对结果的独立验证。</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Overall assessment:</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The paper addresses a relevant and policy-important problem and contains potentially interesting ideas, but the current presentation and empirical support are not sufficient to justify its strongest claims. I therefore recommend a major revision. A revised version would need to (i) reformulate the theoretical performance argument using coherent and consistently defined evaluation metrics, (ii) provide stronger and more discriminating evidence for the claimed role of blockchain by comparing it with alternative data-integrity mechanisms, (iii) address potential label-feature endogeneity and demonstrate robustness beyond platform-specific artifacts, and (iv) substantially improve methodological transparency to enable replication. Without these changes, the contribution remains suggestive rather than conclusive.</w:t>
      </w:r>
    </w:p>
    <w:p w14:paraId="17A0C9F2">
      <w:pPr>
        <w:rPr>
          <w:rFonts w:hint="default" w:ascii="Times New Roman" w:hAnsi="Times New Roman" w:eastAsia="宋体" w:cs="Times New Roman"/>
          <w:i w:val="0"/>
          <w:iCs w:val="0"/>
          <w:caps w:val="0"/>
          <w:color w:val="000000"/>
          <w:spacing w:val="0"/>
          <w:sz w:val="21"/>
          <w:szCs w:val="21"/>
        </w:rPr>
      </w:pPr>
    </w:p>
    <w:p w14:paraId="4E9906C5">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这篇论文探讨了一个具有重要政策意义且相关的问题，并提出了可能颇具价值的见解，但目前的阐述和实证支持并不足以证明其最有力的主张。因此，我建议进行重大修改。修订版需要做到：（i）使用一致且定义明确的评估指标来重新阐述理论性能论点，（ii）通过将区块链与替代的数据完整性机制进行比较，为所宣称的作用提供更有力且更具区分性的证据，（iii）解决潜在的标签-特征内生性问题，并证明其在平台特定因素之外的稳健性，（iv）大幅提高方法论的透明度，以便能够进行复制。如果不进行这些修改，该贡献仍只是具有启示性而非确凿性的。</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Reviewer #2: The manuscript proposes a RegTech framework that combines blockchain as a "trust anchor" with an LLM-based screening pipeline to detect bid rigging using both structured and unstructured information. The topic is timely and potentially relevant to procurement integrity and financial regulation. However, several aspects of the empirical design and reporting currently limit the strength of the causal claims and the reproducibility of the results. I outline major and minor comments below.</w:t>
      </w:r>
    </w:p>
    <w:p w14:paraId="518CB1A8">
      <w:pPr>
        <w:rPr>
          <w:rFonts w:hint="default" w:ascii="Times New Roman" w:hAnsi="Times New Roman" w:eastAsia="宋体" w:cs="Times New Roman"/>
          <w:i w:val="0"/>
          <w:iCs w:val="0"/>
          <w:caps w:val="0"/>
          <w:color w:val="000000"/>
          <w:spacing w:val="0"/>
          <w:sz w:val="21"/>
          <w:szCs w:val="21"/>
        </w:rPr>
      </w:pPr>
    </w:p>
    <w:p w14:paraId="2B809CC6">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文稿提出了一种风险技术框架，该框架将区块链作为“信任锚”与基于语言模型的筛选流程相结合，利用结构化和非结构化信息来检测投标操纵行为。该主题具有时效性，且可能与采购诚信和金融监管相关。然而，目前该实证设计和报告的某些方面限制了因果论断的力度以及结果的可重复性。以下我将列出主要和次要的评论意见。</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1. While the manuscript reports the distribution of the LLM-generated confidence scores, it does not adequately explain how these scores are produced or what they represent. The confidence score appears to be taken directly from the prompting output, yet the prompt (as presented) does not clearly specify the required output format or provide explicit instructions on how the score should be derived (e.g., what evidence to weigh, how to map signals to a 0-100 scale, whether it should be interpreted as a calibrated probability). As a result, it is difficult to assess what the confidence score is actually grounded in and how consistent or reproducible it is. The manuscript should provide a more explicit definition and generation procedure for the confidence score, including the exact prompt instructions and an example of formatted inputs/outputs.</w:t>
      </w:r>
    </w:p>
    <w:p w14:paraId="786E521D">
      <w:pPr>
        <w:rPr>
          <w:rFonts w:hint="default" w:ascii="Times New Roman" w:hAnsi="Times New Roman" w:eastAsia="宋体" w:cs="Times New Roman"/>
          <w:i w:val="0"/>
          <w:iCs w:val="0"/>
          <w:caps w:val="0"/>
          <w:color w:val="000000"/>
          <w:spacing w:val="0"/>
          <w:sz w:val="21"/>
          <w:szCs w:val="21"/>
        </w:rPr>
      </w:pPr>
    </w:p>
    <w:p w14:paraId="19472CCE">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虽然该手稿报告了由 LLM 生成的置信度分数的分布情况，但并未充分解释这些分数是如何得出的，以及它们所代表的意义。置信度分数似乎是直接从提示输出中获取的，然而所给出的提示并未明确说明所需的输出格式或提供关于如何得出该分数的明确说明（例如，应考虑哪些证据，如何将信号映射到 0-100 的范围，是否应将其解释为校准的概率）。因此，很难评估置信度分数的实际依据是什么，以及它是否具有一致性或可重复性。该手稿应当提供更明确的置信度分数定义和生成流程，包括确切的提示说明以及格式化的输入/输出示例。</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2. The proposed method is compared against a CV-based screen and a logistic regression benchmark, but the benchmarking protocol is under-specified. It is unclear whether the baselines were evaluated on exactly the same dataset and split as the proposed method, how the train/test sets were constructed (or whether cross-validation was used), and how the reported threshold value(s) for the CV screen were selected (e.g., based on prior literature, tuning on a validation set, or an illustrative choice). The manuscript should clarify the data partitioning strategy, confirm that identical evaluation sets were used across methods, and provide references or justification for the chosen baseline thresholds and model specifications.</w:t>
      </w:r>
    </w:p>
    <w:p w14:paraId="456358D8">
      <w:pPr>
        <w:rPr>
          <w:rFonts w:hint="default" w:ascii="Times New Roman" w:hAnsi="Times New Roman" w:eastAsia="宋体" w:cs="Times New Roman"/>
          <w:i w:val="0"/>
          <w:iCs w:val="0"/>
          <w:caps w:val="0"/>
          <w:color w:val="000000"/>
          <w:spacing w:val="0"/>
          <w:sz w:val="21"/>
          <w:szCs w:val="21"/>
        </w:rPr>
      </w:pPr>
    </w:p>
    <w:p w14:paraId="570708F0">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所提出的方法与基于 CV 的屏幕法以及逻辑回归基准法进行了比较，但基准测试的协议并未详细说明。不清楚基准测试是否是在与所提出方法完全相同的数据集上以相同的划分方式进行评估的，训练集/测试集是如何构建的（或者是否使用了交叉验证），以及所报告的 CV 屏幕的阈值值是如何选择的（例如，是否基于先前的文献、在验证集上进行调优，还是基于一个示例性的选择）。该文稿应阐明数据划分策略，确认不同方法所使用的评估集完全相同，并提供所选基准阈值和模型规格的参考或解释。</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3. The manuscript argues that the LLM can integrate soft information (e.g., textual similarities in bid documents) with hard information, yet the results do not clearly disentangle how much improvement is due to soft information versus structured variables alone. Without an ablation, it is difficult to validate the central claim that soft information materially enhances detection performance.</w:t>
      </w:r>
    </w:p>
    <w:p w14:paraId="18AB1013">
      <w:pPr>
        <w:rPr>
          <w:rFonts w:hint="default" w:ascii="Times New Roman" w:hAnsi="Times New Roman" w:eastAsia="宋体" w:cs="Times New Roman"/>
          <w:i w:val="0"/>
          <w:iCs w:val="0"/>
          <w:caps w:val="0"/>
          <w:color w:val="000000"/>
          <w:spacing w:val="0"/>
          <w:sz w:val="21"/>
          <w:szCs w:val="21"/>
        </w:rPr>
      </w:pPr>
    </w:p>
    <w:p w14:paraId="4A7C3D5B">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该论文认为，LLM 能够将软信息（例如投标文件中的文本相似度）与硬信息相结合，但研究结果并未明确区分软信息单独作用与结构化变量单独作用所带来的改进程度。若没有进行消融实验，就难以验证软信息确实能显著提升检测性能这一核心论点。</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4. Figure 1 claims are not supported with explicit statistical distance metrics. The figure notes describe separation as "statistically most pronounced," but it is unclear what statistical test or effect size is used to support that statement.</w:t>
      </w:r>
    </w:p>
    <w:p w14:paraId="68DFFECF">
      <w:pPr>
        <w:rPr>
          <w:rFonts w:hint="default" w:ascii="Times New Roman" w:hAnsi="Times New Roman" w:eastAsia="宋体" w:cs="Times New Roman"/>
          <w:i w:val="0"/>
          <w:iCs w:val="0"/>
          <w:caps w:val="0"/>
          <w:color w:val="000000"/>
          <w:spacing w:val="0"/>
          <w:sz w:val="21"/>
          <w:szCs w:val="21"/>
        </w:rPr>
      </w:pPr>
    </w:p>
    <w:p w14:paraId="4F30698B">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图 1 中的论点并未以明确的统计距离指标来加以佐证。该图注中将分离程度描述为“统计学上最为显著的”，但并未说明是采用了何种统计检验方法或效应量来支持这一说法。</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5. The manuscript indicates that the dataset cannot be shared. In such cases, transparency around prompts, preprocessing, splits, and evaluation becomes even more critical. The reviewer suggests to provide the full prompts (zero-shot/few-shot/CoT), preprocessing steps, random seeds, and evaluation scripts in an appendix or supplemental repository. At minimum, provide exact prompt templates and example formatted inputs/outputs.</w:t>
      </w:r>
    </w:p>
    <w:p w14:paraId="32ADA039">
      <w:pPr>
        <w:rPr>
          <w:rFonts w:hint="default" w:ascii="Times New Roman" w:hAnsi="Times New Roman" w:eastAsia="宋体" w:cs="Times New Roman"/>
          <w:i w:val="0"/>
          <w:iCs w:val="0"/>
          <w:caps w:val="0"/>
          <w:color w:val="000000"/>
          <w:spacing w:val="0"/>
          <w:sz w:val="21"/>
          <w:szCs w:val="21"/>
        </w:rPr>
      </w:pPr>
    </w:p>
    <w:p w14:paraId="768C3694">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手稿指出，该数据集不能共享。在这种情况下，关于提示、预处理、划分以及评估的透明度就显得更为重要了。审稿人建议将完整的提示（零样本/少量样本/因果图式）、预处理步骤、随机种子以及评估脚本以附录或补充资源库的形式提供出来。至少要提供确切的提示模板以及格式化的示例输入/输出。</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6. The manuscript's discussion could be interpreted as implying that results "prove" that LLMs cannot replace traditional statistical screenings for hard information. This conclusion appears too strong given (i) the use of a relatively lightweight LLM model family in the experiments, (ii) likely sensitivity to model version/maturity, and (iii) known performance variability by prompting strategy and prompt engineering. A more cautious framing would be appropriate.</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该论文的论述可以被解读为暗示结果“证明”语言模型无法取代传统的统计筛选方法来获取关键信息。但这个结论似乎过于绝对了，原因在于：（一）实验中使用的是一种相对轻量级的语言模型模型系列；（二）可能对模型版本/成熟度较为敏感；（三）由于提示策略和提示工程的不同，其性能存在已知的差异。更谨慎的表述方式会更为恰当。</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Reviewer #3: The topic is interesting, however, several concerns should be addressed properly before further consideration.</w:t>
      </w: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1.The paper claims to "break the theoretical ceiling of single-source screening" by adding soft information and LLMs. However, prior work already combines structured screens with textual features in compliance/forensics contexts. Please clearly discuss what is different from prior studies.</w:t>
      </w:r>
    </w:p>
    <w:p w14:paraId="3EBB23AF">
      <w:pPr>
        <w:rPr>
          <w:rFonts w:hint="default" w:ascii="Times New Roman" w:hAnsi="Times New Roman" w:eastAsia="宋体" w:cs="Times New Roman"/>
          <w:i w:val="0"/>
          <w:iCs w:val="0"/>
          <w:caps w:val="0"/>
          <w:color w:val="000000"/>
          <w:spacing w:val="0"/>
          <w:sz w:val="21"/>
          <w:szCs w:val="21"/>
        </w:rPr>
      </w:pPr>
    </w:p>
    <w:p w14:paraId="1601A8D8">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该论文声称通过加入软信息和语言模型“突破了单一来源筛查的理论局限”。然而，此前的研究已经在合规/取证领域将结构化筛查与文本特征相结合。请详细阐述与以往研究的不同之处。</w:t>
      </w:r>
    </w:p>
    <w:p w14:paraId="1F3A23EC">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2.The dataset is described with labels grounded in "historical regulatory records" and some examples. This is not enough to judge label reliability, unit of analysis, and potential leakage. Please clarify: what constitutes one "record" (bid-level or tender-level), what is the prediction target (project flagged vs bidder flagged)? how labels were constructed (who labeled, what evidence threshold, any ambiguous/appealed cases)?</w:t>
      </w:r>
    </w:p>
    <w:p w14:paraId="39A6555C">
      <w:pPr>
        <w:rPr>
          <w:rFonts w:hint="default" w:ascii="Times New Roman" w:hAnsi="Times New Roman" w:eastAsia="宋体" w:cs="Times New Roman"/>
          <w:i w:val="0"/>
          <w:iCs w:val="0"/>
          <w:caps w:val="0"/>
          <w:color w:val="000000"/>
          <w:spacing w:val="0"/>
          <w:sz w:val="21"/>
          <w:szCs w:val="21"/>
        </w:rPr>
      </w:pPr>
    </w:p>
    <w:p w14:paraId="2F60E557">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数据集通过基于“历史监管记录”和一些示例所标注的标签进行描述。但这还不足以判断标签的可靠性、分析单位以及潜在的泄露情况。请详细说明：一个“记录”（是投标级别还是投标方级别）由哪些内容构成？预测的目标是什么（是标记项目还是标记投标方）？标签是如何构建的（由谁标注、需要达到何种证据标准、是否存在任何模糊或被申诉的情况）？</w:t>
      </w:r>
    </w:p>
    <w:p w14:paraId="176E0973">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3.The paper reports single-number "accuracy" for Logit and LLM settings. Please clarify: train/validation/test split details, number of runs / variance (confidence intervals or standard deviations), thresholding procedure for converting LLM "confidence score (0-100)" to labels (how chosen; tuned on validation?)</w:t>
      </w:r>
    </w:p>
    <w:p w14:paraId="7AFBEAFE">
      <w:pPr>
        <w:rPr>
          <w:rFonts w:hint="default" w:ascii="Times New Roman" w:hAnsi="Times New Roman" w:eastAsia="宋体" w:cs="Times New Roman"/>
          <w:i w:val="0"/>
          <w:iCs w:val="0"/>
          <w:caps w:val="0"/>
          <w:color w:val="000000"/>
          <w:spacing w:val="0"/>
          <w:sz w:val="21"/>
          <w:szCs w:val="21"/>
        </w:rPr>
      </w:pPr>
    </w:p>
    <w:p w14:paraId="7EDD6373">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该论文报告了 Logit 和 LLM 设置下的单一数值“准确率”。请予以说明：训练/验证/测试集的划分细节、运行次数/方差（置信区间或标准差）、将 LLM 的“置信分数（0-100）”转换为标签的阈值处理流程（如何确定；是否在验证集上进行调整？）</w:t>
      </w:r>
    </w:p>
    <w:p w14:paraId="4B1C5659">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4.The benchmark is primarily CV screen and a Logit model on hand-crafted hard features. Some baseline compares are needed: a non-LLM text baseline, a gradient boosting baseline (XGBoost/LightGBM), and a "hybrid" baseline that concatenates text embeddings with structured features in a standard classifier. This would help isolate whether gains come from "LLM reasoning" vs simply "adding text features.</w:t>
      </w:r>
    </w:p>
    <w:p w14:paraId="5AFDFE18">
      <w:pPr>
        <w:rPr>
          <w:rFonts w:hint="default" w:ascii="Times New Roman" w:hAnsi="Times New Roman" w:eastAsia="宋体" w:cs="Times New Roman"/>
          <w:i w:val="0"/>
          <w:iCs w:val="0"/>
          <w:caps w:val="0"/>
          <w:color w:val="000000"/>
          <w:spacing w:val="0"/>
          <w:sz w:val="21"/>
          <w:szCs w:val="21"/>
        </w:rPr>
      </w:pPr>
    </w:p>
    <w:p w14:paraId="167BB0B5">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该基准测试主要基于 CV 屏幕和基于手工构建的硬特征的 Logit 模型。需要进行一些基准比较：一个非 LLM 的文本基准、一个梯度提升基准（XGBoost/LightGBM），以及一个将文本嵌入与结构化特征组合起来作为标准分类器的“混合”基准。这将有助于区分收益是来自“LLM 推理”还是仅仅“添加文本特征”。</w:t>
      </w:r>
    </w:p>
    <w:p w14:paraId="3950A846">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5.The findings are interesting, but currently confounded by prompt length, example selection, and instruction differences. The authors are suggested to include the exact prompts in an appendix (zero-shot, few-shot examples, CoT instructions), and run sensitivity to different few-shot example sets (e.g., 10 random seeds).</w:t>
      </w:r>
    </w:p>
    <w:p w14:paraId="46FBEDF7">
      <w:pPr>
        <w:rPr>
          <w:rFonts w:hint="default" w:ascii="Times New Roman" w:hAnsi="Times New Roman" w:eastAsia="宋体" w:cs="Times New Roman"/>
          <w:i w:val="0"/>
          <w:iCs w:val="0"/>
          <w:caps w:val="0"/>
          <w:color w:val="000000"/>
          <w:spacing w:val="0"/>
          <w:sz w:val="21"/>
          <w:szCs w:val="21"/>
        </w:rPr>
      </w:pPr>
    </w:p>
    <w:p w14:paraId="3D0FC466">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这些研究结果很有趣，但目前受到提示长度、示例选择以及指令差异等因素的影响而显得混乱。建议作者在附录中列出确切的提示（零样本、少量样本的示例以及因果推理指令），并针对不同的少量样本集（例如，10 个随机种子）进行敏感性测试。</w:t>
      </w:r>
    </w:p>
    <w:p w14:paraId="26E74127">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6.The paper repeatedly cites "semantic similarities," "text remark information," "bid document text similarity," etc., but it does not quantify which soft features drive detection. The authors should clarify feature attribution or simple diagnostics (e.g., similarity distributions for collusive vs competitive; examples of near-duplicate sections), and error analysis with representative false positives/false negatives to show what the model is picking up.</w:t>
      </w:r>
    </w:p>
    <w:p w14:paraId="6E738FB8">
      <w:pPr>
        <w:rPr>
          <w:rFonts w:hint="default" w:ascii="Times New Roman" w:hAnsi="Times New Roman" w:eastAsia="宋体" w:cs="Times New Roman"/>
          <w:i w:val="0"/>
          <w:iCs w:val="0"/>
          <w:caps w:val="0"/>
          <w:color w:val="000000"/>
          <w:spacing w:val="0"/>
          <w:sz w:val="21"/>
          <w:szCs w:val="21"/>
        </w:rPr>
      </w:pPr>
    </w:p>
    <w:p w14:paraId="552D4CC3">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论文多次提及“语义相似性”、“文本备注信息”、“投标文件文本相似度”等概念，但并未明确指出哪些软性特征在驱动检测过程。作者应当阐明特征归属情况或提供简单的诊断方法（例如，针对合谋与竞争的相似度分布；近似重复段落的示例），并结合具有代表性的误报/误判案例进行错误分析，以展示模型所捕捉到的内容。</w:t>
      </w:r>
    </w:p>
    <w:p w14:paraId="541C97EC">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7.The paper uses GLM-4-Flash and GPT-4o-mini, but does not specify: temperature, top-p, system prompts, max tokens, retries, how the "confidence score 0-100" is elicited, and how outputs are parsed. Given that LLM outputs vary, please provide the full inference configuration and parsing rules, and ideally release pseudo-code for the pipeline.</w:t>
      </w:r>
    </w:p>
    <w:p w14:paraId="09E21DFF">
      <w:pPr>
        <w:rPr>
          <w:rFonts w:hint="default" w:ascii="Times New Roman" w:hAnsi="Times New Roman" w:eastAsia="宋体" w:cs="Times New Roman"/>
          <w:i w:val="0"/>
          <w:iCs w:val="0"/>
          <w:caps w:val="0"/>
          <w:color w:val="000000"/>
          <w:spacing w:val="0"/>
          <w:sz w:val="21"/>
          <w:szCs w:val="21"/>
        </w:rPr>
      </w:pPr>
    </w:p>
    <w:p w14:paraId="43C5487D">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该论文使用了 GLM-4-Flash 和 GPT-4o-mini，但并未明确说明：温度、top-p 值、系统提示、最大令牌数、重试次数、“信心分数 0-100”的获取方式，以及输出的解析方法。鉴于语言模型的输出会有所不同，请提供完整的推理配置和解析规则，并最好能提供该流程的伪代码。</w:t>
      </w:r>
    </w:p>
    <w:p w14:paraId="2E954FE7">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br w:type="textWrapping"/>
      </w:r>
      <w:r>
        <w:rPr>
          <w:rFonts w:hint="default" w:ascii="Times New Roman" w:hAnsi="Times New Roman" w:eastAsia="宋体" w:cs="Times New Roman"/>
          <w:i w:val="0"/>
          <w:iCs w:val="0"/>
          <w:caps w:val="0"/>
          <w:color w:val="000000"/>
          <w:spacing w:val="0"/>
          <w:sz w:val="21"/>
          <w:szCs w:val="21"/>
        </w:rPr>
        <w:t>8.Inputs include "bidder identity" and "historical interaction graphs." If some bidders are known colluders historically, the model may just learn "bad actors" rather than collusion signals, inflating performance but harming generalization to new bidders/regions.</w:t>
      </w:r>
    </w:p>
    <w:p w14:paraId="7E994FA5">
      <w:pPr>
        <w:rPr>
          <w:rFonts w:hint="default" w:ascii="Times New Roman" w:hAnsi="Times New Roman" w:eastAsia="宋体" w:cs="Times New Roman"/>
          <w:i w:val="0"/>
          <w:iCs w:val="0"/>
          <w:caps w:val="0"/>
          <w:color w:val="000000"/>
          <w:spacing w:val="0"/>
          <w:sz w:val="21"/>
          <w:szCs w:val="21"/>
        </w:rPr>
      </w:pPr>
    </w:p>
    <w:p w14:paraId="1983B6AD">
      <w:pPr>
        <w:rPr>
          <w:rFonts w:hint="default" w:ascii="Times New Roman" w:hAnsi="Times New Roman" w:eastAsia="宋体" w:cs="Times New Roman"/>
          <w:i w:val="0"/>
          <w:iCs w:val="0"/>
          <w:caps w:val="0"/>
          <w:color w:val="000000"/>
          <w:spacing w:val="0"/>
          <w:sz w:val="21"/>
          <w:szCs w:val="21"/>
        </w:rPr>
      </w:pPr>
      <w:r>
        <w:rPr>
          <w:rFonts w:hint="default" w:ascii="Times New Roman" w:hAnsi="Times New Roman" w:eastAsia="宋体" w:cs="Times New Roman"/>
          <w:i w:val="0"/>
          <w:iCs w:val="0"/>
          <w:caps w:val="0"/>
          <w:color w:val="000000"/>
          <w:spacing w:val="0"/>
          <w:sz w:val="21"/>
          <w:szCs w:val="21"/>
        </w:rPr>
        <w:t>输入信息包括“投标者身份”和“历史互动图”。如果某些投标者在历史上已被确认为勾结者，那么该模型可能只会学习到“不良行为者”信息，而非勾结信号，这会导致评估结果被夸大，但会损害其对新投标者/新地区的泛化能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C2D05"/>
    <w:rsid w:val="0A3E047E"/>
    <w:rsid w:val="0BAB7460"/>
    <w:rsid w:val="0C287AA1"/>
    <w:rsid w:val="0F150C08"/>
    <w:rsid w:val="11756A6E"/>
    <w:rsid w:val="137C03E5"/>
    <w:rsid w:val="14F453FA"/>
    <w:rsid w:val="17446C08"/>
    <w:rsid w:val="19F43400"/>
    <w:rsid w:val="1BBC2568"/>
    <w:rsid w:val="1DA67A65"/>
    <w:rsid w:val="23E12BED"/>
    <w:rsid w:val="2BBB36E9"/>
    <w:rsid w:val="2D241DC7"/>
    <w:rsid w:val="2FE55938"/>
    <w:rsid w:val="3AB56F40"/>
    <w:rsid w:val="3EA716A2"/>
    <w:rsid w:val="3EF54D4B"/>
    <w:rsid w:val="417F2B07"/>
    <w:rsid w:val="47BA3F24"/>
    <w:rsid w:val="4B610429"/>
    <w:rsid w:val="4E820A01"/>
    <w:rsid w:val="56915FDD"/>
    <w:rsid w:val="59B40E9D"/>
    <w:rsid w:val="59BA3749"/>
    <w:rsid w:val="60A316FC"/>
    <w:rsid w:val="62944A39"/>
    <w:rsid w:val="6DE109B8"/>
    <w:rsid w:val="6E5E0C24"/>
    <w:rsid w:val="6F5265E9"/>
    <w:rsid w:val="71347991"/>
    <w:rsid w:val="71507240"/>
    <w:rsid w:val="73E20504"/>
    <w:rsid w:val="752F15E4"/>
    <w:rsid w:val="76101858"/>
    <w:rsid w:val="77014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2025-09-28T11:16:00Z</dcterms:created>
  <dc:creator>ylt05</dc:creator>
  <cp:lastModifiedBy>ylt</cp:lastModifiedBy>
  <dcterms:modified xsi:type="dcterms:W3CDTF">2026-03-03T13:22:45Z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2C3AAC0ECE17479799077B6D4748C26A_12</vt:lpwstr>
  </property>
  <property fmtid="{D5CDD505-2E9C-101B-9397-08002B2CF9AE}" pid="4" name="KSOTemplateDocerSaveRecord">
    <vt:lpwstr>eyJoZGlkIjoiODJlMDY4ZTlhMjU0ZTQ0NzcyYjY1NDRhMWYxZTA2ZjAiLCJ1c2VySWQiOiIxMjg0NTg5MjgxIn0=</vt:lpwstr>
  </property>
</Properties>
</file>