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aps/>
          <w:color w:val="C9A227"/>
          <w:sz w:val="22"/>
          <w:szCs w:val="22"/>
        </w:rPr>
        <w:t xml:space="preserve">CAPSTONE PROJECT  |  MODULE 11</w:t>
      </w:r>
    </w:p>
    <w:p>
      <w:pPr>
        <w:spacing w:before="0" w:after="100"/>
        <w:jc w:val="center"/>
      </w:pPr>
      <w:r>
        <w:rPr>
          <w:rFonts w:ascii="Arial" w:cs="Arial" w:eastAsia="Arial" w:hAnsi="Arial"/>
          <w:color w:val="555555"/>
          <w:sz w:val="24"/>
          <w:szCs w:val="24"/>
        </w:rPr>
        <w:t xml:space="preserve">Problem Statement &amp; Prospectus</w:t>
      </w:r>
    </w:p>
    <w:p>
      <w:pPr>
        <w:pBdr>
          <w:bottom w:val="single" w:color="C9A227" w:sz="8" w:space="8"/>
        </w:pBdr>
        <w:spacing w:before="200" w:after="400"/>
        <w:jc w:val="center"/>
      </w:pPr>
      <w:r>
        <w:rPr>
          <w:sz w:val="22"/>
          <w:szCs w:val="22"/>
        </w:rPr>
        <w:t xml:space="preserve"/>
      </w:r>
    </w:p>
    <w:p>
      <w:pPr>
        <w:spacing w:before="480" w:after="120"/>
        <w:jc w:val="center"/>
      </w:pPr>
      <w:r>
        <w:rPr>
          <w:rFonts w:ascii="Arial" w:cs="Arial" w:eastAsia="Arial" w:hAnsi="Arial"/>
          <w:b/>
          <w:bCs/>
          <w:color w:val="1F3864"/>
          <w:sz w:val="56"/>
          <w:szCs w:val="56"/>
        </w:rPr>
        <w:t xml:space="preserve">AI-Driven Loan Refinancing</w:t>
      </w:r>
    </w:p>
    <w:p>
      <w:pPr>
        <w:spacing w:before="0" w:after="120"/>
        <w:jc w:val="center"/>
      </w:pPr>
      <w:r>
        <w:rPr>
          <w:rFonts w:ascii="Arial" w:cs="Arial" w:eastAsia="Arial" w:hAnsi="Arial"/>
          <w:b/>
          <w:bCs/>
          <w:color w:val="1F3864"/>
          <w:sz w:val="56"/>
          <w:szCs w:val="56"/>
        </w:rPr>
        <w:t xml:space="preserve">Recommendation System</w:t>
      </w:r>
    </w:p>
    <w:p>
      <w:pPr>
        <w:spacing w:before="220" w:after="100"/>
        <w:jc w:val="center"/>
      </w:pPr>
      <w:r>
        <w:rPr>
          <w:rFonts w:ascii="Arial" w:cs="Arial" w:eastAsia="Arial" w:hAnsi="Arial"/>
          <w:b/>
          <w:bCs/>
          <w:color w:val="2E75B6"/>
          <w:sz w:val="26"/>
          <w:szCs w:val="26"/>
        </w:rPr>
        <w:t xml:space="preserve">Credit Card to Personal Loan Conversion  &amp;  Personal Loan Refinancing</w:t>
      </w:r>
    </w:p>
    <w:p>
      <w:pPr>
        <w:spacing w:before="0" w:after="600"/>
        <w:jc w:val="center"/>
      </w:pPr>
      <w:r>
        <w:rPr>
          <w:rFonts w:ascii="Arial" w:cs="Arial" w:eastAsia="Arial" w:hAnsi="Arial"/>
          <w:i/>
          <w:iCs/>
          <w:color w:val="666666"/>
          <w:sz w:val="22"/>
          <w:szCs w:val="22"/>
        </w:rPr>
        <w:t xml:space="preserve">Production-Grade ML  |  Ensemble Modeling  |  Explainable AI  |  Streamlit Demo</w:t>
      </w:r>
    </w:p>
    <w:p>
      <w:pPr>
        <w:spacing w:before="600" w:after="80"/>
        <w:jc w:val="center"/>
      </w:pPr>
      <w:r>
        <w:rPr>
          <w:rFonts w:ascii="Arial" w:cs="Arial" w:eastAsia="Arial" w:hAnsi="Arial"/>
          <w:b/>
          <w:bCs/>
          <w:color w:val="333333"/>
          <w:sz w:val="22"/>
          <w:szCs w:val="22"/>
        </w:rPr>
        <w:t xml:space="preserve">UC Berkeley Engineering  |  Professional Certificate in ML &amp; AI</w:t>
      </w:r>
    </w:p>
    <w:p>
      <w:pPr>
        <w:spacing w:before="80" w:after="60"/>
        <w:jc w:val="center"/>
      </w:pPr>
      <w:r>
        <w:rPr>
          <w:rFonts w:ascii="Arial" w:cs="Arial" w:eastAsia="Arial" w:hAnsi="Arial"/>
          <w:color w:val="666666"/>
          <w:sz w:val="20"/>
          <w:szCs w:val="20"/>
        </w:rPr>
        <w:t xml:space="preserve">Domain: Financial Technology (FinTech)  |  Consumer Lending  |  Credit Risk</w:t>
      </w:r>
    </w:p>
    <w:p>
      <w:pPr>
        <w:pageBreakBefore/>
      </w:pPr>
      <w: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Abstract</w:t>
      </w:r>
    </w:p>
    <w:p>
      <w:pPr>
        <w:pBdr>
          <w:left w:val="single" w:color="2E75B6" w:sz="12" w:space="10"/>
        </w:pBdr>
        <w:shd w:fill="D6E4F0" w:val="clear"/>
        <w:spacing w:before="100" w:after="200"/>
        <w:ind w:left="400" w:right="400"/>
        <w:jc w:val="both"/>
      </w:pPr>
      <w:r>
        <w:rPr>
          <w:rFonts w:ascii="Arial" w:cs="Arial" w:eastAsia="Arial" w:hAnsi="Arial"/>
          <w:i/>
          <w:iCs/>
          <w:color w:val="222222"/>
          <w:sz w:val="22"/>
          <w:szCs w:val="22"/>
        </w:rPr>
        <w:t xml:space="preserve">India's consumer credit market presents a structural arbitrage opportunity: millions of borrowers carry revolving credit card debt at 36-42% per annum and personal loans originated at peak-cycle rates of 18-24%, yet remain unaware that their current credit profile may qualify them for personal loan products at 10-15%. The problem of identifying these borrowers, estimating their financial benefit, and matching them to optimal products is intractable at scale through manual methods, but is precisely suited to a multi-layer machine learning pipeline. This capstone designs and validates an end-to-end AI system for two specific refinancing pathways: (1) Credit Card to Personal Loan (CC-to-PL) conversion, where high-cost revolving debt is replaced with a structured term loan, and (2) Personal Loan (PL) refinancing, where an existing loan is restructured at a materially lower interest rate. The pipeline integrates a calibrated XGBoost credit risk model with Optuna hyperparameter optimization and Platt scaling, a savings regression layer with Monte Carlo confidence intervals, borrower persona clustering, and a full explainability stack (SHAP + LIME + fairness audit). MLflow experiment tracking and champion-challenger governance reflect real-world ML engineering discipline. A live Streamlit application surfaces all pipeline outputs in a deployable, interview-ready interface. This project directly operationalizes the core intelligence problem at Unlend.in.</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1. Introduction</w:t>
      </w:r>
    </w:p>
    <w:p>
      <w:pPr>
        <w:spacing w:before="80" w:after="100"/>
        <w:jc w:val="both"/>
      </w:pPr>
      <w:r>
        <w:rPr>
          <w:rFonts w:ascii="Arial" w:cs="Arial" w:eastAsia="Arial" w:hAnsi="Arial"/>
          <w:sz w:val="22"/>
          <w:szCs w:val="22"/>
        </w:rPr>
        <w:t xml:space="preserve">India's consumer lending market is undergoing a structural repricing. As the Reserve Bank of India has tightened unsecured lending norms and credit bureau data quality has matured, two conditions have emerged simultaneously: eligible interest rates have moderated for well-performing borrowers, and lenders can now make faster, more granular underwriting decisions. The gap between these two forces -- static existing loan rates and falling eligible new rates -- creates a multi-billion rupee refinancing opportunity that most borrowers cannot capture without intelligent guidance.</w:t>
      </w:r>
    </w:p>
    <w:p>
      <w:pPr>
        <w:spacing w:before="0" w:after="0"/>
      </w:pPr>
      <w:r>
        <w:rPr>
          <w:sz w:val="22"/>
          <w:szCs w:val="22"/>
        </w:rPr>
        <w:t xml:space="preserve"/>
      </w:r>
    </w:p>
    <w:p>
      <w:pPr>
        <w:spacing w:before="80" w:after="100"/>
        <w:jc w:val="both"/>
      </w:pPr>
      <w:r>
        <w:rPr>
          <w:rFonts w:ascii="Arial" w:cs="Arial" w:eastAsia="Arial" w:hAnsi="Arial"/>
          <w:sz w:val="22"/>
          <w:szCs w:val="22"/>
        </w:rPr>
        <w:t xml:space="preserve">Two specific refinancing pathways represent the most commercially important and analytically tractable opportunities:</w:t>
      </w:r>
    </w:p>
    <w:p>
      <w:pPr>
        <w:pStyle w:val="ListParagraph"/>
        <w:numPr>
          <w:ilvl w:val="0"/>
          <w:numId w:val="2"/>
        </w:numPr>
        <w:spacing w:before="60" w:after="60"/>
      </w:pPr>
      <w:r>
        <w:rPr>
          <w:rFonts w:ascii="Arial" w:cs="Arial" w:eastAsia="Arial" w:hAnsi="Arial"/>
          <w:b/>
          <w:bCs/>
          <w:sz w:val="22"/>
          <w:szCs w:val="22"/>
        </w:rPr>
        <w:t xml:space="preserve">Credit Card to Personal Loan (CC-to-PL) Conversion: </w:t>
      </w:r>
      <w:r>
        <w:rPr>
          <w:rFonts w:ascii="Arial" w:cs="Arial" w:eastAsia="Arial" w:hAnsi="Arial"/>
          <w:sz w:val="22"/>
          <w:szCs w:val="22"/>
        </w:rPr>
        <w:t xml:space="preserve">A borrower carrying Rs 1-5 lakh in revolving credit card debt at 36-42% p.a. converts to a structured 24-48 month personal loan at 12-18% p.a. The savings are immediate, calculable, and substantial -- often Rs 3,000-8,000 per month on a Rs 3 lakh balance. The AI challenge is identifying which cardholders qualify for a PL at a rate materially below their effective CC rate, and predicting that rate precisely enough to make the recommendation compelling.</w:t>
      </w:r>
    </w:p>
    <w:p>
      <w:pPr>
        <w:pStyle w:val="ListParagraph"/>
        <w:numPr>
          <w:ilvl w:val="0"/>
          <w:numId w:val="2"/>
        </w:numPr>
        <w:spacing w:before="60" w:after="60"/>
      </w:pPr>
      <w:r>
        <w:rPr>
          <w:rFonts w:ascii="Arial" w:cs="Arial" w:eastAsia="Arial" w:hAnsi="Arial"/>
          <w:b/>
          <w:bCs/>
          <w:sz w:val="22"/>
          <w:szCs w:val="22"/>
        </w:rPr>
        <w:t xml:space="preserve">Personal Loan (PL) Refinancing: </w:t>
      </w:r>
      <w:r>
        <w:rPr>
          <w:rFonts w:ascii="Arial" w:cs="Arial" w:eastAsia="Arial" w:hAnsi="Arial"/>
          <w:sz w:val="22"/>
          <w:szCs w:val="22"/>
        </w:rPr>
        <w:t xml:space="preserve">A borrower with an existing personal loan originated 18-36 months ago at 20-24% p.a. who has maintained a clean repayment record refinances with a new lender at 12-15% p.a. Savings compound over remaining tenure. The AI challenge is surfacing the right borrowers at the right moment -- those whose credit profile has improved enough since origination to justify a lender switch.</w:t>
      </w:r>
    </w:p>
    <w:p>
      <w:pPr>
        <w:spacing w:before="0" w:after="0"/>
      </w:pPr>
      <w:r>
        <w:rPr>
          <w:sz w:val="22"/>
          <w:szCs w:val="22"/>
        </w:rPr>
        <w:t xml:space="preserve"/>
      </w:r>
    </w:p>
    <w:p>
      <w:pPr>
        <w:spacing w:before="80" w:after="100"/>
        <w:jc w:val="both"/>
      </w:pPr>
      <w:r>
        <w:rPr>
          <w:rFonts w:ascii="Arial" w:cs="Arial" w:eastAsia="Arial" w:hAnsi="Arial"/>
          <w:sz w:val="22"/>
          <w:szCs w:val="22"/>
        </w:rPr>
        <w:t xml:space="preserve">Platforms like Unlend.in address exactly this market gap. This capstone builds the core AI layer of that platform from first principles, using publicly available lending data, with production engineering discipline throughout.</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2. Problem Statement</w:t>
      </w:r>
    </w:p>
    <w:p>
      <w:pPr>
        <w:spacing w:before="80" w:after="100"/>
        <w:jc w:val="both"/>
      </w:pPr>
      <w:r>
        <w:rPr>
          <w:rFonts w:ascii="Arial" w:cs="Arial" w:eastAsia="Arial" w:hAnsi="Arial"/>
          <w:b/>
          <w:bCs/>
          <w:sz w:val="22"/>
          <w:szCs w:val="22"/>
        </w:rPr>
        <w:t xml:space="preserve">The central research question is:</w:t>
      </w:r>
    </w:p>
    <w:p>
      <w:pPr>
        <w:spacing w:before="0" w:after="0"/>
      </w:pPr>
      <w:r>
        <w:rPr>
          <w:sz w:val="22"/>
          <w:szCs w:val="22"/>
        </w:rPr>
        <w:t xml:space="preserve"/>
      </w:r>
    </w:p>
    <w:p>
      <w:pPr>
        <w:pBdr>
          <w:left w:val="single" w:color="2E75B6" w:sz="14" w:space="10"/>
        </w:pBdr>
        <w:shd w:fill="D6E4F0" w:val="clear"/>
        <w:spacing w:before="120" w:after="120"/>
        <w:ind w:left="560" w:right="560"/>
      </w:pPr>
      <w:r>
        <w:rPr>
          <w:rFonts w:ascii="Arial" w:cs="Arial" w:eastAsia="Arial" w:hAnsi="Arial"/>
          <w:b/>
          <w:bCs/>
          <w:i/>
          <w:iCs/>
          <w:color w:val="1F3864"/>
          <w:sz w:val="24"/>
          <w:szCs w:val="24"/>
        </w:rPr>
        <w:t xml:space="preserve">Can machine learning models accurately identify which credit card and personal loan borrowers would benefit from refinancing, predict their achievable savings with quantified uncertainty, and generate transparent product recommendations -- validated against production-grade credit risk evaluation standards?</w:t>
      </w:r>
    </w:p>
    <w:p>
      <w:pPr>
        <w:spacing w:before="0" w:after="0"/>
      </w:pPr>
      <w:r>
        <w:rPr>
          <w:sz w:val="22"/>
          <w:szCs w:val="22"/>
        </w:rPr>
        <w:t xml:space="preserve"/>
      </w:r>
    </w:p>
    <w:p>
      <w:pPr>
        <w:spacing w:before="80" w:after="100"/>
        <w:jc w:val="both"/>
      </w:pPr>
      <w:r>
        <w:rPr>
          <w:rFonts w:ascii="Arial" w:cs="Arial" w:eastAsia="Arial" w:hAnsi="Arial"/>
          <w:sz w:val="22"/>
          <w:szCs w:val="22"/>
        </w:rPr>
        <w:t xml:space="preserve">This decomposes into five analytically distinct sub-questions:</w:t>
      </w:r>
    </w:p>
    <w:p>
      <w:pPr>
        <w:pStyle w:val="ListParagraph"/>
        <w:numPr>
          <w:ilvl w:val="0"/>
          <w:numId w:val="2"/>
        </w:numPr>
        <w:spacing w:before="60" w:after="60"/>
      </w:pPr>
      <w:r>
        <w:rPr>
          <w:rFonts w:ascii="Arial" w:cs="Arial" w:eastAsia="Arial" w:hAnsi="Arial"/>
          <w:b/>
          <w:bCs/>
          <w:sz w:val="22"/>
          <w:szCs w:val="22"/>
        </w:rPr>
        <w:t xml:space="preserve">Risk Gate: </w:t>
      </w:r>
      <w:r>
        <w:rPr>
          <w:rFonts w:ascii="Arial" w:cs="Arial" w:eastAsia="Arial" w:hAnsi="Arial"/>
          <w:sz w:val="22"/>
          <w:szCs w:val="22"/>
        </w:rPr>
        <w:t xml:space="preserve">Can a calibrated classification model assign reliable probability-of-default (PD) scores that serve as an eligibility screen for refinancing -- mirroring the underwriting logic of partner lenders?</w:t>
      </w:r>
    </w:p>
    <w:p>
      <w:pPr>
        <w:pStyle w:val="ListParagraph"/>
        <w:numPr>
          <w:ilvl w:val="0"/>
          <w:numId w:val="2"/>
        </w:numPr>
        <w:spacing w:before="60" w:after="60"/>
      </w:pPr>
      <w:r>
        <w:rPr>
          <w:rFonts w:ascii="Arial" w:cs="Arial" w:eastAsia="Arial" w:hAnsi="Arial"/>
          <w:b/>
          <w:bCs/>
          <w:sz w:val="22"/>
          <w:szCs w:val="22"/>
        </w:rPr>
        <w:t xml:space="preserve">Rate Prediction: </w:t>
      </w:r>
      <w:r>
        <w:rPr>
          <w:rFonts w:ascii="Arial" w:cs="Arial" w:eastAsia="Arial" w:hAnsi="Arial"/>
          <w:sz w:val="22"/>
          <w:szCs w:val="22"/>
        </w:rPr>
        <w:t xml:space="preserve">Can a regression model accurately predict the interest rate a borrower qualifies for post-refinancing, and compute a credible monthly savings estimate with statistical confidence bounds?</w:t>
      </w:r>
    </w:p>
    <w:p>
      <w:pPr>
        <w:pStyle w:val="ListParagraph"/>
        <w:numPr>
          <w:ilvl w:val="0"/>
          <w:numId w:val="2"/>
        </w:numPr>
        <w:spacing w:before="60" w:after="60"/>
      </w:pPr>
      <w:r>
        <w:rPr>
          <w:rFonts w:ascii="Arial" w:cs="Arial" w:eastAsia="Arial" w:hAnsi="Arial"/>
          <w:b/>
          <w:bCs/>
          <w:sz w:val="22"/>
          <w:szCs w:val="22"/>
        </w:rPr>
        <w:t xml:space="preserve">Loan Type Separation: </w:t>
      </w:r>
      <w:r>
        <w:rPr>
          <w:rFonts w:ascii="Arial" w:cs="Arial" w:eastAsia="Arial" w:hAnsi="Arial"/>
          <w:sz w:val="22"/>
          <w:szCs w:val="22"/>
        </w:rPr>
        <w:t xml:space="preserve">Do CC-to-PL conversion and PL refinancing require distinct model pipelines, or can a unified architecture with loan-type feature flags achieve comparable performance across both pathways?</w:t>
      </w:r>
    </w:p>
    <w:p>
      <w:pPr>
        <w:pStyle w:val="ListParagraph"/>
        <w:numPr>
          <w:ilvl w:val="0"/>
          <w:numId w:val="2"/>
        </w:numPr>
        <w:spacing w:before="60" w:after="60"/>
      </w:pPr>
      <w:r>
        <w:rPr>
          <w:rFonts w:ascii="Arial" w:cs="Arial" w:eastAsia="Arial" w:hAnsi="Arial"/>
          <w:b/>
          <w:bCs/>
          <w:sz w:val="22"/>
          <w:szCs w:val="22"/>
        </w:rPr>
        <w:t xml:space="preserve">Borrower Segmentation: </w:t>
      </w:r>
      <w:r>
        <w:rPr>
          <w:rFonts w:ascii="Arial" w:cs="Arial" w:eastAsia="Arial" w:hAnsi="Arial"/>
          <w:sz w:val="22"/>
          <w:szCs w:val="22"/>
        </w:rPr>
        <w:t xml:space="preserve">Can unsupervised clustering surface actionable borrower personas -- cohorts sharing risk profile, savings potential, and product affinity -- enabling personalized recommendation logic?</w:t>
      </w:r>
    </w:p>
    <w:p>
      <w:pPr>
        <w:pStyle w:val="ListParagraph"/>
        <w:numPr>
          <w:ilvl w:val="0"/>
          <w:numId w:val="2"/>
        </w:numPr>
        <w:spacing w:before="60" w:after="60"/>
      </w:pPr>
      <w:r>
        <w:rPr>
          <w:rFonts w:ascii="Arial" w:cs="Arial" w:eastAsia="Arial" w:hAnsi="Arial"/>
          <w:b/>
          <w:bCs/>
          <w:sz w:val="22"/>
          <w:szCs w:val="22"/>
        </w:rPr>
        <w:t xml:space="preserve">Explainability &amp; Compliance: </w:t>
      </w:r>
      <w:r>
        <w:rPr>
          <w:rFonts w:ascii="Arial" w:cs="Arial" w:eastAsia="Arial" w:hAnsi="Arial"/>
          <w:sz w:val="22"/>
          <w:szCs w:val="22"/>
        </w:rPr>
        <w:t xml:space="preserve">Can SHAP-based explanations make individual recommendations interpretable to both borrowers (plain English) and compliance reviewers (feature attribution trails), consistent with RBI digital lending guidelines?</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3. Background and Motivation</w:t>
      </w:r>
    </w:p>
    <w:p>
      <w:pPr>
        <w:pStyle w:val="Heading2"/>
        <w:spacing w:before="240" w:after="100"/>
      </w:pPr>
      <w:r>
        <w:rPr>
          <w:rFonts w:ascii="Arial" w:cs="Arial" w:eastAsia="Arial" w:hAnsi="Arial"/>
          <w:b/>
          <w:bCs/>
          <w:color w:val="2E75B6"/>
          <w:sz w:val="26"/>
          <w:szCs w:val="26"/>
        </w:rPr>
        <w:t xml:space="preserve">3.1 The CC-to-PL Conversion Opportunity</w:t>
      </w:r>
    </w:p>
    <w:p>
      <w:pPr>
        <w:spacing w:before="80" w:after="100"/>
        <w:jc w:val="both"/>
      </w:pPr>
      <w:r>
        <w:rPr>
          <w:rFonts w:ascii="Arial" w:cs="Arial" w:eastAsia="Arial" w:hAnsi="Arial"/>
          <w:sz w:val="22"/>
          <w:szCs w:val="22"/>
        </w:rPr>
        <w:t xml:space="preserve">Credit card revolving debt is the highest-cost consumer liability class in India, with annualized rates of 36-42% applying immediately once the minimum-payment cycle begins. The structural characteristics -- variable balance, no defined tenure, daily compounding -- make it ideal for conversion to a fixed-rate, fixed-tenure personal loan. The borrower gains payment predictability and a guaranteed debt-free date. The AI challenge is identifying which cardholders have sufficient creditworthiness to qualify for a PL at a rate materially lower than their effective CC rate, and estimating that rate precisely enough to make the recommendation actionable.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3.2 The PL Refinancing Opportunity</w:t>
      </w:r>
    </w:p>
    <w:p>
      <w:pPr>
        <w:spacing w:before="80" w:after="100"/>
        <w:jc w:val="both"/>
      </w:pPr>
      <w:r>
        <w:rPr>
          <w:rFonts w:ascii="Arial" w:cs="Arial" w:eastAsia="Arial" w:hAnsi="Arial"/>
          <w:sz w:val="22"/>
          <w:szCs w:val="22"/>
        </w:rPr>
        <w:t xml:space="preserve">Personal loan refinancing in India is structurally under-penetrated. The barriers are informational: borrowers do not know their current bureau score, do not know what rate they would qualify for today versus at origination, and lack a frictionless channel to act on this information. A machine learning system that identifies borrowers whose credit profile has improved sufficiently to justify refinancing -- and quantifies the benefit precisely -- addresses this information asymmetry at scale.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3.3 Why This Problem Demands Advanced ML</w:t>
      </w:r>
    </w:p>
    <w:p>
      <w:pPr>
        <w:spacing w:before="80" w:after="100"/>
        <w:jc w:val="both"/>
      </w:pPr>
      <w:r>
        <w:rPr>
          <w:rFonts w:ascii="Arial" w:cs="Arial" w:eastAsia="Arial" w:hAnsi="Arial"/>
          <w:sz w:val="22"/>
          <w:szCs w:val="22"/>
        </w:rPr>
        <w:t xml:space="preserve">The refinancing recommendation problem is non-trivial from an ML standpoint for reasons a production engineer will immediately recognize:</w:t>
      </w:r>
    </w:p>
    <w:p>
      <w:pPr>
        <w:pStyle w:val="ListParagraph"/>
        <w:numPr>
          <w:ilvl w:val="0"/>
          <w:numId w:val="2"/>
        </w:numPr>
        <w:spacing w:before="60" w:after="60"/>
      </w:pPr>
      <w:r>
        <w:rPr>
          <w:rFonts w:ascii="Arial" w:cs="Arial" w:eastAsia="Arial" w:hAnsi="Arial"/>
          <w:b/>
          <w:bCs/>
          <w:sz w:val="22"/>
          <w:szCs w:val="22"/>
        </w:rPr>
        <w:t xml:space="preserve">Class imbalance is severe: </w:t>
      </w:r>
      <w:r>
        <w:rPr>
          <w:rFonts w:ascii="Arial" w:cs="Arial" w:eastAsia="Arial" w:hAnsi="Arial"/>
          <w:sz w:val="22"/>
          <w:szCs w:val="22"/>
        </w:rPr>
        <w:t xml:space="preserve">Charged-off loans represent approximately 14-18% of the LendingClub population, requiring deliberate imbalance-handling strategies evaluated against business-relevant thresholds, not raw accuracy.</w:t>
      </w:r>
    </w:p>
    <w:p>
      <w:pPr>
        <w:pStyle w:val="ListParagraph"/>
        <w:numPr>
          <w:ilvl w:val="0"/>
          <w:numId w:val="2"/>
        </w:numPr>
        <w:spacing w:before="60" w:after="60"/>
      </w:pPr>
      <w:r>
        <w:rPr>
          <w:rFonts w:ascii="Arial" w:cs="Arial" w:eastAsia="Arial" w:hAnsi="Arial"/>
          <w:b/>
          <w:bCs/>
          <w:sz w:val="22"/>
          <w:szCs w:val="22"/>
        </w:rPr>
        <w:t xml:space="preserve">Probability calibration is non-negotiable: </w:t>
      </w:r>
      <w:r>
        <w:rPr>
          <w:rFonts w:ascii="Arial" w:cs="Arial" w:eastAsia="Arial" w:hAnsi="Arial"/>
          <w:sz w:val="22"/>
          <w:szCs w:val="22"/>
        </w:rPr>
        <w:t xml:space="preserve">A risk model outputting a PD of 0.15 must actually correspond to a 15% observed default frequency in that score band. Uncalibrated models produce systematically wrong savings estimates downstream and expose the platform to adverse selection.</w:t>
      </w:r>
    </w:p>
    <w:p>
      <w:pPr>
        <w:pStyle w:val="ListParagraph"/>
        <w:numPr>
          <w:ilvl w:val="0"/>
          <w:numId w:val="2"/>
        </w:numPr>
        <w:spacing w:before="60" w:after="60"/>
      </w:pPr>
      <w:r>
        <w:rPr>
          <w:rFonts w:ascii="Arial" w:cs="Arial" w:eastAsia="Arial" w:hAnsi="Arial"/>
          <w:b/>
          <w:bCs/>
          <w:sz w:val="22"/>
          <w:szCs w:val="22"/>
        </w:rPr>
        <w:t xml:space="preserve">Rate prediction has a non-linear surface: </w:t>
      </w:r>
      <w:r>
        <w:rPr>
          <w:rFonts w:ascii="Arial" w:cs="Arial" w:eastAsia="Arial" w:hAnsi="Arial"/>
          <w:sz w:val="22"/>
          <w:szCs w:val="22"/>
        </w:rPr>
        <w:t xml:space="preserve">Eligible interest rates are not a smooth linear function of credit score -- they reflect discrete grade buckets, lender-specific pricing policies, and interaction effects between DTI, loan purpose, and employment tenure. Gradient boosted regressors capture this non-linearity; linear models do not.</w:t>
      </w:r>
    </w:p>
    <w:p>
      <w:pPr>
        <w:pStyle w:val="ListParagraph"/>
        <w:numPr>
          <w:ilvl w:val="0"/>
          <w:numId w:val="2"/>
        </w:numPr>
        <w:spacing w:before="60" w:after="60"/>
      </w:pPr>
      <w:r>
        <w:rPr>
          <w:rFonts w:ascii="Arial" w:cs="Arial" w:eastAsia="Arial" w:hAnsi="Arial"/>
          <w:b/>
          <w:bCs/>
          <w:sz w:val="22"/>
          <w:szCs w:val="22"/>
        </w:rPr>
        <w:t xml:space="preserve">Fairness is a design requirement, not an audit: </w:t>
      </w:r>
      <w:r>
        <w:rPr>
          <w:rFonts w:ascii="Arial" w:cs="Arial" w:eastAsia="Arial" w:hAnsi="Arial"/>
          <w:sz w:val="22"/>
          <w:szCs w:val="22"/>
        </w:rPr>
        <w:t xml:space="preserve">A recommendation engine that systematically withholds beneficial refinancing from lower-income cohorts constitutes algorithmic lending discrimination, carrying both regulatory and reputational risk.</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3.4 Regulatory Context</w:t>
      </w:r>
    </w:p>
    <w:p>
      <w:pPr>
        <w:spacing w:before="80" w:after="100"/>
        <w:jc w:val="both"/>
      </w:pPr>
      <w:r>
        <w:rPr>
          <w:rFonts w:ascii="Arial" w:cs="Arial" w:eastAsia="Arial" w:hAnsi="Arial"/>
          <w:sz w:val="22"/>
          <w:szCs w:val="22"/>
        </w:rPr>
        <w:t xml:space="preserve">The RBI's Digital Lending Guidelines (2022) require that digital lending platforms provide borrowers with a Key Fact Statement (KFS) including effective interest rate and total cost of credit. An AI system in this context must be explainable by design: it must articulate, for any recommendation, which borrower attributes drove the decision and with what weight. The SHAP-based explanation layer in this project directly addresses this requirement, positioning the prototype as regulation-aware from inception.</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4. Data Requirements and Feature Engineering</w:t>
      </w:r>
    </w:p>
    <w:p>
      <w:pPr>
        <w:pStyle w:val="Heading2"/>
        <w:spacing w:before="240" w:after="100"/>
      </w:pPr>
      <w:r>
        <w:rPr>
          <w:rFonts w:ascii="Arial" w:cs="Arial" w:eastAsia="Arial" w:hAnsi="Arial"/>
          <w:b/>
          <w:bCs/>
          <w:color w:val="2E75B6"/>
          <w:sz w:val="26"/>
          <w:szCs w:val="26"/>
        </w:rPr>
        <w:t xml:space="preserve">4.1 Public Datasets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316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Dataset</w:t>
            </w:r>
          </w:p>
        </w:tc>
        <w:tc>
          <w:tcPr>
            <w:tcW w:type="dxa" w:w="1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Volume</w:t>
            </w:r>
          </w:p>
        </w:tc>
        <w:tc>
          <w:tcPr>
            <w:tcW w:type="dxa" w:w="31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Key Signals</w:t>
            </w:r>
          </w:p>
        </w:tc>
        <w:tc>
          <w:tcPr>
            <w:tcW w:type="dxa" w:w="2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Project Role</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LendingClub Loan Dataset (2007-2018)</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Kaggle</w:t>
            </w:r>
          </w:p>
        </w:tc>
        <w:tc>
          <w:tcPr>
            <w:tcW w:type="dxa" w:w="1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2.2M records, 74+ features</w:t>
            </w:r>
          </w:p>
        </w:tc>
        <w:tc>
          <w:tcPr>
            <w:tcW w:type="dxa" w:w="31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Loan amount, int_rate, purpose (credit_card / debt_consolidation), DTI, grade, payment history, charge-off status</w:t>
            </w:r>
          </w:p>
        </w:tc>
        <w:tc>
          <w:tcPr>
            <w:tcW w:type="dxa" w:w="2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PRIMARY: credit risk model + rate regression + CC-to-PL and PL refi labeling</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Home Credit Default Risk</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Kaggle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350K applications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Bureau history, installment behavior, income verification, prior loan performance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SECONDARY: bureau signal enrichment; cross-validation of risk features</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Prosper Loan Dataset</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Kaggle</w:t>
            </w:r>
          </w:p>
        </w:tc>
        <w:tc>
          <w:tcPr>
            <w:tcW w:type="dxa" w:w="1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113K records</w:t>
            </w:r>
          </w:p>
        </w:tc>
        <w:tc>
          <w:tcPr>
            <w:tcW w:type="dxa" w:w="31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Prosper rating, borrower rate, income range, delinquencies, loan purpose</w:t>
            </w:r>
          </w:p>
        </w:tc>
        <w:tc>
          <w:tcPr>
            <w:tcW w:type="dxa" w:w="2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SUPPLEMENTARY: interest rate model validation; out-of-sample generalization test</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4.2 Loan Type Labeling Strategy</w:t>
      </w:r>
    </w:p>
    <w:p>
      <w:pPr>
        <w:spacing w:before="80" w:after="100"/>
        <w:jc w:val="both"/>
      </w:pPr>
      <w:r>
        <w:rPr>
          <w:rFonts w:ascii="Arial" w:cs="Arial" w:eastAsia="Arial" w:hAnsi="Arial"/>
          <w:sz w:val="22"/>
          <w:szCs w:val="22"/>
        </w:rPr>
        <w:t xml:space="preserve">The LendingClub dataset's purpose field enables clean training set segmentation without synthetic label generation:</w:t>
      </w:r>
    </w:p>
    <w:p>
      <w:pPr>
        <w:pStyle w:val="ListParagraph"/>
        <w:numPr>
          <w:ilvl w:val="0"/>
          <w:numId w:val="2"/>
        </w:numPr>
        <w:spacing w:before="60" w:after="60"/>
      </w:pPr>
      <w:r>
        <w:rPr>
          <w:rFonts w:ascii="Arial" w:cs="Arial" w:eastAsia="Arial" w:hAnsi="Arial"/>
          <w:b/>
          <w:bCs/>
          <w:sz w:val="22"/>
          <w:szCs w:val="22"/>
        </w:rPr>
        <w:t xml:space="preserve">CC-to-PL Training Cohort: </w:t>
      </w:r>
      <w:r>
        <w:rPr>
          <w:rFonts w:ascii="Arial" w:cs="Arial" w:eastAsia="Arial" w:hAnsi="Arial"/>
          <w:sz w:val="22"/>
          <w:szCs w:val="22"/>
        </w:rPr>
        <w:t xml:space="preserve">Records with purpose = 'credit_card', filtered to borrowers with revol_bal &gt; 0 and revol_util &gt; 30%. Targets: loan outcome (risk model) and assigned interest rate (savings model).</w:t>
      </w:r>
    </w:p>
    <w:p>
      <w:pPr>
        <w:pStyle w:val="ListParagraph"/>
        <w:numPr>
          <w:ilvl w:val="0"/>
          <w:numId w:val="2"/>
        </w:numPr>
        <w:spacing w:before="60" w:after="60"/>
      </w:pPr>
      <w:r>
        <w:rPr>
          <w:rFonts w:ascii="Arial" w:cs="Arial" w:eastAsia="Arial" w:hAnsi="Arial"/>
          <w:b/>
          <w:bCs/>
          <w:sz w:val="22"/>
          <w:szCs w:val="22"/>
        </w:rPr>
        <w:t xml:space="preserve">PL Refinancing Training Cohort: </w:t>
      </w:r>
      <w:r>
        <w:rPr>
          <w:rFonts w:ascii="Arial" w:cs="Arial" w:eastAsia="Arial" w:hAnsi="Arial"/>
          <w:sz w:val="22"/>
          <w:szCs w:val="22"/>
        </w:rPr>
        <w:t xml:space="preserve">Records with purpose = 'debt_consolidation' or 'personal', filtered to loans originated 18+ months prior. Targets: same risk and rate targets as above.</w:t>
      </w:r>
    </w:p>
    <w:p>
      <w:pPr>
        <w:spacing w:before="80" w:after="100"/>
        <w:jc w:val="both"/>
      </w:pPr>
      <w:r>
        <w:rPr>
          <w:rFonts w:ascii="Arial" w:cs="Arial" w:eastAsia="Arial" w:hAnsi="Arial"/>
          <w:sz w:val="22"/>
          <w:szCs w:val="22"/>
        </w:rPr>
        <w:t xml:space="preserve">Separate models will be trained for each cohort and evaluated for whether a unified model with a loan-type flag achieves statistically equivalent performance -- directly answering Sub-question 3.</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4.3 Feature Engineering Plan</w:t>
      </w:r>
    </w:p>
    <w:p>
      <w:pPr>
        <w:spacing w:before="80" w:after="100"/>
        <w:jc w:val="both"/>
      </w:pPr>
      <w:r>
        <w:rPr>
          <w:rFonts w:ascii="Arial" w:cs="Arial" w:eastAsia="Arial" w:hAnsi="Arial"/>
          <w:sz w:val="22"/>
          <w:szCs w:val="22"/>
        </w:rPr>
        <w:t xml:space="preserve">The following engineered features reflect production credit modeling practice and go beyond standard textbook feature lists:</w:t>
      </w:r>
    </w:p>
    <w:p>
      <w:pPr>
        <w:pStyle w:val="ListParagraph"/>
        <w:numPr>
          <w:ilvl w:val="0"/>
          <w:numId w:val="2"/>
        </w:numPr>
        <w:spacing w:before="60" w:after="60"/>
      </w:pPr>
      <w:r>
        <w:rPr>
          <w:rFonts w:ascii="Arial" w:cs="Arial" w:eastAsia="Arial" w:hAnsi="Arial"/>
          <w:b/>
          <w:bCs/>
          <w:sz w:val="22"/>
          <w:szCs w:val="22"/>
        </w:rPr>
        <w:t xml:space="preserve">Debt-to-Income (DTI) Ratio: </w:t>
      </w:r>
      <w:r>
        <w:rPr>
          <w:rFonts w:ascii="Arial" w:cs="Arial" w:eastAsia="Arial" w:hAnsi="Arial"/>
          <w:sz w:val="22"/>
          <w:szCs w:val="22"/>
        </w:rPr>
        <w:t xml:space="preserve">Total monthly debt obligations / gross monthly income -- primary underwriting signal across all lender types</w:t>
      </w:r>
    </w:p>
    <w:p>
      <w:pPr>
        <w:pStyle w:val="ListParagraph"/>
        <w:numPr>
          <w:ilvl w:val="0"/>
          <w:numId w:val="2"/>
        </w:numPr>
        <w:spacing w:before="60" w:after="60"/>
      </w:pPr>
      <w:r>
        <w:rPr>
          <w:rFonts w:ascii="Arial" w:cs="Arial" w:eastAsia="Arial" w:hAnsi="Arial"/>
          <w:b/>
          <w:bCs/>
          <w:sz w:val="22"/>
          <w:szCs w:val="22"/>
        </w:rPr>
        <w:t xml:space="preserve">Credit Utilization Rate: </w:t>
      </w:r>
      <w:r>
        <w:rPr>
          <w:rFonts w:ascii="Arial" w:cs="Arial" w:eastAsia="Arial" w:hAnsi="Arial"/>
          <w:sz w:val="22"/>
          <w:szCs w:val="22"/>
        </w:rPr>
        <w:t xml:space="preserve">revol_bal / revol_util -- high utilization signals credit stress; declining utilization signals CC-to-PL candidate quality improvement</w:t>
      </w:r>
    </w:p>
    <w:p>
      <w:pPr>
        <w:pStyle w:val="ListParagraph"/>
        <w:numPr>
          <w:ilvl w:val="0"/>
          <w:numId w:val="2"/>
        </w:numPr>
        <w:spacing w:before="60" w:after="60"/>
      </w:pPr>
      <w:r>
        <w:rPr>
          <w:rFonts w:ascii="Arial" w:cs="Arial" w:eastAsia="Arial" w:hAnsi="Arial"/>
          <w:b/>
          <w:bCs/>
          <w:sz w:val="22"/>
          <w:szCs w:val="22"/>
        </w:rPr>
        <w:t xml:space="preserve">Payment Velocity Score: </w:t>
      </w:r>
      <w:r>
        <w:rPr>
          <w:rFonts w:ascii="Arial" w:cs="Arial" w:eastAsia="Arial" w:hAnsi="Arial"/>
          <w:sz w:val="22"/>
          <w:szCs w:val="22"/>
        </w:rPr>
        <w:t xml:space="preserve">Ratio of on-time payments to total payments in trailing 12 months -- a leading indicator of credit trajectory</w:t>
      </w:r>
    </w:p>
    <w:p>
      <w:pPr>
        <w:pStyle w:val="ListParagraph"/>
        <w:numPr>
          <w:ilvl w:val="0"/>
          <w:numId w:val="2"/>
        </w:numPr>
        <w:spacing w:before="60" w:after="60"/>
      </w:pPr>
      <w:r>
        <w:rPr>
          <w:rFonts w:ascii="Arial" w:cs="Arial" w:eastAsia="Arial" w:hAnsi="Arial"/>
          <w:b/>
          <w:bCs/>
          <w:sz w:val="22"/>
          <w:szCs w:val="22"/>
        </w:rPr>
        <w:t xml:space="preserve">Rate Improvement Headroom: </w:t>
      </w:r>
      <w:r>
        <w:rPr>
          <w:rFonts w:ascii="Arial" w:cs="Arial" w:eastAsia="Arial" w:hAnsi="Arial"/>
          <w:sz w:val="22"/>
          <w:szCs w:val="22"/>
        </w:rPr>
        <w:t xml:space="preserve">Current loan rate minus predicted eligible rate -- the raw refinancing opportunity before tenure adjustment</w:t>
      </w:r>
    </w:p>
    <w:p>
      <w:pPr>
        <w:pStyle w:val="ListParagraph"/>
        <w:numPr>
          <w:ilvl w:val="0"/>
          <w:numId w:val="2"/>
        </w:numPr>
        <w:spacing w:before="60" w:after="60"/>
      </w:pPr>
      <w:r>
        <w:rPr>
          <w:rFonts w:ascii="Arial" w:cs="Arial" w:eastAsia="Arial" w:hAnsi="Arial"/>
          <w:b/>
          <w:bCs/>
          <w:sz w:val="22"/>
          <w:szCs w:val="22"/>
        </w:rPr>
        <w:t xml:space="preserve">Savings Delta (Rs/month): </w:t>
      </w:r>
      <w:r>
        <w:rPr>
          <w:rFonts w:ascii="Arial" w:cs="Arial" w:eastAsia="Arial" w:hAnsi="Arial"/>
          <w:sz w:val="22"/>
          <w:szCs w:val="22"/>
        </w:rPr>
        <w:t xml:space="preserve">(Current EMI) minus (Projected EMI at new rate x remaining tenure) -- the primary output of the recommendation engine</w:t>
      </w:r>
    </w:p>
    <w:p>
      <w:pPr>
        <w:pStyle w:val="ListParagraph"/>
        <w:numPr>
          <w:ilvl w:val="0"/>
          <w:numId w:val="2"/>
        </w:numPr>
        <w:spacing w:before="60" w:after="60"/>
      </w:pPr>
      <w:r>
        <w:rPr>
          <w:rFonts w:ascii="Arial" w:cs="Arial" w:eastAsia="Arial" w:hAnsi="Arial"/>
          <w:b/>
          <w:bCs/>
          <w:sz w:val="22"/>
          <w:szCs w:val="22"/>
        </w:rPr>
        <w:t xml:space="preserve">Vintage Indicator: </w:t>
      </w:r>
      <w:r>
        <w:rPr>
          <w:rFonts w:ascii="Arial" w:cs="Arial" w:eastAsia="Arial" w:hAnsi="Arial"/>
          <w:sz w:val="22"/>
          <w:szCs w:val="22"/>
        </w:rPr>
        <w:t xml:space="preserve">Loan age in months at evaluation -- captures the seasoning effect on credit quality improvement</w:t>
      </w:r>
    </w:p>
    <w:p>
      <w:pPr>
        <w:pStyle w:val="ListParagraph"/>
        <w:numPr>
          <w:ilvl w:val="0"/>
          <w:numId w:val="2"/>
        </w:numPr>
        <w:spacing w:before="60" w:after="60"/>
      </w:pPr>
      <w:r>
        <w:rPr>
          <w:rFonts w:ascii="Arial" w:cs="Arial" w:eastAsia="Arial" w:hAnsi="Arial"/>
          <w:b/>
          <w:bCs/>
          <w:sz w:val="22"/>
          <w:szCs w:val="22"/>
        </w:rPr>
        <w:t xml:space="preserve">Employment Stability Score: </w:t>
      </w:r>
      <w:r>
        <w:rPr>
          <w:rFonts w:ascii="Arial" w:cs="Arial" w:eastAsia="Arial" w:hAnsi="Arial"/>
          <w:sz w:val="22"/>
          <w:szCs w:val="22"/>
        </w:rPr>
        <w:t xml:space="preserve">Nonlinear ordinal encoding of emp_length with buckets reflecting lender-typical risk thresholds</w:t>
      </w:r>
    </w:p>
    <w:p>
      <w:pPr>
        <w:pStyle w:val="ListParagraph"/>
        <w:numPr>
          <w:ilvl w:val="0"/>
          <w:numId w:val="2"/>
        </w:numPr>
        <w:spacing w:before="60" w:after="60"/>
      </w:pPr>
      <w:r>
        <w:rPr>
          <w:rFonts w:ascii="Arial" w:cs="Arial" w:eastAsia="Arial" w:hAnsi="Arial"/>
          <w:b/>
          <w:bCs/>
          <w:sz w:val="22"/>
          <w:szCs w:val="22"/>
        </w:rPr>
        <w:t xml:space="preserve">Population Stability Index (PSI) Monitor: </w:t>
      </w:r>
      <w:r>
        <w:rPr>
          <w:rFonts w:ascii="Arial" w:cs="Arial" w:eastAsia="Arial" w:hAnsi="Arial"/>
          <w:sz w:val="22"/>
          <w:szCs w:val="22"/>
        </w:rPr>
        <w:t xml:space="preserve">Computed between training and scoring populations to detect distributional drift at inference time -- a production monitoring primitive</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5. Methodological Approach</w:t>
      </w:r>
    </w:p>
    <w:p>
      <w:pPr>
        <w:spacing w:before="80" w:after="100"/>
        <w:jc w:val="both"/>
      </w:pPr>
      <w:r>
        <w:rPr>
          <w:rFonts w:ascii="Arial" w:cs="Arial" w:eastAsia="Arial" w:hAnsi="Arial"/>
          <w:sz w:val="22"/>
          <w:szCs w:val="22"/>
        </w:rPr>
        <w:t xml:space="preserve">The solution is structured as three sequential ML layers with a cross-cutting explainability stack and a Streamlit demonstration application. The architecture mirrors a production lending intelligence platform.</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5.1 Layer 1 -- Credit Risk Scoring (Classification)</w:t>
      </w:r>
    </w:p>
    <w:p>
      <w:pPr>
        <w:spacing w:before="80" w:after="100"/>
        <w:jc w:val="both"/>
      </w:pPr>
      <w:r>
        <w:rPr>
          <w:rFonts w:ascii="Arial" w:cs="Arial" w:eastAsia="Arial" w:hAnsi="Arial"/>
          <w:sz w:val="22"/>
          <w:szCs w:val="22"/>
        </w:rPr>
        <w:t xml:space="preserve">Answers: Is this borrower creditworthy enough to be considered for refinancing?</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Model Training Protocol</w:t>
      </w:r>
    </w:p>
    <w:p>
      <w:pPr>
        <w:pStyle w:val="ListParagraph"/>
        <w:numPr>
          <w:ilvl w:val="0"/>
          <w:numId w:val="2"/>
        </w:numPr>
        <w:spacing w:before="60" w:after="60"/>
      </w:pPr>
      <w:r>
        <w:rPr>
          <w:rFonts w:ascii="Arial" w:cs="Arial" w:eastAsia="Arial" w:hAnsi="Arial"/>
          <w:b/>
          <w:bCs/>
          <w:sz w:val="22"/>
          <w:szCs w:val="22"/>
        </w:rPr>
        <w:t xml:space="preserve">Baseline: </w:t>
      </w:r>
      <w:r>
        <w:rPr>
          <w:rFonts w:ascii="Arial" w:cs="Arial" w:eastAsia="Arial" w:hAnsi="Arial"/>
          <w:sz w:val="22"/>
          <w:szCs w:val="22"/>
        </w:rPr>
        <w:t xml:space="preserve">Logistic Regression with L2 regularization on standardized features</w:t>
      </w:r>
    </w:p>
    <w:p>
      <w:pPr>
        <w:pStyle w:val="ListParagraph"/>
        <w:numPr>
          <w:ilvl w:val="0"/>
          <w:numId w:val="2"/>
        </w:numPr>
        <w:spacing w:before="60" w:after="60"/>
      </w:pPr>
      <w:r>
        <w:rPr>
          <w:rFonts w:ascii="Arial" w:cs="Arial" w:eastAsia="Arial" w:hAnsi="Arial"/>
          <w:b/>
          <w:bCs/>
          <w:sz w:val="22"/>
          <w:szCs w:val="22"/>
        </w:rPr>
        <w:t xml:space="preserve">Intermediate: </w:t>
      </w:r>
      <w:r>
        <w:rPr>
          <w:rFonts w:ascii="Arial" w:cs="Arial" w:eastAsia="Arial" w:hAnsi="Arial"/>
          <w:sz w:val="22"/>
          <w:szCs w:val="22"/>
        </w:rPr>
        <w:t xml:space="preserve">Random Forest (200 estimators) with SMOTE oversampling on the default minority class; feature importance analysis</w:t>
      </w:r>
    </w:p>
    <w:p>
      <w:pPr>
        <w:pStyle w:val="ListParagraph"/>
        <w:numPr>
          <w:ilvl w:val="0"/>
          <w:numId w:val="2"/>
        </w:numPr>
        <w:spacing w:before="60" w:after="60"/>
      </w:pPr>
      <w:r>
        <w:rPr>
          <w:rFonts w:ascii="Arial" w:cs="Arial" w:eastAsia="Arial" w:hAnsi="Arial"/>
          <w:b/>
          <w:bCs/>
          <w:sz w:val="22"/>
          <w:szCs w:val="22"/>
        </w:rPr>
        <w:t xml:space="preserve">Final Champion: </w:t>
      </w:r>
      <w:r>
        <w:rPr>
          <w:rFonts w:ascii="Arial" w:cs="Arial" w:eastAsia="Arial" w:hAnsi="Arial"/>
          <w:sz w:val="22"/>
          <w:szCs w:val="22"/>
        </w:rPr>
        <w:t xml:space="preserve">XGBoost with Optuna Bayesian hyperparameter optimization (200 trials, stratified 5-fold CV)</w:t>
      </w:r>
    </w:p>
    <w:p>
      <w:pPr>
        <w:pStyle w:val="ListParagraph"/>
        <w:numPr>
          <w:ilvl w:val="0"/>
          <w:numId w:val="2"/>
        </w:numPr>
        <w:spacing w:before="60" w:after="60"/>
      </w:pPr>
      <w:r>
        <w:rPr>
          <w:rFonts w:ascii="Arial" w:cs="Arial" w:eastAsia="Arial" w:hAnsi="Arial"/>
          <w:b/>
          <w:bCs/>
          <w:sz w:val="22"/>
          <w:szCs w:val="22"/>
        </w:rPr>
        <w:t xml:space="preserve">Challenger: </w:t>
      </w:r>
      <w:r>
        <w:rPr>
          <w:rFonts w:ascii="Arial" w:cs="Arial" w:eastAsia="Arial" w:hAnsi="Arial"/>
          <w:sz w:val="22"/>
          <w:szCs w:val="22"/>
        </w:rPr>
        <w:t xml:space="preserve">LightGBM trained with identical HPO protocol; registered in MLflow alongside XGBoost for champion-challenger evaluation</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Probability Calibration</w:t>
      </w:r>
    </w:p>
    <w:p>
      <w:pPr>
        <w:spacing w:before="80" w:after="100"/>
        <w:jc w:val="both"/>
      </w:pPr>
      <w:r>
        <w:rPr>
          <w:rFonts w:ascii="Arial" w:cs="Arial" w:eastAsia="Arial" w:hAnsi="Arial"/>
          <w:sz w:val="22"/>
          <w:szCs w:val="22"/>
        </w:rPr>
        <w:t xml:space="preserve">Raw XGBoost probability outputs are calibrated using both Platt Scaling (logistic regression on validation outputs) and isotonic regression. The calibration method is selected by Brier score on a holdout set. Reliability diagrams are generated to visualize calibration quality. This step is non-optional: calibrated PD scores are required for downstream savings estimates to be financially credible.</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Evaluation Metrics</w:t>
      </w:r>
    </w:p>
    <w:p>
      <w:pPr>
        <w:pStyle w:val="ListParagraph"/>
        <w:numPr>
          <w:ilvl w:val="0"/>
          <w:numId w:val="2"/>
        </w:numPr>
        <w:spacing w:before="60" w:after="60"/>
      </w:pPr>
      <w:r>
        <w:rPr>
          <w:rFonts w:ascii="Arial" w:cs="Arial" w:eastAsia="Arial" w:hAnsi="Arial"/>
          <w:b/>
          <w:bCs/>
          <w:sz w:val="22"/>
          <w:szCs w:val="22"/>
        </w:rPr>
        <w:t xml:space="preserve">ROC-AUC: </w:t>
      </w:r>
      <w:r>
        <w:rPr>
          <w:rFonts w:ascii="Arial" w:cs="Arial" w:eastAsia="Arial" w:hAnsi="Arial"/>
          <w:sz w:val="22"/>
          <w:szCs w:val="22"/>
        </w:rPr>
        <w:t xml:space="preserve">Primary discrimination metric across all classification thresholds</w:t>
      </w:r>
    </w:p>
    <w:p>
      <w:pPr>
        <w:pStyle w:val="ListParagraph"/>
        <w:numPr>
          <w:ilvl w:val="0"/>
          <w:numId w:val="2"/>
        </w:numPr>
        <w:spacing w:before="60" w:after="60"/>
      </w:pPr>
      <w:r>
        <w:rPr>
          <w:rFonts w:ascii="Arial" w:cs="Arial" w:eastAsia="Arial" w:hAnsi="Arial"/>
          <w:b/>
          <w:bCs/>
          <w:sz w:val="22"/>
          <w:szCs w:val="22"/>
        </w:rPr>
        <w:t xml:space="preserve">KS Statistic: </w:t>
      </w:r>
      <w:r>
        <w:rPr>
          <w:rFonts w:ascii="Arial" w:cs="Arial" w:eastAsia="Arial" w:hAnsi="Arial"/>
          <w:sz w:val="22"/>
          <w:szCs w:val="22"/>
        </w:rPr>
        <w:t xml:space="preserve">Maximum separation between default and non-default score distributions -- standard in credit industry scorecards</w:t>
      </w:r>
    </w:p>
    <w:p>
      <w:pPr>
        <w:pStyle w:val="ListParagraph"/>
        <w:numPr>
          <w:ilvl w:val="0"/>
          <w:numId w:val="2"/>
        </w:numPr>
        <w:spacing w:before="60" w:after="60"/>
      </w:pPr>
      <w:r>
        <w:rPr>
          <w:rFonts w:ascii="Arial" w:cs="Arial" w:eastAsia="Arial" w:hAnsi="Arial"/>
          <w:b/>
          <w:bCs/>
          <w:sz w:val="22"/>
          <w:szCs w:val="22"/>
        </w:rPr>
        <w:t xml:space="preserve">Gini Coefficient: </w:t>
      </w:r>
      <w:r>
        <w:rPr>
          <w:rFonts w:ascii="Arial" w:cs="Arial" w:eastAsia="Arial" w:hAnsi="Arial"/>
          <w:sz w:val="22"/>
          <w:szCs w:val="22"/>
        </w:rPr>
        <w:t xml:space="preserve">2 x AUC - 1; industry-standard complement to AUC for credit models</w:t>
      </w:r>
    </w:p>
    <w:p>
      <w:pPr>
        <w:pStyle w:val="ListParagraph"/>
        <w:numPr>
          <w:ilvl w:val="0"/>
          <w:numId w:val="2"/>
        </w:numPr>
        <w:spacing w:before="60" w:after="60"/>
      </w:pPr>
      <w:r>
        <w:rPr>
          <w:rFonts w:ascii="Arial" w:cs="Arial" w:eastAsia="Arial" w:hAnsi="Arial"/>
          <w:b/>
          <w:bCs/>
          <w:sz w:val="22"/>
          <w:szCs w:val="22"/>
        </w:rPr>
        <w:t xml:space="preserve">Brier Score: </w:t>
      </w:r>
      <w:r>
        <w:rPr>
          <w:rFonts w:ascii="Arial" w:cs="Arial" w:eastAsia="Arial" w:hAnsi="Arial"/>
          <w:sz w:val="22"/>
          <w:szCs w:val="22"/>
        </w:rPr>
        <w:t xml:space="preserve">Calibration quality -- mean squared error between predicted PD and observed default outcome</w:t>
      </w:r>
    </w:p>
    <w:p>
      <w:pPr>
        <w:pStyle w:val="ListParagraph"/>
        <w:numPr>
          <w:ilvl w:val="0"/>
          <w:numId w:val="2"/>
        </w:numPr>
        <w:spacing w:before="60" w:after="60"/>
      </w:pPr>
      <w:r>
        <w:rPr>
          <w:rFonts w:ascii="Arial" w:cs="Arial" w:eastAsia="Arial" w:hAnsi="Arial"/>
          <w:b/>
          <w:bCs/>
          <w:sz w:val="22"/>
          <w:szCs w:val="22"/>
        </w:rPr>
        <w:t xml:space="preserve">Lift and Gain Curves: </w:t>
      </w:r>
      <w:r>
        <w:rPr>
          <w:rFonts w:ascii="Arial" w:cs="Arial" w:eastAsia="Arial" w:hAnsi="Arial"/>
          <w:sz w:val="22"/>
          <w:szCs w:val="22"/>
        </w:rPr>
        <w:t xml:space="preserve">How much of the default population is captured in top score deciles -- critical for risk-based pricing strategies</w:t>
      </w:r>
    </w:p>
    <w:p>
      <w:pPr>
        <w:pStyle w:val="ListParagraph"/>
        <w:numPr>
          <w:ilvl w:val="0"/>
          <w:numId w:val="2"/>
        </w:numPr>
        <w:spacing w:before="60" w:after="60"/>
      </w:pPr>
      <w:r>
        <w:rPr>
          <w:rFonts w:ascii="Arial" w:cs="Arial" w:eastAsia="Arial" w:hAnsi="Arial"/>
          <w:b/>
          <w:bCs/>
          <w:sz w:val="22"/>
          <w:szCs w:val="22"/>
        </w:rPr>
        <w:t xml:space="preserve">PSI: </w:t>
      </w:r>
      <w:r>
        <w:rPr>
          <w:rFonts w:ascii="Arial" w:cs="Arial" w:eastAsia="Arial" w:hAnsi="Arial"/>
          <w:sz w:val="22"/>
          <w:szCs w:val="22"/>
        </w:rPr>
        <w:t xml:space="preserve">Population Stability Index between training and temporal holdout sets -- simulates production drift monitoring</w:t>
      </w:r>
    </w:p>
    <w:p>
      <w:pPr>
        <w:spacing w:before="0" w:after="0"/>
      </w:pPr>
      <w:r>
        <w:rPr>
          <w:sz w:val="22"/>
          <w:szCs w:val="22"/>
        </w:rPr>
        <w:t xml:space="preserve"/>
      </w:r>
    </w:p>
    <w:p>
      <w:pPr>
        <w:spacing w:before="80" w:after="100"/>
        <w:jc w:val="both"/>
      </w:pPr>
      <w:r>
        <w:rPr>
          <w:rFonts w:ascii="Arial" w:cs="Arial" w:eastAsia="Arial" w:hAnsi="Arial"/>
          <w:sz w:val="22"/>
          <w:szCs w:val="22"/>
        </w:rPr>
        <w:t xml:space="preserve">Output: Probability of Default (PD) score in [0, 1]. Borrowers above a configurable threshold (e.g., PD &gt; 0.25) receive a 'Hold -- Improve Credit First' recommendation and are excluded from product matching.</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5.2 Layer 2 -- Savings Prediction (Regression)</w:t>
      </w:r>
    </w:p>
    <w:p>
      <w:pPr>
        <w:spacing w:before="80" w:after="100"/>
        <w:jc w:val="both"/>
      </w:pPr>
      <w:r>
        <w:rPr>
          <w:rFonts w:ascii="Arial" w:cs="Arial" w:eastAsia="Arial" w:hAnsi="Arial"/>
          <w:sz w:val="22"/>
          <w:szCs w:val="22"/>
        </w:rPr>
        <w:t xml:space="preserve">Answers: How much will this borrower save per month, and what new interest rate do they qualify for?</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Target Variable: </w:t>
      </w:r>
      <w:r>
        <w:rPr>
          <w:rFonts w:ascii="Arial" w:cs="Arial" w:eastAsia="Arial" w:hAnsi="Arial"/>
          <w:sz w:val="22"/>
          <w:szCs w:val="22"/>
        </w:rPr>
        <w:t xml:space="preserve">Predicted new interest rate (continuous) -- derived from LendingClub int_rate field on a held-out scoring cohort</w:t>
      </w:r>
    </w:p>
    <w:p>
      <w:pPr>
        <w:pStyle w:val="ListParagraph"/>
        <w:numPr>
          <w:ilvl w:val="0"/>
          <w:numId w:val="2"/>
        </w:numPr>
        <w:spacing w:before="60" w:after="60"/>
      </w:pPr>
      <w:r>
        <w:rPr>
          <w:rFonts w:ascii="Arial" w:cs="Arial" w:eastAsia="Arial" w:hAnsi="Arial"/>
          <w:b/>
          <w:bCs/>
          <w:sz w:val="22"/>
          <w:szCs w:val="22"/>
        </w:rPr>
        <w:t xml:space="preserve">Models: </w:t>
      </w:r>
      <w:r>
        <w:rPr>
          <w:rFonts w:ascii="Arial" w:cs="Arial" w:eastAsia="Arial" w:hAnsi="Arial"/>
          <w:sz w:val="22"/>
          <w:szCs w:val="22"/>
        </w:rPr>
        <w:t xml:space="preserve">Ridge Regression baseline; XGBoost Regressor with Optuna HPO as the production model; separate models per loan type (CC-to-PL vs PL refi)</w:t>
      </w:r>
    </w:p>
    <w:p>
      <w:pPr>
        <w:pStyle w:val="ListParagraph"/>
        <w:numPr>
          <w:ilvl w:val="0"/>
          <w:numId w:val="2"/>
        </w:numPr>
        <w:spacing w:before="60" w:after="60"/>
      </w:pPr>
      <w:r>
        <w:rPr>
          <w:rFonts w:ascii="Arial" w:cs="Arial" w:eastAsia="Arial" w:hAnsi="Arial"/>
          <w:b/>
          <w:bCs/>
          <w:sz w:val="22"/>
          <w:szCs w:val="22"/>
        </w:rPr>
        <w:t xml:space="preserve">Monte Carlo Confidence Intervals: </w:t>
      </w:r>
      <w:r>
        <w:rPr>
          <w:rFonts w:ascii="Arial" w:cs="Arial" w:eastAsia="Arial" w:hAnsi="Arial"/>
          <w:sz w:val="22"/>
          <w:szCs w:val="22"/>
        </w:rPr>
        <w:t xml:space="preserve">Rate prediction uncertainty is propagated through the EMI formula using 1,000 bootstrap samples to produce 90% confidence intervals on monthly savings. Borrowers see a savings range, not a single-point estimate.</w:t>
      </w:r>
    </w:p>
    <w:p>
      <w:pPr>
        <w:pStyle w:val="ListParagraph"/>
        <w:numPr>
          <w:ilvl w:val="0"/>
          <w:numId w:val="2"/>
        </w:numPr>
        <w:spacing w:before="60" w:after="60"/>
      </w:pPr>
      <w:r>
        <w:rPr>
          <w:rFonts w:ascii="Arial" w:cs="Arial" w:eastAsia="Arial" w:hAnsi="Arial"/>
          <w:b/>
          <w:bCs/>
          <w:sz w:val="22"/>
          <w:szCs w:val="22"/>
        </w:rPr>
        <w:t xml:space="preserve">Evaluation: </w:t>
      </w:r>
      <w:r>
        <w:rPr>
          <w:rFonts w:ascii="Arial" w:cs="Arial" w:eastAsia="Arial" w:hAnsi="Arial"/>
          <w:sz w:val="22"/>
          <w:szCs w:val="22"/>
        </w:rPr>
        <w:t xml:space="preserve">RMSE (primary), MAE, R-squared, savings estimation accuracy bucketed by credit grade</w:t>
      </w:r>
    </w:p>
    <w:p>
      <w:pPr>
        <w:spacing w:before="0" w:after="0"/>
      </w:pPr>
      <w:r>
        <w:rPr>
          <w:sz w:val="22"/>
          <w:szCs w:val="22"/>
        </w:rPr>
        <w:t xml:space="preserve"/>
      </w:r>
    </w:p>
    <w:p>
      <w:pPr>
        <w:spacing w:before="80" w:after="100"/>
        <w:jc w:val="both"/>
      </w:pPr>
      <w:r>
        <w:rPr>
          <w:rFonts w:ascii="Arial" w:cs="Arial" w:eastAsia="Arial" w:hAnsi="Arial"/>
          <w:sz w:val="22"/>
          <w:szCs w:val="22"/>
        </w:rPr>
        <w:t xml:space="preserve">The savings computation:</w:t>
      </w:r>
    </w:p>
    <w:p>
      <w:pPr>
        <w:shd w:fill="E2E2E2" w:val="clear"/>
        <w:spacing w:before="80" w:after="40"/>
        <w:ind w:left="720" w:right="400"/>
      </w:pPr>
      <w:r>
        <w:rPr>
          <w:rFonts w:ascii="Courier New" w:cs="Courier New" w:eastAsia="Courier New" w:hAnsi="Courier New"/>
          <w:b/>
          <w:bCs/>
          <w:sz w:val="21"/>
          <w:szCs w:val="21"/>
        </w:rPr>
        <w:t xml:space="preserve">New EMI = P x [r(1+r)^n] / [(1+r)^n - 1]     where r = predicted monthly rate / 12, n = new tenure in months</w:t>
      </w:r>
    </w:p>
    <w:p>
      <w:pPr>
        <w:spacing w:before="40" w:after="80"/>
        <w:ind w:left="720" w:right="400"/>
      </w:pPr>
      <w:r>
        <w:rPr>
          <w:rFonts w:ascii="Courier New" w:cs="Courier New" w:eastAsia="Courier New" w:hAnsi="Courier New"/>
          <w:b/>
          <w:bCs/>
          <w:color w:val="1A6B3C"/>
          <w:sz w:val="22"/>
          <w:szCs w:val="22"/>
        </w:rPr>
        <w:t xml:space="preserve">Monthly Savings = Current EMI - New EMI  (with 90% CI from Monte Carlo bootstrap)</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5.3 Layer 3 -- Recommendation Engine (Hybrid ML + Rules)</w:t>
      </w:r>
    </w:p>
    <w:p>
      <w:pPr>
        <w:spacing w:before="80" w:after="100"/>
        <w:jc w:val="both"/>
      </w:pPr>
      <w:r>
        <w:rPr>
          <w:rFonts w:ascii="Arial" w:cs="Arial" w:eastAsia="Arial" w:hAnsi="Arial"/>
          <w:sz w:val="22"/>
          <w:szCs w:val="22"/>
        </w:rPr>
        <w:t xml:space="preserve">Answers: What action should this borrower take, with what confidence, and which refinancing pathway?</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Inputs: </w:t>
      </w:r>
      <w:r>
        <w:rPr>
          <w:rFonts w:ascii="Arial" w:cs="Arial" w:eastAsia="Arial" w:hAnsi="Arial"/>
          <w:sz w:val="22"/>
          <w:szCs w:val="22"/>
        </w:rPr>
        <w:t xml:space="preserve">PD score (Layer 1), savings estimate + confidence interval (Layer 2), loan type flag, borrower persona (from clustering)</w:t>
      </w:r>
    </w:p>
    <w:p>
      <w:pPr>
        <w:pStyle w:val="ListParagraph"/>
        <w:numPr>
          <w:ilvl w:val="0"/>
          <w:numId w:val="2"/>
        </w:numPr>
        <w:spacing w:before="60" w:after="60"/>
      </w:pPr>
      <w:r>
        <w:rPr>
          <w:rFonts w:ascii="Arial" w:cs="Arial" w:eastAsia="Arial" w:hAnsi="Arial"/>
          <w:b/>
          <w:bCs/>
          <w:sz w:val="22"/>
          <w:szCs w:val="22"/>
        </w:rPr>
        <w:t xml:space="preserve">Decision Matrix: </w:t>
      </w:r>
      <w:r>
        <w:rPr>
          <w:rFonts w:ascii="Arial" w:cs="Arial" w:eastAsia="Arial" w:hAnsi="Arial"/>
          <w:sz w:val="22"/>
          <w:szCs w:val="22"/>
        </w:rPr>
        <w:t xml:space="preserve">Risk Tier (Low / Medium / High) x Savings Tier (High / Medium / Low) --&gt; Recommendation Strength (Strong Recommend / Consider / Hold). Matrix thresholds are configurable to reflect lender risk appetite.</w:t>
      </w:r>
    </w:p>
    <w:p>
      <w:pPr>
        <w:pStyle w:val="ListParagraph"/>
        <w:numPr>
          <w:ilvl w:val="0"/>
          <w:numId w:val="2"/>
        </w:numPr>
        <w:spacing w:before="60" w:after="60"/>
      </w:pPr>
      <w:r>
        <w:rPr>
          <w:rFonts w:ascii="Arial" w:cs="Arial" w:eastAsia="Arial" w:hAnsi="Arial"/>
          <w:b/>
          <w:bCs/>
          <w:sz w:val="22"/>
          <w:szCs w:val="22"/>
        </w:rPr>
        <w:t xml:space="preserve">Borrower Persona Clustering: </w:t>
      </w:r>
      <w:r>
        <w:rPr>
          <w:rFonts w:ascii="Arial" w:cs="Arial" w:eastAsia="Arial" w:hAnsi="Arial"/>
          <w:sz w:val="22"/>
          <w:szCs w:val="22"/>
        </w:rPr>
        <w:t xml:space="preserve">K-Means applied to scaled feature vectors; k selected by elbow method + silhouette score. Personas labeled interpretively: e.g., 'High-Savings Quick-Win' (low risk, high savings), 'Credit-Building Candidate' (medium risk, improving trajectory), 'Marginal Benefit' (low savings, borderline eligibility), 'High-Risk Hold' (above PD threshold).</w:t>
      </w:r>
    </w:p>
    <w:p>
      <w:pPr>
        <w:pStyle w:val="ListParagraph"/>
        <w:numPr>
          <w:ilvl w:val="0"/>
          <w:numId w:val="2"/>
        </w:numPr>
        <w:spacing w:before="60" w:after="60"/>
      </w:pPr>
      <w:r>
        <w:rPr>
          <w:rFonts w:ascii="Arial" w:cs="Arial" w:eastAsia="Arial" w:hAnsi="Arial"/>
          <w:b/>
          <w:bCs/>
          <w:sz w:val="22"/>
          <w:szCs w:val="22"/>
        </w:rPr>
        <w:t xml:space="preserve">Risk-Adjusted Product Ranking: </w:t>
      </w:r>
      <w:r>
        <w:rPr>
          <w:rFonts w:ascii="Arial" w:cs="Arial" w:eastAsia="Arial" w:hAnsi="Arial"/>
          <w:sz w:val="22"/>
          <w:szCs w:val="22"/>
        </w:rPr>
        <w:t xml:space="preserve">For eligible borrowers, products ranked by (Savings Delta x (1 - PD)) -- a risk-adjusted savings score -- rather than raw savings alone, preventing high-risk borrowers from receiving inappropriately aggressive recommendations.</w:t>
      </w:r>
    </w:p>
    <w:p>
      <w:pPr>
        <w:pStyle w:val="ListParagraph"/>
        <w:numPr>
          <w:ilvl w:val="0"/>
          <w:numId w:val="2"/>
        </w:numPr>
        <w:spacing w:before="60" w:after="60"/>
      </w:pPr>
      <w:r>
        <w:rPr>
          <w:rFonts w:ascii="Arial" w:cs="Arial" w:eastAsia="Arial" w:hAnsi="Arial"/>
          <w:b/>
          <w:bCs/>
          <w:sz w:val="22"/>
          <w:szCs w:val="22"/>
        </w:rPr>
        <w:t xml:space="preserve">Output: </w:t>
      </w:r>
      <w:r>
        <w:rPr>
          <w:rFonts w:ascii="Arial" w:cs="Arial" w:eastAsia="Arial" w:hAnsi="Arial"/>
          <w:sz w:val="22"/>
          <w:szCs w:val="22"/>
        </w:rPr>
        <w:t xml:space="preserve">Recommendation card: action label, predicted rate range, monthly savings with 90% CI, refinancing pathway, persona label, top 3 SHAP feature drivers in plain English</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5.4 Explainability Stack (SHAP + LIME + Fairness Audit)</w:t>
      </w:r>
    </w:p>
    <w:p>
      <w:pPr>
        <w:spacing w:before="80" w:after="100"/>
        <w:jc w:val="both"/>
      </w:pPr>
      <w:r>
        <w:rPr>
          <w:rFonts w:ascii="Arial" w:cs="Arial" w:eastAsia="Arial" w:hAnsi="Arial"/>
          <w:sz w:val="22"/>
          <w:szCs w:val="22"/>
        </w:rPr>
        <w:t xml:space="preserve">Explainability is a first-class design requirement embedded across all three layers:</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SHAP (SHapley Additive Explanations)</w:t>
      </w:r>
    </w:p>
    <w:p>
      <w:pPr>
        <w:pStyle w:val="ListParagraph"/>
        <w:numPr>
          <w:ilvl w:val="0"/>
          <w:numId w:val="2"/>
        </w:numPr>
        <w:spacing w:before="60" w:after="60"/>
      </w:pPr>
      <w:r>
        <w:rPr>
          <w:rFonts w:ascii="Arial" w:cs="Arial" w:eastAsia="Arial" w:hAnsi="Arial"/>
          <w:b/>
          <w:bCs/>
          <w:sz w:val="22"/>
          <w:szCs w:val="22"/>
        </w:rPr>
        <w:t xml:space="preserve">Global: </w:t>
      </w:r>
      <w:r>
        <w:rPr>
          <w:rFonts w:ascii="Arial" w:cs="Arial" w:eastAsia="Arial" w:hAnsi="Arial"/>
          <w:sz w:val="22"/>
          <w:szCs w:val="22"/>
        </w:rPr>
        <w:t xml:space="preserve">Summary and beeswarm plots across the full training set -- 'what does the model rely on overall?'</w:t>
      </w:r>
    </w:p>
    <w:p>
      <w:pPr>
        <w:pStyle w:val="ListParagraph"/>
        <w:numPr>
          <w:ilvl w:val="0"/>
          <w:numId w:val="2"/>
        </w:numPr>
        <w:spacing w:before="60" w:after="60"/>
      </w:pPr>
      <w:r>
        <w:rPr>
          <w:rFonts w:ascii="Arial" w:cs="Arial" w:eastAsia="Arial" w:hAnsi="Arial"/>
          <w:b/>
          <w:bCs/>
          <w:sz w:val="22"/>
          <w:szCs w:val="22"/>
        </w:rPr>
        <w:t xml:space="preserve">Per-Borrower: </w:t>
      </w:r>
      <w:r>
        <w:rPr>
          <w:rFonts w:ascii="Arial" w:cs="Arial" w:eastAsia="Arial" w:hAnsi="Arial"/>
          <w:sz w:val="22"/>
          <w:szCs w:val="22"/>
        </w:rPr>
        <w:t xml:space="preserve">Waterfall plots showing each feature's signed contribution to a specific borrower's PD score and rate prediction -- 'why did this borrower receive this recommendation?'</w:t>
      </w:r>
    </w:p>
    <w:p>
      <w:pPr>
        <w:pStyle w:val="ListParagraph"/>
        <w:numPr>
          <w:ilvl w:val="0"/>
          <w:numId w:val="2"/>
        </w:numPr>
        <w:spacing w:before="60" w:after="60"/>
      </w:pPr>
      <w:r>
        <w:rPr>
          <w:rFonts w:ascii="Arial" w:cs="Arial" w:eastAsia="Arial" w:hAnsi="Arial"/>
          <w:b/>
          <w:bCs/>
          <w:sz w:val="22"/>
          <w:szCs w:val="22"/>
        </w:rPr>
        <w:t xml:space="preserve">Interaction Effects: </w:t>
      </w:r>
      <w:r>
        <w:rPr>
          <w:rFonts w:ascii="Arial" w:cs="Arial" w:eastAsia="Arial" w:hAnsi="Arial"/>
          <w:sz w:val="22"/>
          <w:szCs w:val="22"/>
        </w:rPr>
        <w:t xml:space="preserve">SHAP interaction values to detect synergistic effects between features (e.g., high DTI x low credit utilization)</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LIME (Local Interpretable Model-agnostic Explanations)</w:t>
      </w:r>
    </w:p>
    <w:p>
      <w:pPr>
        <w:pStyle w:val="ListParagraph"/>
        <w:numPr>
          <w:ilvl w:val="0"/>
          <w:numId w:val="2"/>
        </w:numPr>
        <w:spacing w:before="60" w:after="60"/>
      </w:pPr>
      <w:r>
        <w:rPr>
          <w:rFonts w:ascii="Arial" w:cs="Arial" w:eastAsia="Arial" w:hAnsi="Arial"/>
          <w:sz w:val="22"/>
          <w:szCs w:val="22"/>
        </w:rPr>
        <w:t xml:space="preserve">Per-prediction local linear approximations for individual borderline cases where SHAP alone is insufficient for compliance review</w:t>
      </w:r>
    </w:p>
    <w:p>
      <w:pPr>
        <w:pStyle w:val="ListParagraph"/>
        <w:numPr>
          <w:ilvl w:val="0"/>
          <w:numId w:val="2"/>
        </w:numPr>
        <w:spacing w:before="60" w:after="60"/>
      </w:pPr>
      <w:r>
        <w:rPr>
          <w:rFonts w:ascii="Arial" w:cs="Arial" w:eastAsia="Arial" w:hAnsi="Arial"/>
          <w:sz w:val="22"/>
          <w:szCs w:val="22"/>
        </w:rPr>
        <w:t xml:space="preserve">Integrated into the Streamlit app as a secondary explanation mode selectable by the reviewer</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Fairness Audit</w:t>
      </w:r>
    </w:p>
    <w:p>
      <w:pPr>
        <w:pStyle w:val="ListParagraph"/>
        <w:numPr>
          <w:ilvl w:val="0"/>
          <w:numId w:val="2"/>
        </w:numPr>
        <w:spacing w:before="60" w:after="60"/>
      </w:pPr>
      <w:r>
        <w:rPr>
          <w:rFonts w:ascii="Arial" w:cs="Arial" w:eastAsia="Arial" w:hAnsi="Arial"/>
          <w:b/>
          <w:bCs/>
          <w:sz w:val="22"/>
          <w:szCs w:val="22"/>
        </w:rPr>
        <w:t xml:space="preserve">Disparate impact analysis: </w:t>
      </w:r>
      <w:r>
        <w:rPr>
          <w:rFonts w:ascii="Arial" w:cs="Arial" w:eastAsia="Arial" w:hAnsi="Arial"/>
          <w:sz w:val="22"/>
          <w:szCs w:val="22"/>
        </w:rPr>
        <w:t xml:space="preserve">Compare approval rates and average savings estimates across income deciles, employment categories, and loan purpose groups</w:t>
      </w:r>
    </w:p>
    <w:p>
      <w:pPr>
        <w:pStyle w:val="ListParagraph"/>
        <w:numPr>
          <w:ilvl w:val="0"/>
          <w:numId w:val="2"/>
        </w:numPr>
        <w:spacing w:before="60" w:after="60"/>
      </w:pPr>
      <w:r>
        <w:rPr>
          <w:rFonts w:ascii="Arial" w:cs="Arial" w:eastAsia="Arial" w:hAnsi="Arial"/>
          <w:b/>
          <w:bCs/>
          <w:sz w:val="22"/>
          <w:szCs w:val="22"/>
        </w:rPr>
        <w:t xml:space="preserve">SHAP interaction decomposition: </w:t>
      </w:r>
      <w:r>
        <w:rPr>
          <w:rFonts w:ascii="Arial" w:cs="Arial" w:eastAsia="Arial" w:hAnsi="Arial"/>
          <w:sz w:val="22"/>
          <w:szCs w:val="22"/>
        </w:rPr>
        <w:t xml:space="preserve">Test whether income level acts as a proxy for protected attributes in model decisions</w:t>
      </w:r>
    </w:p>
    <w:p>
      <w:pPr>
        <w:pStyle w:val="ListParagraph"/>
        <w:numPr>
          <w:ilvl w:val="0"/>
          <w:numId w:val="2"/>
        </w:numPr>
        <w:spacing w:before="60" w:after="60"/>
      </w:pPr>
      <w:r>
        <w:rPr>
          <w:rFonts w:ascii="Arial" w:cs="Arial" w:eastAsia="Arial" w:hAnsi="Arial"/>
          <w:b/>
          <w:bCs/>
          <w:sz w:val="22"/>
          <w:szCs w:val="22"/>
        </w:rPr>
        <w:t xml:space="preserve">Output: </w:t>
      </w:r>
      <w:r>
        <w:rPr>
          <w:rFonts w:ascii="Arial" w:cs="Arial" w:eastAsia="Arial" w:hAnsi="Arial"/>
          <w:sz w:val="22"/>
          <w:szCs w:val="22"/>
        </w:rPr>
        <w:t xml:space="preserve">A standalone fairness report section in the final notebook with quantified disparity metrics and recommended mitigation strategies</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5.5 MLflow Experiment Tracking and Model Governance</w:t>
      </w:r>
    </w:p>
    <w:p>
      <w:pPr>
        <w:spacing w:before="80" w:after="100"/>
        <w:jc w:val="both"/>
      </w:pPr>
      <w:r>
        <w:rPr>
          <w:rFonts w:ascii="Arial" w:cs="Arial" w:eastAsia="Arial" w:hAnsi="Arial"/>
          <w:sz w:val="22"/>
          <w:szCs w:val="22"/>
        </w:rPr>
        <w:t xml:space="preserve">All experiments are tracked in MLflow with the following artifacts per run:</w:t>
      </w:r>
    </w:p>
    <w:p>
      <w:pPr>
        <w:pStyle w:val="ListParagraph"/>
        <w:numPr>
          <w:ilvl w:val="0"/>
          <w:numId w:val="2"/>
        </w:numPr>
        <w:spacing w:before="60" w:after="60"/>
      </w:pPr>
      <w:r>
        <w:rPr>
          <w:rFonts w:ascii="Arial" w:cs="Arial" w:eastAsia="Arial" w:hAnsi="Arial"/>
          <w:b/>
          <w:bCs/>
          <w:sz w:val="22"/>
          <w:szCs w:val="22"/>
        </w:rPr>
        <w:t xml:space="preserve">Hyperparameters: </w:t>
      </w:r>
      <w:r>
        <w:rPr>
          <w:rFonts w:ascii="Arial" w:cs="Arial" w:eastAsia="Arial" w:hAnsi="Arial"/>
          <w:sz w:val="22"/>
          <w:szCs w:val="22"/>
        </w:rPr>
        <w:t xml:space="preserve">Full Optuna trial history and winning parameter set</w:t>
      </w:r>
    </w:p>
    <w:p>
      <w:pPr>
        <w:pStyle w:val="ListParagraph"/>
        <w:numPr>
          <w:ilvl w:val="0"/>
          <w:numId w:val="2"/>
        </w:numPr>
        <w:spacing w:before="60" w:after="60"/>
      </w:pPr>
      <w:r>
        <w:rPr>
          <w:rFonts w:ascii="Arial" w:cs="Arial" w:eastAsia="Arial" w:hAnsi="Arial"/>
          <w:b/>
          <w:bCs/>
          <w:sz w:val="22"/>
          <w:szCs w:val="22"/>
        </w:rPr>
        <w:t xml:space="preserve">Metrics: </w:t>
      </w:r>
      <w:r>
        <w:rPr>
          <w:rFonts w:ascii="Arial" w:cs="Arial" w:eastAsia="Arial" w:hAnsi="Arial"/>
          <w:sz w:val="22"/>
          <w:szCs w:val="22"/>
        </w:rPr>
        <w:t xml:space="preserve">ROC-AUC, KS, Gini, Brier score, RMSE, R-squared -- logged per fold and aggregated</w:t>
      </w:r>
    </w:p>
    <w:p>
      <w:pPr>
        <w:pStyle w:val="ListParagraph"/>
        <w:numPr>
          <w:ilvl w:val="0"/>
          <w:numId w:val="2"/>
        </w:numPr>
        <w:spacing w:before="60" w:after="60"/>
      </w:pPr>
      <w:r>
        <w:rPr>
          <w:rFonts w:ascii="Arial" w:cs="Arial" w:eastAsia="Arial" w:hAnsi="Arial"/>
          <w:b/>
          <w:bCs/>
          <w:sz w:val="22"/>
          <w:szCs w:val="22"/>
        </w:rPr>
        <w:t xml:space="preserve">Model Artifacts: </w:t>
      </w:r>
      <w:r>
        <w:rPr>
          <w:rFonts w:ascii="Arial" w:cs="Arial" w:eastAsia="Arial" w:hAnsi="Arial"/>
          <w:sz w:val="22"/>
          <w:szCs w:val="22"/>
        </w:rPr>
        <w:t xml:space="preserve">Serialized XGBoost and LightGBM objects, calibration wrappers, feature importance exports</w:t>
      </w:r>
    </w:p>
    <w:p>
      <w:pPr>
        <w:pStyle w:val="ListParagraph"/>
        <w:numPr>
          <w:ilvl w:val="0"/>
          <w:numId w:val="2"/>
        </w:numPr>
        <w:spacing w:before="60" w:after="60"/>
      </w:pPr>
      <w:r>
        <w:rPr>
          <w:rFonts w:ascii="Arial" w:cs="Arial" w:eastAsia="Arial" w:hAnsi="Arial"/>
          <w:b/>
          <w:bCs/>
          <w:sz w:val="22"/>
          <w:szCs w:val="22"/>
        </w:rPr>
        <w:t xml:space="preserve">Champion-Challenger Register: </w:t>
      </w:r>
      <w:r>
        <w:rPr>
          <w:rFonts w:ascii="Arial" w:cs="Arial" w:eastAsia="Arial" w:hAnsi="Arial"/>
          <w:sz w:val="22"/>
          <w:szCs w:val="22"/>
        </w:rPr>
        <w:t xml:space="preserve">Side-by-side comparison table with decision rationale for model selection</w:t>
      </w:r>
    </w:p>
    <w:p>
      <w:pPr>
        <w:pStyle w:val="ListParagraph"/>
        <w:numPr>
          <w:ilvl w:val="0"/>
          <w:numId w:val="2"/>
        </w:numPr>
        <w:spacing w:before="60" w:after="60"/>
      </w:pPr>
      <w:r>
        <w:rPr>
          <w:rFonts w:ascii="Arial" w:cs="Arial" w:eastAsia="Arial" w:hAnsi="Arial"/>
          <w:b/>
          <w:bCs/>
          <w:sz w:val="22"/>
          <w:szCs w:val="22"/>
        </w:rPr>
        <w:t xml:space="preserve">Drift Monitor Stub: </w:t>
      </w:r>
      <w:r>
        <w:rPr>
          <w:rFonts w:ascii="Arial" w:cs="Arial" w:eastAsia="Arial" w:hAnsi="Arial"/>
          <w:sz w:val="22"/>
          <w:szCs w:val="22"/>
        </w:rPr>
        <w:t xml:space="preserve">PSI computed between training distribution and a temporal holdout set (loans from the final 6 months of the LendingClub data) -- simulates production monitoring behavior</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6. Streamlit Application -- Design Specification</w:t>
      </w:r>
    </w:p>
    <w:p>
      <w:pPr>
        <w:spacing w:before="80" w:after="100"/>
        <w:jc w:val="both"/>
      </w:pPr>
      <w:r>
        <w:rPr>
          <w:rFonts w:ascii="Arial" w:cs="Arial" w:eastAsia="Arial" w:hAnsi="Arial"/>
          <w:sz w:val="22"/>
          <w:szCs w:val="22"/>
        </w:rPr>
        <w:t xml:space="preserve">The Streamlit application translates the ML pipeline into a demonstrable product serving three audiences simultaneously: borrowers seeking clear savings guidance, compliance reviewers requiring full explainability, and technical interviewers evaluating end-to-end ML engineering capability.</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6.1 Application Architecture</w:t>
      </w:r>
    </w:p>
    <w:p>
      <w:pPr>
        <w:pStyle w:val="ListParagraph"/>
        <w:numPr>
          <w:ilvl w:val="0"/>
          <w:numId w:val="2"/>
        </w:numPr>
        <w:spacing w:before="60" w:after="60"/>
      </w:pPr>
      <w:r>
        <w:rPr>
          <w:rFonts w:ascii="Arial" w:cs="Arial" w:eastAsia="Arial" w:hAnsi="Arial"/>
          <w:b/>
          <w:bCs/>
          <w:sz w:val="22"/>
          <w:szCs w:val="22"/>
        </w:rPr>
        <w:t xml:space="preserve">Deployment: </w:t>
      </w:r>
      <w:r>
        <w:rPr>
          <w:rFonts w:ascii="Arial" w:cs="Arial" w:eastAsia="Arial" w:hAnsi="Arial"/>
          <w:sz w:val="22"/>
          <w:szCs w:val="22"/>
        </w:rPr>
        <w:t xml:space="preserve">Hugging Face Spaces (free, persistent, publicly shareable URL) -- no infrastructure required for demo</w:t>
      </w:r>
    </w:p>
    <w:p>
      <w:pPr>
        <w:pStyle w:val="ListParagraph"/>
        <w:numPr>
          <w:ilvl w:val="0"/>
          <w:numId w:val="2"/>
        </w:numPr>
        <w:spacing w:before="60" w:after="60"/>
      </w:pPr>
      <w:r>
        <w:rPr>
          <w:rFonts w:ascii="Arial" w:cs="Arial" w:eastAsia="Arial" w:hAnsi="Arial"/>
          <w:b/>
          <w:bCs/>
          <w:sz w:val="22"/>
          <w:szCs w:val="22"/>
        </w:rPr>
        <w:t xml:space="preserve">State Management: </w:t>
      </w:r>
      <w:r>
        <w:rPr>
          <w:rFonts w:ascii="Arial" w:cs="Arial" w:eastAsia="Arial" w:hAnsi="Arial"/>
          <w:sz w:val="22"/>
          <w:szCs w:val="22"/>
        </w:rPr>
        <w:t xml:space="preserve">Streamlit session_state for multi-tab borrower profile persistence across the application</w:t>
      </w:r>
    </w:p>
    <w:p>
      <w:pPr>
        <w:pStyle w:val="ListParagraph"/>
        <w:numPr>
          <w:ilvl w:val="0"/>
          <w:numId w:val="2"/>
        </w:numPr>
        <w:spacing w:before="60" w:after="60"/>
      </w:pPr>
      <w:r>
        <w:rPr>
          <w:rFonts w:ascii="Arial" w:cs="Arial" w:eastAsia="Arial" w:hAnsi="Arial"/>
          <w:b/>
          <w:bCs/>
          <w:sz w:val="22"/>
          <w:szCs w:val="22"/>
        </w:rPr>
        <w:t xml:space="preserve">Inference: </w:t>
      </w:r>
      <w:r>
        <w:rPr>
          <w:rFonts w:ascii="Arial" w:cs="Arial" w:eastAsia="Arial" w:hAnsi="Arial"/>
          <w:sz w:val="22"/>
          <w:szCs w:val="22"/>
        </w:rPr>
        <w:t xml:space="preserve">Pre-trained model artifacts loaded at app startup; sub-second inference latency per borrower on all three pipeline layers</w:t>
      </w:r>
    </w:p>
    <w:p>
      <w:pPr>
        <w:pStyle w:val="ListParagraph"/>
        <w:numPr>
          <w:ilvl w:val="0"/>
          <w:numId w:val="2"/>
        </w:numPr>
        <w:spacing w:before="60" w:after="60"/>
      </w:pPr>
      <w:r>
        <w:rPr>
          <w:rFonts w:ascii="Arial" w:cs="Arial" w:eastAsia="Arial" w:hAnsi="Arial"/>
          <w:b/>
          <w:bCs/>
          <w:sz w:val="22"/>
          <w:szCs w:val="22"/>
        </w:rPr>
        <w:t xml:space="preserve">Visualizations: </w:t>
      </w:r>
      <w:r>
        <w:rPr>
          <w:rFonts w:ascii="Arial" w:cs="Arial" w:eastAsia="Arial" w:hAnsi="Arial"/>
          <w:sz w:val="22"/>
          <w:szCs w:val="22"/>
        </w:rPr>
        <w:t xml:space="preserve">Plotly for interactive charts and savings confidence interval display; SHAP's matplotlib renderer for waterfall plots</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6.2 Tab Design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App Tab</w:t>
            </w:r>
          </w:p>
        </w:tc>
        <w:tc>
          <w:tcPr>
            <w:tcW w:type="dxa" w:w="3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User Inputs</w:t>
            </w:r>
          </w:p>
        </w:tc>
        <w:tc>
          <w:tcPr>
            <w:tcW w:type="dxa" w:w="44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Outputs Displayed</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Borrower Profile</w:t>
            </w:r>
          </w:p>
        </w:tc>
        <w:tc>
          <w:tcPr>
            <w:tcW w:type="dxa" w:w="3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Loan type (CC or PL), outstanding balance, current interest rate, monthly income, credit score band, tenure remaining</w:t>
            </w:r>
          </w:p>
        </w:tc>
        <w:tc>
          <w:tcPr>
            <w:tcW w:type="dxa" w:w="44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Validated profile summary; current monthly EMI calculation; inferred credit grade</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Refinancing Recommendation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Confirm profile (auto-populated)</w:t>
            </w:r>
          </w:p>
        </w:tc>
        <w:tc>
          <w:tcPr>
            <w:tcW w:type="dxa" w:w="4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Recommendation card: action label (Strong Recommend / Consider / Hold), predicted new rate range, monthly savings with 90% CI, 12-month total savings</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Explanation Panel</w:t>
            </w:r>
          </w:p>
        </w:tc>
        <w:tc>
          <w:tcPr>
            <w:tcW w:type="dxa" w:w="3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Select mode: SHAP Waterfall or LIME Local</w:t>
            </w:r>
          </w:p>
        </w:tc>
        <w:tc>
          <w:tcPr>
            <w:tcW w:type="dxa" w:w="44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Interactive SHAP waterfall chart; top 3 drivers in plain English; LIME local explanation for borderline cases</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Borrower Persona View</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Adjust credit score and income sliders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K-Means cluster assignment with persona label; cluster savings distribution chart; where this borrower sits relative to cluster centroid</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Model Card &amp; Transparency</w:t>
            </w:r>
          </w:p>
        </w:tc>
        <w:tc>
          <w:tcPr>
            <w:tcW w:type="dxa" w:w="3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None (read-only dashboard)</w:t>
            </w:r>
          </w:p>
        </w:tc>
        <w:tc>
          <w:tcPr>
            <w:tcW w:type="dxa" w:w="44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Model version, training period, ROC-AUC, KS statistic, Gini, calibration curve, PSI, champion vs challenger comparison</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6.3 Illustrative Recommendation Output -- CC-to-PL Case</w:t>
      </w:r>
    </w:p>
    <w:p>
      <w:pPr>
        <w:pBdr>
          <w:left w:val="single" w:color="1A6B3C" w:sz="14" w:space="10"/>
        </w:pBdr>
        <w:shd w:fill="EAF5EA" w:val="clear"/>
        <w:spacing w:before="80" w:after="80"/>
        <w:ind w:left="400" w:right="400"/>
      </w:pPr>
      <w:r>
        <w:rPr>
          <w:rFonts w:ascii="Arial" w:cs="Arial" w:eastAsia="Arial" w:hAnsi="Arial"/>
          <w:b/>
          <w:bCs/>
          <w:color w:val="1A6B3C"/>
          <w:sz w:val="23"/>
          <w:szCs w:val="23"/>
        </w:rPr>
        <w:t xml:space="preserve">STRONG RECOMMEND -- Convert to Personal Loan
</w:t>
      </w:r>
      <w:r>
        <w:rPr>
          <w:rFonts w:ascii="Arial" w:cs="Arial" w:eastAsia="Arial" w:hAnsi="Arial"/>
          <w:color w:val="333333"/>
          <w:sz w:val="21"/>
          <w:szCs w:val="21"/>
        </w:rPr>
        <w:t xml:space="preserve">Predicted new rate: 13.4% - 15.2% p.a.  |  Current effective CC rate: 38% p.a.
</w:t>
      </w:r>
      <w:r>
        <w:rPr>
          <w:rFonts w:ascii="Arial" w:cs="Arial" w:eastAsia="Arial" w:hAnsi="Arial"/>
          <w:b/>
          <w:bCs/>
          <w:color w:val="333333"/>
          <w:sz w:val="21"/>
          <w:szCs w:val="21"/>
        </w:rPr>
        <w:t xml:space="preserve">Monthly savings: Rs 4,200 - Rs 5,100 (90% CI)  |  12-month savings: Rs 50,400 - Rs 61,200
</w:t>
      </w:r>
      <w:r>
        <w:rPr>
          <w:rFonts w:ascii="Arial" w:cs="Arial" w:eastAsia="Arial" w:hAnsi="Arial"/>
          <w:color w:val="555555"/>
          <w:sz w:val="20"/>
          <w:szCs w:val="20"/>
        </w:rPr>
        <w:t xml:space="preserve">Borrower Persona: High-Savings Quick-Win  |  Risk Tier: Low  |  PD Score: 6.2%
</w:t>
      </w:r>
      <w:r>
        <w:rPr>
          <w:rFonts w:ascii="Arial" w:cs="Arial" w:eastAsia="Arial" w:hAnsi="Arial"/>
          <w:i/>
          <w:iCs/>
          <w:color w:val="555555"/>
          <w:sz w:val="20"/>
          <w:szCs w:val="20"/>
        </w:rPr>
        <w:t xml:space="preserve">Top drivers: Credit utilization dropped from 78% to 31% (+)  |  DTI below 25% (+)  |  No delinquencies in 24 months (+)</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7. AI Technologies Demonstrated</w:t>
      </w:r>
    </w:p>
    <w:p>
      <w:pPr>
        <w:spacing w:before="80" w:after="100"/>
        <w:jc w:val="both"/>
      </w:pPr>
      <w:r>
        <w:rPr>
          <w:rFonts w:ascii="Arial" w:cs="Arial" w:eastAsia="Arial" w:hAnsi="Arial"/>
          <w:sz w:val="22"/>
          <w:szCs w:val="22"/>
        </w:rPr>
        <w:t xml:space="preserve">This project spans the full production ML lifecycle -- from raw data ingestion through model governance and user-facing deployment: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AI / ML Technology</w:t>
            </w:r>
          </w:p>
        </w:tc>
        <w:tc>
          <w:tcPr>
            <w:tcW w:type="dxa" w:w="34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Specific Implementation</w:t>
            </w:r>
          </w:p>
        </w:tc>
        <w:tc>
          <w:tcPr>
            <w:tcW w:type="dxa" w:w="32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Relevance to AI Roles</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Supervised Classification (XGBoost, LightGBM, Logistic Regression)</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Credit default probability (PD) model with Platt scaling calibration; champion-challenger comparison</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Core production ML; calibrated probabilities are mandatory in financial risk systems</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Supervised Regression (XGBoost Regressor, Ridge)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New eligible interest rate prediction; monthly savings delta computation per borrower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Demonstrates regression modeling; direct business value quantification beyond classification</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Ensemble Modeling &amp; Stacking</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Champion-challenger governance (XGBoost vs. LightGBM); stacked generalization as an extension</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Production ML maturity; model lifecycle governance increasingly required in senior ML roles</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Hyperparameter Optimization (Optuna)</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Bayesian HPO with 200 trials, stratified 5-fold CV objective; full trial history logged in MLflow</w:t>
            </w:r>
          </w:p>
        </w:tc>
        <w:tc>
          <w:tcPr>
            <w:tcW w:type="dxa" w:w="3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Production HPO beyond grid search; Optuna fluency is a direct interview differentiator</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Probability Calibration</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Platt scaling + isotonic regression; reliability diagrams and Brier score for calibration assessment</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Rarely taught; essential for any risk-scored system used in credit pricing or decisioning</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Unsupervised Clustering (K-Means, DBSCAN)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Borrower persona segmentation; elbow + silhouette for k selection; interpretable persona labeling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Satisfies capstone unsupervised requirement; enables targeted recommendation personalization</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Feature Engineering (Advanced)</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DTI, credit utilization, payment velocity, savings delta, rate headroom, vintage indicator, PSI monitor</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Domain-specific features drive the largest model lift; differentiates practitioners from beginners</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Imbalance Handling (SMOTE, Class Weights)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Address 14-18% default minority class in LendingClub data; compare SMOTE vs. class weighting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Essential for real-world credit models; naive accuracy misleads without this</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Explainable AI: SHAP + LIME</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Global summary plots; per-borrower waterfall; SHAP interactions; LIME for borderline cases</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Top-requested skill in fintech AI roles; essential for RBI digital lending compliance</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Fairness &amp; Bias Audit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Disparate impact analysis across income deciles; SHAP interaction decomposition by proxy attributes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Signals AI maturity and ethical awareness; increasingly required in regulated financial AI</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MLflow Experiment Tracking</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Log hyperparameters, metrics, model artifacts per run; champion-challenger model registry</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Industry-standard MLOps tool; demonstrates production engineering discipline explicitly</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Streamlit Application + Deployment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Multi-tab app: borrower input, recommendation card, SHAP panel, persona view, model card; deployed on HF Spaces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Transforms notebook into demonstrable product; essential for portfolio and live interview demos</w:t>
            </w:r>
          </w:p>
        </w:tc>
      </w:tr>
      <w:tr>
        <w:trPr>
          <w:tblHeader w:val="false"/>
        </w:trP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Credit-Specific Model Evaluation</w:t>
            </w:r>
          </w:p>
        </w:tc>
        <w:tc>
          <w:tcPr>
            <w:tcW w:type="dxa" w:w="34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ROC-AUC, KS statistic, Gini coefficient, PSI, Brier score, lift curves, gains charts</w:t>
            </w:r>
          </w:p>
        </w:tc>
        <w:tc>
          <w:tcPr>
            <w:tcW w:type="dxa" w:w="32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Credit metrics rarely covered in generic ML courses; demonstrates genuine domain depth</w:t>
            </w:r>
          </w:p>
        </w:tc>
      </w:tr>
    </w:tbl>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8. Expected Contributions</w:t>
      </w:r>
    </w:p>
    <w:p>
      <w:pPr>
        <w:pStyle w:val="Heading2"/>
        <w:spacing w:before="240" w:after="100"/>
      </w:pPr>
      <w:r>
        <w:rPr>
          <w:rFonts w:ascii="Arial" w:cs="Arial" w:eastAsia="Arial" w:hAnsi="Arial"/>
          <w:b/>
          <w:bCs/>
          <w:color w:val="2E75B6"/>
          <w:sz w:val="26"/>
          <w:szCs w:val="26"/>
        </w:rPr>
        <w:t xml:space="preserve">8.1 Technical Contributions</w:t>
      </w:r>
    </w:p>
    <w:p>
      <w:pPr>
        <w:pStyle w:val="ListParagraph"/>
        <w:numPr>
          <w:ilvl w:val="0"/>
          <w:numId w:val="2"/>
        </w:numPr>
        <w:spacing w:before="60" w:after="60"/>
      </w:pPr>
      <w:r>
        <w:rPr>
          <w:rFonts w:ascii="Arial" w:cs="Arial" w:eastAsia="Arial" w:hAnsi="Arial"/>
          <w:sz w:val="22"/>
          <w:szCs w:val="22"/>
        </w:rPr>
        <w:t xml:space="preserve">A production-grade, multi-layer ML pipeline for two consumer lending refinancing pathways, validated with credit-industry-standard evaluation metrics (KS, Gini, PSI)</w:t>
      </w:r>
    </w:p>
    <w:p>
      <w:pPr>
        <w:pStyle w:val="ListParagraph"/>
        <w:numPr>
          <w:ilvl w:val="0"/>
          <w:numId w:val="2"/>
        </w:numPr>
        <w:spacing w:before="60" w:after="60"/>
      </w:pPr>
      <w:r>
        <w:rPr>
          <w:rFonts w:ascii="Arial" w:cs="Arial" w:eastAsia="Arial" w:hAnsi="Arial"/>
          <w:sz w:val="22"/>
          <w:szCs w:val="22"/>
        </w:rPr>
        <w:t xml:space="preserve">A probability-calibrated credit risk model with champion-challenger governance and full MLflow experiment tracking, reflecting real fintech ML engineering practice</w:t>
      </w:r>
    </w:p>
    <w:p>
      <w:pPr>
        <w:pStyle w:val="ListParagraph"/>
        <w:numPr>
          <w:ilvl w:val="0"/>
          <w:numId w:val="2"/>
        </w:numPr>
        <w:spacing w:before="60" w:after="60"/>
      </w:pPr>
      <w:r>
        <w:rPr>
          <w:rFonts w:ascii="Arial" w:cs="Arial" w:eastAsia="Arial" w:hAnsi="Arial"/>
          <w:sz w:val="22"/>
          <w:szCs w:val="22"/>
        </w:rPr>
        <w:t xml:space="preserve">A savings prediction framework with Monte Carlo confidence intervals -- surfacing quantified uncertainty rather than false precision</w:t>
      </w:r>
    </w:p>
    <w:p>
      <w:pPr>
        <w:pStyle w:val="ListParagraph"/>
        <w:numPr>
          <w:ilvl w:val="0"/>
          <w:numId w:val="2"/>
        </w:numPr>
        <w:spacing w:before="60" w:after="60"/>
      </w:pPr>
      <w:r>
        <w:rPr>
          <w:rFonts w:ascii="Arial" w:cs="Arial" w:eastAsia="Arial" w:hAnsi="Arial"/>
          <w:sz w:val="22"/>
          <w:szCs w:val="22"/>
        </w:rPr>
        <w:t xml:space="preserve">A borrower segmentation model identifying interpretable refinancing personas with measurable within-cluster cohesion</w:t>
      </w:r>
    </w:p>
    <w:p>
      <w:pPr>
        <w:pStyle w:val="ListParagraph"/>
        <w:numPr>
          <w:ilvl w:val="0"/>
          <w:numId w:val="2"/>
        </w:numPr>
        <w:spacing w:before="60" w:after="60"/>
      </w:pPr>
      <w:r>
        <w:rPr>
          <w:rFonts w:ascii="Arial" w:cs="Arial" w:eastAsia="Arial" w:hAnsi="Arial"/>
          <w:sz w:val="22"/>
          <w:szCs w:val="22"/>
        </w:rPr>
        <w:t xml:space="preserve">A comprehensive explainability layer (SHAP + LIME + fairness audit) designed for both consumer transparency and regulatory review</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8.2 Practical Contributions</w:t>
      </w:r>
    </w:p>
    <w:p>
      <w:pPr>
        <w:pStyle w:val="ListParagraph"/>
        <w:numPr>
          <w:ilvl w:val="0"/>
          <w:numId w:val="2"/>
        </w:numPr>
        <w:spacing w:before="60" w:after="60"/>
      </w:pPr>
      <w:r>
        <w:rPr>
          <w:rFonts w:ascii="Arial" w:cs="Arial" w:eastAsia="Arial" w:hAnsi="Arial"/>
          <w:sz w:val="22"/>
          <w:szCs w:val="22"/>
        </w:rPr>
        <w:t xml:space="preserve">A deployed, publicly accessible Streamlit application demonstrating end-to-end refinancing recommendation with real-time explainability and a model card</w:t>
      </w:r>
    </w:p>
    <w:p>
      <w:pPr>
        <w:pStyle w:val="ListParagraph"/>
        <w:numPr>
          <w:ilvl w:val="0"/>
          <w:numId w:val="2"/>
        </w:numPr>
        <w:spacing w:before="60" w:after="60"/>
      </w:pPr>
      <w:r>
        <w:rPr>
          <w:rFonts w:ascii="Arial" w:cs="Arial" w:eastAsia="Arial" w:hAnsi="Arial"/>
          <w:sz w:val="22"/>
          <w:szCs w:val="22"/>
        </w:rPr>
        <w:t xml:space="preserve">A reproducible, fully documented Jupyter notebook pipeline suitable for peer review, production handoff, and portfolio demonstration</w:t>
      </w:r>
    </w:p>
    <w:p>
      <w:pPr>
        <w:pStyle w:val="ListParagraph"/>
        <w:numPr>
          <w:ilvl w:val="0"/>
          <w:numId w:val="2"/>
        </w:numPr>
        <w:spacing w:before="60" w:after="60"/>
      </w:pPr>
      <w:r>
        <w:rPr>
          <w:rFonts w:ascii="Arial" w:cs="Arial" w:eastAsia="Arial" w:hAnsi="Arial"/>
          <w:sz w:val="22"/>
          <w:szCs w:val="22"/>
        </w:rPr>
        <w:t xml:space="preserve">A fairness audit methodology applicable to any regulated consumer lending AI system</w:t>
      </w:r>
    </w:p>
    <w:p>
      <w:pPr>
        <w:pStyle w:val="ListParagraph"/>
        <w:numPr>
          <w:ilvl w:val="0"/>
          <w:numId w:val="2"/>
        </w:numPr>
        <w:spacing w:before="60" w:after="60"/>
      </w:pPr>
      <w:r>
        <w:rPr>
          <w:rFonts w:ascii="Arial" w:cs="Arial" w:eastAsia="Arial" w:hAnsi="Arial"/>
          <w:sz w:val="22"/>
          <w:szCs w:val="22"/>
        </w:rPr>
        <w:t xml:space="preserve">An MLflow experiment registry and champion-challenger governance framework reflecting responsible AI documentation standards</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8.3 Strategic Alignment with Unlend.in</w:t>
      </w:r>
    </w:p>
    <w:p>
      <w:pPr>
        <w:spacing w:before="80" w:after="100"/>
        <w:jc w:val="both"/>
      </w:pPr>
      <w:r>
        <w:rPr>
          <w:rFonts w:ascii="Arial" w:cs="Arial" w:eastAsia="Arial" w:hAnsi="Arial"/>
          <w:sz w:val="22"/>
          <w:szCs w:val="22"/>
        </w:rPr>
        <w:t xml:space="preserve">This project is not merely a capstone exercise -- it is a working prototype of the core intelligence layer at Unlend.in:</w:t>
      </w:r>
    </w:p>
    <w:p>
      <w:pPr>
        <w:pStyle w:val="ListParagraph"/>
        <w:numPr>
          <w:ilvl w:val="0"/>
          <w:numId w:val="2"/>
        </w:numPr>
        <w:spacing w:before="60" w:after="60"/>
      </w:pPr>
      <w:r>
        <w:rPr>
          <w:rFonts w:ascii="Arial" w:cs="Arial" w:eastAsia="Arial" w:hAnsi="Arial"/>
          <w:sz w:val="22"/>
          <w:szCs w:val="22"/>
        </w:rPr>
        <w:t xml:space="preserve">The credit risk scoring layer mirrors the eligibility pre-screening a refinancing platform must perform before surfacing any product recommendation to a borrower</w:t>
      </w:r>
    </w:p>
    <w:p>
      <w:pPr>
        <w:pStyle w:val="ListParagraph"/>
        <w:numPr>
          <w:ilvl w:val="0"/>
          <w:numId w:val="2"/>
        </w:numPr>
        <w:spacing w:before="60" w:after="60"/>
      </w:pPr>
      <w:r>
        <w:rPr>
          <w:rFonts w:ascii="Arial" w:cs="Arial" w:eastAsia="Arial" w:hAnsi="Arial"/>
          <w:sz w:val="22"/>
          <w:szCs w:val="22"/>
        </w:rPr>
        <w:t xml:space="preserve">The savings prediction layer is the economic core of the Unlend.in user value proposition -- borrowers engage because they want to know exactly how much they will save</w:t>
      </w:r>
    </w:p>
    <w:p>
      <w:pPr>
        <w:pStyle w:val="ListParagraph"/>
        <w:numPr>
          <w:ilvl w:val="0"/>
          <w:numId w:val="2"/>
        </w:numPr>
        <w:spacing w:before="60" w:after="60"/>
      </w:pPr>
      <w:r>
        <w:rPr>
          <w:rFonts w:ascii="Arial" w:cs="Arial" w:eastAsia="Arial" w:hAnsi="Arial"/>
          <w:sz w:val="22"/>
          <w:szCs w:val="22"/>
        </w:rPr>
        <w:t xml:space="preserve">The explainability stack directly addresses the RBI digital lending KFS requirement, which Unlend.in must comply with for any AI-assisted product recommendation</w:t>
      </w:r>
    </w:p>
    <w:p>
      <w:pPr>
        <w:pStyle w:val="ListParagraph"/>
        <w:numPr>
          <w:ilvl w:val="0"/>
          <w:numId w:val="2"/>
        </w:numPr>
        <w:spacing w:before="60" w:after="60"/>
      </w:pPr>
      <w:r>
        <w:rPr>
          <w:rFonts w:ascii="Arial" w:cs="Arial" w:eastAsia="Arial" w:hAnsi="Arial"/>
          <w:sz w:val="22"/>
          <w:szCs w:val="22"/>
        </w:rPr>
        <w:t xml:space="preserve">The Monte Carlo savings confidence intervals reflect the financial conservatism appropriate for a platform giving borrowers guidance on significant financial decisions</w:t>
      </w:r>
    </w:p>
    <w:p>
      <w:pPr>
        <w:pStyle w:val="ListParagraph"/>
        <w:numPr>
          <w:ilvl w:val="0"/>
          <w:numId w:val="2"/>
        </w:numPr>
        <w:spacing w:before="60" w:after="60"/>
      </w:pPr>
      <w:r>
        <w:rPr>
          <w:rFonts w:ascii="Arial" w:cs="Arial" w:eastAsia="Arial" w:hAnsi="Arial"/>
          <w:sz w:val="22"/>
          <w:szCs w:val="22"/>
        </w:rPr>
        <w:t xml:space="preserve">The Streamlit demo serves as an internal tool prototype that could directly inform product design decisions at Unlend.in</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8.4 Portfolio and Career Contributions</w:t>
      </w:r>
    </w:p>
    <w:p>
      <w:pPr>
        <w:pStyle w:val="ListParagraph"/>
        <w:numPr>
          <w:ilvl w:val="0"/>
          <w:numId w:val="2"/>
        </w:numPr>
        <w:spacing w:before="60" w:after="60"/>
      </w:pPr>
      <w:r>
        <w:rPr>
          <w:rFonts w:ascii="Arial" w:cs="Arial" w:eastAsia="Arial" w:hAnsi="Arial"/>
          <w:sz w:val="22"/>
          <w:szCs w:val="22"/>
        </w:rPr>
        <w:t xml:space="preserve">Demonstrates production ML thinking: not just model accuracy, but calibration, governance, monitoring, and deployment</w:t>
      </w:r>
    </w:p>
    <w:p>
      <w:pPr>
        <w:pStyle w:val="ListParagraph"/>
        <w:numPr>
          <w:ilvl w:val="0"/>
          <w:numId w:val="2"/>
        </w:numPr>
        <w:spacing w:before="60" w:after="60"/>
      </w:pPr>
      <w:r>
        <w:rPr>
          <w:rFonts w:ascii="Arial" w:cs="Arial" w:eastAsia="Arial" w:hAnsi="Arial"/>
          <w:sz w:val="22"/>
          <w:szCs w:val="22"/>
        </w:rPr>
        <w:t xml:space="preserve">Positions the author at the intersection of CTO-level fintech domain expertise and senior ML engineering capability -- a rare and highly valued combination</w:t>
      </w:r>
    </w:p>
    <w:p>
      <w:pPr>
        <w:pStyle w:val="ListParagraph"/>
        <w:numPr>
          <w:ilvl w:val="0"/>
          <w:numId w:val="2"/>
        </w:numPr>
        <w:spacing w:before="60" w:after="60"/>
      </w:pPr>
      <w:r>
        <w:rPr>
          <w:rFonts w:ascii="Arial" w:cs="Arial" w:eastAsia="Arial" w:hAnsi="Arial"/>
          <w:sz w:val="22"/>
          <w:szCs w:val="22"/>
        </w:rPr>
        <w:t xml:space="preserve">The deployed Streamlit application provides a live, shareable, interview-ready demonstration of the entire AI pipeline</w:t>
      </w:r>
    </w:p>
    <w:p>
      <w:pPr>
        <w:pStyle w:val="ListParagraph"/>
        <w:numPr>
          <w:ilvl w:val="0"/>
          <w:numId w:val="2"/>
        </w:numPr>
        <w:spacing w:before="60" w:after="60"/>
      </w:pPr>
      <w:r>
        <w:rPr>
          <w:rFonts w:ascii="Arial" w:cs="Arial" w:eastAsia="Arial" w:hAnsi="Arial"/>
          <w:sz w:val="22"/>
          <w:szCs w:val="22"/>
        </w:rPr>
        <w:t xml:space="preserve">The SHAP explainability and fairness audit work signals responsible AI awareness -- a rapidly rising requirement in AI job descriptions and hiring committees</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9. Project Timeline and Milestones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57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Module</w:t>
            </w:r>
          </w:p>
        </w:tc>
        <w:tc>
          <w:tcPr>
            <w:tcW w:type="dxa" w:w="27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Deliverable</w:t>
            </w:r>
          </w:p>
        </w:tc>
        <w:tc>
          <w:tcPr>
            <w:tcW w:type="dxa" w:w="57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9"/>
                <w:szCs w:val="19"/>
              </w:rPr>
              <w:t xml:space="preserve">Key Activities</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11</w:t>
            </w:r>
          </w:p>
        </w:tc>
        <w:tc>
          <w:tcPr>
            <w:tcW w:type="dxa" w:w="2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Problem Statement &amp; Prospectus (this document)</w:t>
            </w:r>
          </w:p>
        </w:tc>
        <w:tc>
          <w:tcPr>
            <w:tcW w:type="dxa" w:w="57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Define research question, confirm datasets, outline 3-layer pipeline and Streamlit scope</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11-14</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First 1-on-1 with Program Leader</w:t>
            </w:r>
          </w:p>
        </w:tc>
        <w:tc>
          <w:tcPr>
            <w:tcW w:type="dxa" w:w="5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Validate dataset strategy, confirm model architecture, align on credit evaluation metrics</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16</w:t>
            </w:r>
          </w:p>
        </w:tc>
        <w:tc>
          <w:tcPr>
            <w:tcW w:type="dxa" w:w="2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Formal Problem Proposal</w:t>
            </w:r>
          </w:p>
        </w:tc>
        <w:tc>
          <w:tcPr>
            <w:tcW w:type="dxa" w:w="57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Finalize research question, data schema, model benchmarks, Streamlit wireframe</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17-19</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Data Pipeline + EDA + Baseline Models</w:t>
            </w:r>
          </w:p>
        </w:tc>
        <w:tc>
          <w:tcPr>
            <w:tcW w:type="dxa" w:w="5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Clean and join datasets, engineer features, run Logistic Regression baseline, visualize distributions</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20</w:t>
            </w:r>
          </w:p>
        </w:tc>
        <w:tc>
          <w:tcPr>
            <w:tcW w:type="dxa" w:w="2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Initial Report + EDA Notebook</w:t>
            </w:r>
          </w:p>
        </w:tc>
        <w:tc>
          <w:tcPr>
            <w:tcW w:type="dxa" w:w="57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Full Jupyter notebook: EDA, feature engineering, baseline and intermediate model results, SHAP plots</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21-23</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Second 1-on-1 with Program Leader</w:t>
            </w:r>
          </w:p>
        </w:tc>
        <w:tc>
          <w:tcPr>
            <w:tcW w:type="dxa" w:w="5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22222"/>
                <w:sz w:val="19"/>
                <w:szCs w:val="19"/>
              </w:rPr>
              <w:t xml:space="preserve">Review model results, close gaps, finalize Streamlit app, structure non-technical report</w:t>
            </w:r>
          </w:p>
        </w:tc>
      </w:tr>
      <w:tr>
        <w:trPr>
          <w:tblHeader w:val="false"/>
        </w:trP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24</w:t>
            </w:r>
          </w:p>
        </w:tc>
        <w:tc>
          <w:tcPr>
            <w:tcW w:type="dxa" w:w="2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Final Analysis, Report + Live Demo</w:t>
            </w:r>
          </w:p>
        </w:tc>
        <w:tc>
          <w:tcPr>
            <w:tcW w:type="dxa" w:w="57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b w:val="false"/>
                <w:bCs w:val="false"/>
                <w:color w:val="222222"/>
                <w:sz w:val="19"/>
                <w:szCs w:val="19"/>
              </w:rPr>
              <w:t xml:space="preserve">Non-technical report + polished notebook + deployed Streamlit app on Hugging Face Spaces</w:t>
            </w:r>
          </w:p>
        </w:tc>
      </w:tr>
    </w:tbl>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10. Future Extensions</w:t>
      </w:r>
    </w:p>
    <w:p>
      <w:pPr>
        <w:spacing w:before="80" w:after="100"/>
        <w:jc w:val="both"/>
      </w:pPr>
      <w:r>
        <w:rPr>
          <w:rFonts w:ascii="Arial" w:cs="Arial" w:eastAsia="Arial" w:hAnsi="Arial"/>
          <w:sz w:val="22"/>
          <w:szCs w:val="22"/>
        </w:rPr>
        <w:t xml:space="preserve">The architecture is designed for extensibility. Post-capstone development paths include:</w:t>
      </w:r>
    </w:p>
    <w:p>
      <w:pPr>
        <w:pStyle w:val="ListParagraph"/>
        <w:numPr>
          <w:ilvl w:val="0"/>
          <w:numId w:val="2"/>
        </w:numPr>
        <w:spacing w:before="60" w:after="60"/>
      </w:pPr>
      <w:r>
        <w:rPr>
          <w:rFonts w:ascii="Arial" w:cs="Arial" w:eastAsia="Arial" w:hAnsi="Arial"/>
          <w:b/>
          <w:bCs/>
          <w:sz w:val="22"/>
          <w:szCs w:val="22"/>
        </w:rPr>
        <w:t xml:space="preserve">Live Bureau API Integration: </w:t>
      </w:r>
      <w:r>
        <w:rPr>
          <w:rFonts w:ascii="Arial" w:cs="Arial" w:eastAsia="Arial" w:hAnsi="Arial"/>
          <w:sz w:val="22"/>
          <w:szCs w:val="22"/>
        </w:rPr>
        <w:t xml:space="preserve">Replace dataset-derived credit signals with real-time CIBIL / Experian India API calls -- transforming the prototype into a production underwriting engine</w:t>
      </w:r>
    </w:p>
    <w:p>
      <w:pPr>
        <w:pStyle w:val="ListParagraph"/>
        <w:numPr>
          <w:ilvl w:val="0"/>
          <w:numId w:val="2"/>
        </w:numPr>
        <w:spacing w:before="60" w:after="60"/>
      </w:pPr>
      <w:r>
        <w:rPr>
          <w:rFonts w:ascii="Arial" w:cs="Arial" w:eastAsia="Arial" w:hAnsi="Arial"/>
          <w:b/>
          <w:bCs/>
          <w:sz w:val="22"/>
          <w:szCs w:val="22"/>
        </w:rPr>
        <w:t xml:space="preserve">Multi-Lender Rate Feed: </w:t>
      </w:r>
      <w:r>
        <w:rPr>
          <w:rFonts w:ascii="Arial" w:cs="Arial" w:eastAsia="Arial" w:hAnsi="Arial"/>
          <w:sz w:val="22"/>
          <w:szCs w:val="22"/>
        </w:rPr>
        <w:t xml:space="preserve">Integrate live rate feeds from partner NBFCs and banks to replace predicted rates with actual product offerings, enabling genuine product matching</w:t>
      </w:r>
    </w:p>
    <w:p>
      <w:pPr>
        <w:pStyle w:val="ListParagraph"/>
        <w:numPr>
          <w:ilvl w:val="0"/>
          <w:numId w:val="2"/>
        </w:numPr>
        <w:spacing w:before="60" w:after="60"/>
      </w:pPr>
      <w:r>
        <w:rPr>
          <w:rFonts w:ascii="Arial" w:cs="Arial" w:eastAsia="Arial" w:hAnsi="Arial"/>
          <w:b/>
          <w:bCs/>
          <w:sz w:val="22"/>
          <w:szCs w:val="22"/>
        </w:rPr>
        <w:t xml:space="preserve">Reinforcement Learning for Product Ranking: </w:t>
      </w:r>
      <w:r>
        <w:rPr>
          <w:rFonts w:ascii="Arial" w:cs="Arial" w:eastAsia="Arial" w:hAnsi="Arial"/>
          <w:sz w:val="22"/>
          <w:szCs w:val="22"/>
        </w:rPr>
        <w:t xml:space="preserve">Train a contextual bandit model on borrower acceptance/rejection feedback to dynamically improve product ranking without manual rule updates</w:t>
      </w:r>
    </w:p>
    <w:p>
      <w:pPr>
        <w:pStyle w:val="ListParagraph"/>
        <w:numPr>
          <w:ilvl w:val="0"/>
          <w:numId w:val="2"/>
        </w:numPr>
        <w:spacing w:before="60" w:after="60"/>
      </w:pPr>
      <w:r>
        <w:rPr>
          <w:rFonts w:ascii="Arial" w:cs="Arial" w:eastAsia="Arial" w:hAnsi="Arial"/>
          <w:b/>
          <w:bCs/>
          <w:sz w:val="22"/>
          <w:szCs w:val="22"/>
        </w:rPr>
        <w:t xml:space="preserve">NLP Layer for Conversational Input: </w:t>
      </w:r>
      <w:r>
        <w:rPr>
          <w:rFonts w:ascii="Arial" w:cs="Arial" w:eastAsia="Arial" w:hAnsi="Arial"/>
          <w:sz w:val="22"/>
          <w:szCs w:val="22"/>
        </w:rPr>
        <w:t xml:space="preserve">Parse borrower intent from free-text or chatbot input, enabling a conversational interface over the same recommendation engine</w:t>
      </w:r>
    </w:p>
    <w:p>
      <w:pPr>
        <w:pStyle w:val="ListParagraph"/>
        <w:numPr>
          <w:ilvl w:val="0"/>
          <w:numId w:val="2"/>
        </w:numPr>
        <w:spacing w:before="60" w:after="60"/>
      </w:pPr>
      <w:r>
        <w:rPr>
          <w:rFonts w:ascii="Arial" w:cs="Arial" w:eastAsia="Arial" w:hAnsi="Arial"/>
          <w:b/>
          <w:bCs/>
          <w:sz w:val="22"/>
          <w:szCs w:val="22"/>
        </w:rPr>
        <w:t xml:space="preserve">Home Loan Refinancing Extension: </w:t>
      </w:r>
      <w:r>
        <w:rPr>
          <w:rFonts w:ascii="Arial" w:cs="Arial" w:eastAsia="Arial" w:hAnsi="Arial"/>
          <w:sz w:val="22"/>
          <w:szCs w:val="22"/>
        </w:rPr>
        <w:t xml:space="preserve">Incorporate LTV ratios, property valuation signals, and balance transfer mechanics to extend the pipeline to a third loan type</w:t>
      </w:r>
    </w:p>
    <w:p>
      <w:pPr>
        <w:pStyle w:val="ListParagraph"/>
        <w:numPr>
          <w:ilvl w:val="0"/>
          <w:numId w:val="2"/>
        </w:numPr>
        <w:spacing w:before="60" w:after="60"/>
      </w:pPr>
      <w:r>
        <w:rPr>
          <w:rFonts w:ascii="Arial" w:cs="Arial" w:eastAsia="Arial" w:hAnsi="Arial"/>
          <w:b/>
          <w:bCs/>
          <w:sz w:val="22"/>
          <w:szCs w:val="22"/>
        </w:rPr>
        <w:t xml:space="preserve">Regulatory Reporting Module: </w:t>
      </w:r>
      <w:r>
        <w:rPr>
          <w:rFonts w:ascii="Arial" w:cs="Arial" w:eastAsia="Arial" w:hAnsi="Arial"/>
          <w:sz w:val="22"/>
          <w:szCs w:val="22"/>
        </w:rPr>
        <w:t xml:space="preserve">Automate generation of AI decision audit trails in the format specified by RBI digital lending guidelines, making compliance review self-serve</w:t>
      </w:r>
    </w:p>
    <w:p>
      <w:pPr>
        <w:pStyle w:val="ListParagraph"/>
        <w:numPr>
          <w:ilvl w:val="0"/>
          <w:numId w:val="2"/>
        </w:numPr>
        <w:spacing w:before="60" w:after="60"/>
      </w:pPr>
      <w:r>
        <w:rPr>
          <w:rFonts w:ascii="Arial" w:cs="Arial" w:eastAsia="Arial" w:hAnsi="Arial"/>
          <w:b/>
          <w:bCs/>
          <w:sz w:val="22"/>
          <w:szCs w:val="22"/>
        </w:rPr>
        <w:t xml:space="preserve">Full Production Monitoring: </w:t>
      </w:r>
      <w:r>
        <w:rPr>
          <w:rFonts w:ascii="Arial" w:cs="Arial" w:eastAsia="Arial" w:hAnsi="Arial"/>
          <w:sz w:val="22"/>
          <w:szCs w:val="22"/>
        </w:rPr>
        <w:t xml:space="preserve">Extend the PSI drift stub into a complete monitoring pipeline using Evidently AI, alerting when scoring population diverges from the training distribution</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11. Conclusion</w:t>
      </w:r>
    </w:p>
    <w:p>
      <w:pPr>
        <w:spacing w:before="80" w:after="100"/>
        <w:jc w:val="both"/>
      </w:pPr>
      <w:r>
        <w:rPr>
          <w:rFonts w:ascii="Arial" w:cs="Arial" w:eastAsia="Arial" w:hAnsi="Arial"/>
          <w:sz w:val="22"/>
          <w:szCs w:val="22"/>
        </w:rPr>
        <w:t xml:space="preserve">Loan refinancing is one of the highest-leverage financial decisions a consumer can make, yet access to intelligent, personalized, and transparent guidance remains scarce in India's digital lending ecosystem. This capstone proposes a rigorous, production-grade AI pipeline that makes the right refinancing recommendation -- for Credit Card to Personal Loan conversion and Personal Loan refinancing -- with the accuracy, calibration, and explainability that both borrowers and regulators require.</w:t>
      </w:r>
    </w:p>
    <w:p>
      <w:pPr>
        <w:spacing w:before="0" w:after="0"/>
      </w:pPr>
      <w:r>
        <w:rPr>
          <w:sz w:val="22"/>
          <w:szCs w:val="22"/>
        </w:rPr>
        <w:t xml:space="preserve"/>
      </w:r>
    </w:p>
    <w:p>
      <w:pPr>
        <w:spacing w:before="80" w:after="100"/>
        <w:jc w:val="both"/>
      </w:pPr>
      <w:r>
        <w:rPr>
          <w:rFonts w:ascii="Arial" w:cs="Arial" w:eastAsia="Arial" w:hAnsi="Arial"/>
          <w:sz w:val="22"/>
          <w:szCs w:val="22"/>
        </w:rPr>
        <w:t xml:space="preserve">The system is designed not as a demonstration of textbook ML techniques, but as a working prototype of a real fintech intelligence layer -- one that reflects the engineering discipline (MLflow, champion-challenger governance, probability calibration), domain depth (credit-specific evaluation metrics, RBI compliance awareness, vintage analysis), and product thinking (Streamlit demo, Monte Carlo savings intervals, borrower persona labeling) expected of a senior AI practitioner in consumer lending.</w:t>
      </w:r>
    </w:p>
    <w:p>
      <w:pPr>
        <w:spacing w:before="0" w:after="0"/>
      </w:pPr>
      <w:r>
        <w:rPr>
          <w:sz w:val="22"/>
          <w:szCs w:val="22"/>
        </w:rPr>
        <w:t xml:space="preserve"/>
      </w:r>
    </w:p>
    <w:p>
      <w:pPr>
        <w:spacing w:before="80" w:after="100"/>
        <w:jc w:val="both"/>
      </w:pPr>
      <w:r>
        <w:rPr>
          <w:rFonts w:ascii="Arial" w:cs="Arial" w:eastAsia="Arial" w:hAnsi="Arial"/>
          <w:sz w:val="22"/>
          <w:szCs w:val="22"/>
        </w:rPr>
        <w:t xml:space="preserve">As CTO of Unlend.in, the author brings direct domain authority to this problem. Every modeling decision made here has a direct analog in Unlend.in's production requirements. The result is a portfolio artifact that is simultaneously academically rigorous, professionally relevant, and commercially meaningful.</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References and Data Sources</w:t>
      </w:r>
    </w:p>
    <w:p>
      <w:pPr>
        <w:pStyle w:val="ListParagraph"/>
        <w:numPr>
          <w:ilvl w:val="0"/>
          <w:numId w:val="2"/>
        </w:numPr>
        <w:spacing w:before="60" w:after="60"/>
      </w:pPr>
      <w:r>
        <w:rPr>
          <w:rFonts w:ascii="Arial" w:cs="Arial" w:eastAsia="Arial" w:hAnsi="Arial"/>
          <w:sz w:val="22"/>
          <w:szCs w:val="22"/>
        </w:rPr>
        <w:t xml:space="preserve">LendingClub Loan Dataset (2007-2018) -- https://www.kaggle.com/datasets/wordsforthewise/lending-club</w:t>
      </w:r>
    </w:p>
    <w:p>
      <w:pPr>
        <w:pStyle w:val="ListParagraph"/>
        <w:numPr>
          <w:ilvl w:val="0"/>
          <w:numId w:val="2"/>
        </w:numPr>
        <w:spacing w:before="60" w:after="60"/>
      </w:pPr>
      <w:r>
        <w:rPr>
          <w:rFonts w:ascii="Arial" w:cs="Arial" w:eastAsia="Arial" w:hAnsi="Arial"/>
          <w:sz w:val="22"/>
          <w:szCs w:val="22"/>
        </w:rPr>
        <w:t xml:space="preserve">Home Credit Default Risk -- https://www.kaggle.com/competitions/home-credit-default-risk</w:t>
      </w:r>
    </w:p>
    <w:p>
      <w:pPr>
        <w:pStyle w:val="ListParagraph"/>
        <w:numPr>
          <w:ilvl w:val="0"/>
          <w:numId w:val="2"/>
        </w:numPr>
        <w:spacing w:before="60" w:after="60"/>
      </w:pPr>
      <w:r>
        <w:rPr>
          <w:rFonts w:ascii="Arial" w:cs="Arial" w:eastAsia="Arial" w:hAnsi="Arial"/>
          <w:sz w:val="22"/>
          <w:szCs w:val="22"/>
        </w:rPr>
        <w:t xml:space="preserve">Prosper Loan Dataset -- https://www.kaggle.com/datasets/yousuf28/prosper-loan</w:t>
      </w:r>
    </w:p>
    <w:p>
      <w:pPr>
        <w:pStyle w:val="ListParagraph"/>
        <w:numPr>
          <w:ilvl w:val="0"/>
          <w:numId w:val="2"/>
        </w:numPr>
        <w:spacing w:before="60" w:after="60"/>
      </w:pPr>
      <w:r>
        <w:rPr>
          <w:rFonts w:ascii="Arial" w:cs="Arial" w:eastAsia="Arial" w:hAnsi="Arial"/>
          <w:sz w:val="22"/>
          <w:szCs w:val="22"/>
        </w:rPr>
        <w:t xml:space="preserve">Reserve Bank of India -- Digital Lending Guidelines (2022) -- https://www.rbi.org.in/Scripts/NotificationUser.aspx?Id=12382</w:t>
      </w:r>
    </w:p>
    <w:p>
      <w:pPr>
        <w:pStyle w:val="ListParagraph"/>
        <w:numPr>
          <w:ilvl w:val="0"/>
          <w:numId w:val="2"/>
        </w:numPr>
        <w:spacing w:before="60" w:after="60"/>
      </w:pPr>
      <w:r>
        <w:rPr>
          <w:rFonts w:ascii="Arial" w:cs="Arial" w:eastAsia="Arial" w:hAnsi="Arial"/>
          <w:sz w:val="22"/>
          <w:szCs w:val="22"/>
        </w:rPr>
        <w:t xml:space="preserve">Lundberg, S. M. &amp; Lee, S. (2017). A Unified Approach to Interpreting Model Predictions. NeurIPS 2017. [SHAP methodology]</w:t>
      </w:r>
    </w:p>
    <w:p>
      <w:pPr>
        <w:pStyle w:val="ListParagraph"/>
        <w:numPr>
          <w:ilvl w:val="0"/>
          <w:numId w:val="2"/>
        </w:numPr>
        <w:spacing w:before="60" w:after="60"/>
      </w:pPr>
      <w:r>
        <w:rPr>
          <w:rFonts w:ascii="Arial" w:cs="Arial" w:eastAsia="Arial" w:hAnsi="Arial"/>
          <w:sz w:val="22"/>
          <w:szCs w:val="22"/>
        </w:rPr>
        <w:t xml:space="preserve">Ribeiro, M. T., Singh, S. &amp; Guestrin, C. (2016). Why Should I Trust You? SIGKDD 2016. [LIME methodology]</w:t>
      </w:r>
    </w:p>
    <w:p>
      <w:pPr>
        <w:pStyle w:val="ListParagraph"/>
        <w:numPr>
          <w:ilvl w:val="0"/>
          <w:numId w:val="2"/>
        </w:numPr>
        <w:spacing w:before="60" w:after="60"/>
      </w:pPr>
      <w:r>
        <w:rPr>
          <w:rFonts w:ascii="Arial" w:cs="Arial" w:eastAsia="Arial" w:hAnsi="Arial"/>
          <w:sz w:val="22"/>
          <w:szCs w:val="22"/>
        </w:rPr>
        <w:t xml:space="preserve">Chen, T. &amp; Guestrin, C. (2016). XGBoost: A Scalable Tree Boosting System. KDD 2016.</w:t>
      </w:r>
    </w:p>
    <w:p>
      <w:pPr>
        <w:pStyle w:val="ListParagraph"/>
        <w:numPr>
          <w:ilvl w:val="0"/>
          <w:numId w:val="2"/>
        </w:numPr>
        <w:spacing w:before="60" w:after="60"/>
      </w:pPr>
      <w:r>
        <w:rPr>
          <w:rFonts w:ascii="Arial" w:cs="Arial" w:eastAsia="Arial" w:hAnsi="Arial"/>
          <w:sz w:val="22"/>
          <w:szCs w:val="22"/>
        </w:rPr>
        <w:t xml:space="preserve">Ke, G. et al. (2017). LightGBM: A Highly Efficient Gradient Boosting Decision Tree. NeurIPS 2017.</w:t>
      </w:r>
    </w:p>
    <w:p>
      <w:pPr>
        <w:pStyle w:val="ListParagraph"/>
        <w:numPr>
          <w:ilvl w:val="0"/>
          <w:numId w:val="2"/>
        </w:numPr>
        <w:spacing w:before="60" w:after="60"/>
      </w:pPr>
      <w:r>
        <w:rPr>
          <w:rFonts w:ascii="Arial" w:cs="Arial" w:eastAsia="Arial" w:hAnsi="Arial"/>
          <w:sz w:val="22"/>
          <w:szCs w:val="22"/>
        </w:rPr>
        <w:t xml:space="preserve">Akiba, T. et al. (2019). Optuna: A Next-Generation Hyperparameter Optimization Framework. KDD 2019.</w:t>
      </w:r>
    </w:p>
    <w:p>
      <w:pPr>
        <w:pStyle w:val="ListParagraph"/>
        <w:numPr>
          <w:ilvl w:val="0"/>
          <w:numId w:val="2"/>
        </w:numPr>
        <w:spacing w:before="60" w:after="60"/>
      </w:pPr>
      <w:r>
        <w:rPr>
          <w:rFonts w:ascii="Arial" w:cs="Arial" w:eastAsia="Arial" w:hAnsi="Arial"/>
          <w:sz w:val="22"/>
          <w:szCs w:val="22"/>
        </w:rPr>
        <w:t xml:space="preserve">MLflow Documentation -- https://mlflow.org/docs/latest/index.html</w:t>
      </w:r>
    </w:p>
    <w:p>
      <w:pPr>
        <w:pStyle w:val="ListParagraph"/>
        <w:numPr>
          <w:ilvl w:val="0"/>
          <w:numId w:val="2"/>
        </w:numPr>
        <w:spacing w:before="60" w:after="60"/>
      </w:pPr>
      <w:r>
        <w:rPr>
          <w:rFonts w:ascii="Arial" w:cs="Arial" w:eastAsia="Arial" w:hAnsi="Arial"/>
          <w:sz w:val="22"/>
          <w:szCs w:val="22"/>
        </w:rPr>
        <w:t xml:space="preserve">Streamlit Documentation -- https://docs.streamlit.io</w:t>
      </w:r>
    </w:p>
    <w:p>
      <w:pPr>
        <w:pStyle w:val="ListParagraph"/>
        <w:numPr>
          <w:ilvl w:val="0"/>
          <w:numId w:val="2"/>
        </w:numPr>
        <w:spacing w:before="60" w:after="60"/>
      </w:pPr>
      <w:r>
        <w:rPr>
          <w:rFonts w:ascii="Arial" w:cs="Arial" w:eastAsia="Arial" w:hAnsi="Arial"/>
          <w:sz w:val="22"/>
          <w:szCs w:val="22"/>
        </w:rPr>
        <w:t xml:space="preserve">Hugging Face Spaces (Streamlit deployment) -- https://huggingface.co/docs/hub/spaces-sdks-streamlit</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jc w:val="center"/>
    </w:pPr>
    <w:r>
      <w:rPr>
        <w:rFonts w:ascii="Arial" w:cs="Arial" w:eastAsia="Arial" w:hAnsi="Arial"/>
        <w:color w:val="888888"/>
        <w:sz w:val="17"/>
        <w:szCs w:val="17"/>
      </w:rPr>
      <w:t xml:space="preserve">AI-Driven Loan Refinancing Recommendation System  |  Module 11 Problem Statement  |  UC Berkeley ML &amp; AI Certificate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2026-02-21T09:14:02.593Z</dcterms:created>
  <dcterms:modified xsi:type="dcterms:W3CDTF">2026-02-21T09:14:02.594Z</dcterms:modified>
</cp:coreProperties>
</file>

<file path=docProps/custom.xml><?xml version="1.0" encoding="utf-8"?>
<Properties xmlns="http://schemas.openxmlformats.org/officeDocument/2006/custom-properties" xmlns:vt="http://schemas.openxmlformats.org/officeDocument/2006/docPropsVTypes"/>
</file>