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160"/>
        <w:jc w:val="center"/>
      </w:pPr>
      <w:r>
        <w:rPr>
          <w:rFonts w:ascii="Arial" w:cs="Arial" w:eastAsia="Arial" w:hAnsi="Arial"/>
          <w:b/>
          <w:bCs/>
          <w:caps/>
          <w:color w:val="C9A227"/>
          <w:sz w:val="22"/>
          <w:szCs w:val="22"/>
        </w:rPr>
        <w:t xml:space="preserve">CAPSTONE PROJECT  |  MODULE 16</w:t>
      </w:r>
    </w:p>
    <w:p>
      <w:pPr>
        <w:spacing w:before="0" w:after="80"/>
        <w:jc w:val="center"/>
      </w:pPr>
      <w:r>
        <w:rPr>
          <w:rFonts w:ascii="Arial" w:cs="Arial" w:eastAsia="Arial" w:hAnsi="Arial"/>
          <w:color w:val="555555"/>
          <w:sz w:val="26"/>
          <w:szCs w:val="26"/>
        </w:rPr>
        <w:t xml:space="preserve">Formal Problem Proposal</w:t>
      </w:r>
    </w:p>
    <w:p>
      <w:pPr>
        <w:pBdr>
          <w:bottom w:val="single" w:color="C9A227" w:sz="8" w:space="8"/>
        </w:pBdr>
        <w:spacing w:before="180" w:after="360"/>
        <w:jc w:val="center"/>
      </w:pPr>
      <w:r>
        <w:rPr>
          <w:sz w:val="22"/>
          <w:szCs w:val="22"/>
        </w:rPr>
        <w:t xml:space="preserve"/>
      </w:r>
    </w:p>
    <w:p>
      <w:pPr>
        <w:spacing w:before="420" w:after="120"/>
        <w:jc w:val="center"/>
      </w:pPr>
      <w:r>
        <w:rPr>
          <w:rFonts w:ascii="Arial" w:cs="Arial" w:eastAsia="Arial" w:hAnsi="Arial"/>
          <w:b/>
          <w:bCs/>
          <w:color w:val="1F3864"/>
          <w:sz w:val="54"/>
          <w:szCs w:val="54"/>
        </w:rPr>
        <w:t xml:space="preserve">AI-Driven Loan Refinancing</w:t>
      </w:r>
    </w:p>
    <w:p>
      <w:pPr>
        <w:spacing w:before="0" w:after="120"/>
        <w:jc w:val="center"/>
      </w:pPr>
      <w:r>
        <w:rPr>
          <w:rFonts w:ascii="Arial" w:cs="Arial" w:eastAsia="Arial" w:hAnsi="Arial"/>
          <w:b/>
          <w:bCs/>
          <w:color w:val="1F3864"/>
          <w:sz w:val="54"/>
          <w:szCs w:val="54"/>
        </w:rPr>
        <w:t xml:space="preserve">Recommendation System</w:t>
      </w:r>
    </w:p>
    <w:p>
      <w:pPr>
        <w:spacing w:before="200" w:after="80"/>
        <w:jc w:val="center"/>
      </w:pPr>
      <w:r>
        <w:rPr>
          <w:rFonts w:ascii="Arial" w:cs="Arial" w:eastAsia="Arial" w:hAnsi="Arial"/>
          <w:b/>
          <w:bCs/>
          <w:color w:val="2E75B6"/>
          <w:sz w:val="26"/>
          <w:szCs w:val="26"/>
        </w:rPr>
        <w:t xml:space="preserve">Credit Card to Personal Loan Conversion  &amp;  Personal Loan Refinancing</w:t>
      </w:r>
    </w:p>
    <w:p>
      <w:pPr>
        <w:spacing w:before="60" w:after="500"/>
        <w:jc w:val="center"/>
      </w:pPr>
      <w:r>
        <w:rPr>
          <w:rFonts w:ascii="Arial" w:cs="Arial" w:eastAsia="Arial" w:hAnsi="Arial"/>
          <w:i/>
          <w:iCs/>
          <w:color w:val="666666"/>
          <w:sz w:val="22"/>
          <w:szCs w:val="22"/>
        </w:rPr>
        <w:t xml:space="preserve">Production-Grade ML  |  XGBoost + Optuna  |  SHAP/LIME Explainability  |  Streamlit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Program</w:t>
            </w:r>
          </w:p>
        </w:tc>
        <w:tc>
          <w:tcPr>
            <w:tcW w:type="dxa" w:w="70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color w:val="222222"/>
                <w:sz w:val="20"/>
                <w:szCs w:val="20"/>
              </w:rPr>
              <w:t xml:space="preserve">UC Berkeley Engineering — Professional Certificate in ML &amp; AI</w:t>
            </w:r>
          </w:p>
        </w:tc>
      </w:tr>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Module 16 — Formal Problem Proposal</w:t>
            </w:r>
          </w:p>
        </w:tc>
      </w:tr>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70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color w:val="222222"/>
                <w:sz w:val="20"/>
                <w:szCs w:val="20"/>
              </w:rPr>
              <w:t xml:space="preserve">Financial Technology (FinTech)  |  Consumer Lending  |  Credit Risk AI</w:t>
            </w:r>
          </w:p>
        </w:tc>
      </w:tr>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Dataset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LendingClub Loan Dataset (2007-2018), Kaggle — 2.2M records, 74+ features</w:t>
            </w:r>
          </w:p>
        </w:tc>
      </w:tr>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Techniques</w:t>
            </w:r>
          </w:p>
        </w:tc>
        <w:tc>
          <w:tcPr>
            <w:tcW w:type="dxa" w:w="702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tcPr>
          <w:p>
            <w:r>
              <w:rPr>
                <w:rFonts w:ascii="Arial" w:cs="Arial" w:eastAsia="Arial" w:hAnsi="Arial"/>
                <w:color w:val="222222"/>
                <w:sz w:val="20"/>
                <w:szCs w:val="20"/>
              </w:rPr>
              <w:t xml:space="preserve">XGBoost + LightGBM (champion-challenger) | Optuna HPO | Platt Calibration | XGBoost Regressor | K-Means Clustering | SHAP + LIME | MLflow | Streamlit</w:t>
            </w:r>
          </w:p>
        </w:tc>
      </w:tr>
    </w:tbl>
    <w:p>
      <w:pPr>
        <w:spacing w:before="0" w:after="0"/>
      </w:pPr>
      <w:r>
        <w:rPr>
          <w:sz w:val="22"/>
          <w:szCs w:val="22"/>
        </w:rPr>
        <w:t xml:space="preserve"/>
      </w:r>
    </w:p>
    <w:p>
      <w:pPr>
        <w:spacing w:before="100" w:after="60"/>
        <w:jc w:val="center"/>
      </w:pPr>
      <w:r>
        <w:rPr>
          <w:rFonts w:ascii="Arial" w:cs="Arial" w:eastAsia="Arial" w:hAnsi="Arial"/>
          <w:i/>
          <w:iCs/>
          <w:color w:val="888888"/>
          <w:sz w:val="19"/>
          <w:szCs w:val="19"/>
        </w:rPr>
        <w:t xml:space="preserve">Builds on Module 11 Problem Statement &amp; Prospectus</w:t>
      </w:r>
    </w:p>
    <w:p>
      <w:pPr>
        <w:pageBreakBefore/>
      </w:pPr>
      <w: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1. Research Question</w:t>
      </w:r>
    </w:p>
    <w:p>
      <w:pPr>
        <w:spacing w:before="80" w:after="100"/>
        <w:jc w:val="both"/>
      </w:pPr>
      <w:r>
        <w:rPr>
          <w:rFonts w:ascii="Arial" w:cs="Arial" w:eastAsia="Arial" w:hAnsi="Arial"/>
          <w:sz w:val="22"/>
          <w:szCs w:val="22"/>
        </w:rPr>
        <w:t xml:space="preserve">The finalized central research question for this capstone is:</w:t>
      </w:r>
    </w:p>
    <w:p>
      <w:pPr>
        <w:spacing w:before="0" w:after="0"/>
      </w:pPr>
      <w:r>
        <w:rPr>
          <w:sz w:val="22"/>
          <w:szCs w:val="22"/>
        </w:rPr>
        <w:t xml:space="preserve"/>
      </w:r>
    </w:p>
    <w:p>
      <w:pPr>
        <w:pBdr>
          <w:left w:val="single" w:color="2E75B6" w:sz="14" w:space="10"/>
        </w:pBdr>
        <w:shd w:fill="D6E4F0" w:val="clear"/>
        <w:spacing w:before="120" w:after="120"/>
        <w:ind w:left="560" w:right="560"/>
      </w:pPr>
      <w:r>
        <w:rPr>
          <w:rFonts w:ascii="Arial" w:cs="Arial" w:eastAsia="Arial" w:hAnsi="Arial"/>
          <w:b/>
          <w:bCs/>
          <w:i/>
          <w:iCs/>
          <w:color w:val="1F3864"/>
          <w:sz w:val="24"/>
          <w:szCs w:val="24"/>
        </w:rPr>
        <w:t xml:space="preserve">Can a multi-layer machine learning system accurately identify which credit card and personal loan borrowers qualify for refinancing, predict their achievable interest rate and monthly savings with quantified uncertainty, and generate transparent, explainable product recommendations — validated against production-grade credit risk evaluation standards and capable of real-time inference through an interactive application?</w:t>
      </w:r>
    </w:p>
    <w:p>
      <w:pPr>
        <w:spacing w:before="0" w:after="0"/>
      </w:pPr>
      <w:r>
        <w:rPr>
          <w:sz w:val="22"/>
          <w:szCs w:val="22"/>
        </w:rPr>
        <w:t xml:space="preserve"/>
      </w:r>
    </w:p>
    <w:p>
      <w:pPr>
        <w:spacing w:before="80" w:after="100"/>
        <w:jc w:val="both"/>
      </w:pPr>
      <w:r>
        <w:rPr>
          <w:rFonts w:ascii="Arial" w:cs="Arial" w:eastAsia="Arial" w:hAnsi="Arial"/>
          <w:sz w:val="22"/>
          <w:szCs w:val="22"/>
        </w:rPr>
        <w:t xml:space="preserve">This question is operationalized through two distinct but architecturally unified refinancing pathways: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C9A227"/>
                <w:sz w:val="20"/>
                <w:szCs w:val="20"/>
              </w:rPr>
              <w:t xml:space="preserve">Pathway 1: CC-to-PL Conversion</w:t>
            </w:r>
          </w:p>
        </w:tc>
        <w:tc>
          <w:tcPr>
            <w:tcW w:type="dxa" w:w="39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C9A227"/>
                <w:sz w:val="20"/>
                <w:szCs w:val="20"/>
              </w:rPr>
              <w:t xml:space="preserve">Pathway 2: PL Refinancing</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Borrower Profile</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Has revolving CC debt; revol_util &gt; 30%; seeking lower-cost structured repayment</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Has existing personal loan originated 18+ months ago; seeking lower rate from new lender</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Current Rate</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36-42% p.a. effective revolving rate</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18-24% p.a. at origination; may have improved profile</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Target Rate</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12-18% p.a. personal loan</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10-15% p.a. refinanced personal loan</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LendingClub Label</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purpose = 'credit_card'</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purpose = 'debt_consolidation' or 'personal'</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Savings Opportunity</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Rs 3,000-8,000/month on Rs 3L balance</w:t>
            </w:r>
          </w:p>
        </w:tc>
        <w:tc>
          <w:tcPr>
            <w:tcW w:type="dxa" w:w="39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22222"/>
                <w:sz w:val="19"/>
                <w:szCs w:val="19"/>
              </w:rPr>
              <w:t xml:space="preserve">Cumulative over remaining tenure; often Rs 1,500-4,000/month</w:t>
            </w:r>
          </w:p>
        </w:tc>
      </w:tr>
      <w:tr>
        <w:tc>
          <w:tcPr>
            <w:tcW w:type="dxa" w:w="1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222222"/>
                <w:sz w:val="19"/>
                <w:szCs w:val="19"/>
              </w:rPr>
              <w:t xml:space="preserve">Key Risk Signal</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High revolving utilization declining toward payoff</w:t>
            </w:r>
          </w:p>
        </w:tc>
        <w:tc>
          <w:tcPr>
            <w:tcW w:type="dxa" w:w="398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222222"/>
                <w:sz w:val="19"/>
                <w:szCs w:val="19"/>
              </w:rPr>
              <w:t xml:space="preserve">Clean 18+ month repayment record post-origination</w:t>
            </w:r>
          </w:p>
        </w:tc>
      </w:tr>
    </w:tbl>
    <w:p>
      <w:pPr>
        <w:spacing w:before="0" w:after="0"/>
      </w:pPr>
      <w:r>
        <w:rPr>
          <w:sz w:val="22"/>
          <w:szCs w:val="22"/>
        </w:rPr>
        <w:t xml:space="preserve"/>
      </w:r>
    </w:p>
    <w:p>
      <w:pPr>
        <w:spacing w:before="80" w:after="100"/>
        <w:jc w:val="both"/>
      </w:pPr>
      <w:r>
        <w:rPr>
          <w:rFonts w:ascii="Arial" w:cs="Arial" w:eastAsia="Arial" w:hAnsi="Arial"/>
          <w:sz w:val="22"/>
          <w:szCs w:val="22"/>
        </w:rPr>
        <w:t xml:space="preserve">Both pathways share the same three-layer ML architecture and explainability stack, but are trained on distinct borrower cohorts segmented by the purpose field. A unified model with a loan-type flag will be evaluated against separate pathway-specific models to determine whether architecture consolidation is possible without performance sacrifice.</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2. Data Sources and Structure</w:t>
      </w:r>
    </w:p>
    <w:p>
      <w:pPr>
        <w:pStyle w:val="Heading2"/>
        <w:spacing w:before="240" w:after="100"/>
      </w:pPr>
      <w:r>
        <w:rPr>
          <w:rFonts w:ascii="Arial" w:cs="Arial" w:eastAsia="Arial" w:hAnsi="Arial"/>
          <w:b/>
          <w:bCs/>
          <w:color w:val="2E75B6"/>
          <w:sz w:val="26"/>
          <w:szCs w:val="26"/>
        </w:rPr>
        <w:t xml:space="preserve">2.1 Primary Dataset: LendingClub Loan Data (2007-2018)</w:t>
      </w:r>
    </w:p>
    <w:p>
      <w:pPr>
        <w:spacing w:before="80" w:after="100"/>
        <w:jc w:val="both"/>
      </w:pPr>
      <w:r>
        <w:rPr>
          <w:rFonts w:ascii="Arial" w:cs="Arial" w:eastAsia="Arial" w:hAnsi="Arial"/>
          <w:sz w:val="22"/>
          <w:szCs w:val="22"/>
        </w:rPr>
        <w:t xml:space="preserve">The LendingClub dataset, available at https://www.kaggle.com/datasets/wordsforthewise/lending-club, is the confirmed primary dataset for this project. It contains approximately 2.2 million loan records across 74+ features, covering the full loan lifecycle from origination through final resolution. It is freely available, well-documented, and widely validated in academic and industry credit risk research.</w:t>
      </w:r>
    </w:p>
    <w:p>
      <w:pPr>
        <w:spacing w:before="0" w:after="0"/>
      </w:pPr>
      <w:r>
        <w:rPr>
          <w:sz w:val="22"/>
          <w:szCs w:val="22"/>
        </w:rPr>
        <w:t xml:space="preserve"/>
      </w:r>
    </w:p>
    <w:p>
      <w:pPr>
        <w:spacing w:before="80" w:after="100"/>
        <w:jc w:val="both"/>
      </w:pPr>
      <w:r>
        <w:rPr>
          <w:rFonts w:ascii="Arial" w:cs="Arial" w:eastAsia="Arial" w:hAnsi="Arial"/>
          <w:sz w:val="22"/>
          <w:szCs w:val="22"/>
        </w:rPr>
        <w:t xml:space="preserve">Key characteristics that make it specifically well-suited to this project:</w:t>
      </w:r>
    </w:p>
    <w:p>
      <w:pPr>
        <w:pStyle w:val="ListParagraph"/>
        <w:numPr>
          <w:ilvl w:val="0"/>
          <w:numId w:val="2"/>
        </w:numPr>
        <w:spacing w:before="60" w:after="60"/>
      </w:pPr>
      <w:r>
        <w:rPr>
          <w:rFonts w:ascii="Arial" w:cs="Arial" w:eastAsia="Arial" w:hAnsi="Arial"/>
          <w:b/>
          <w:bCs/>
          <w:sz w:val="22"/>
          <w:szCs w:val="22"/>
        </w:rPr>
        <w:t xml:space="preserve">Purpose field granularity: </w:t>
      </w:r>
      <w:r>
        <w:rPr>
          <w:rFonts w:ascii="Arial" w:cs="Arial" w:eastAsia="Arial" w:hAnsi="Arial"/>
          <w:sz w:val="22"/>
          <w:szCs w:val="22"/>
        </w:rPr>
        <w:t xml:space="preserve">The loan purpose field contains values including 'credit_card', 'debt_consolidation', and 'personal' — enabling clean cohort segmentation into CC-to-PL and PL refinancing training sets without synthetic labeling</w:t>
      </w:r>
    </w:p>
    <w:p>
      <w:pPr>
        <w:pStyle w:val="ListParagraph"/>
        <w:numPr>
          <w:ilvl w:val="0"/>
          <w:numId w:val="2"/>
        </w:numPr>
        <w:spacing w:before="60" w:after="60"/>
      </w:pPr>
      <w:r>
        <w:rPr>
          <w:rFonts w:ascii="Arial" w:cs="Arial" w:eastAsia="Arial" w:hAnsi="Arial"/>
          <w:b/>
          <w:bCs/>
          <w:sz w:val="22"/>
          <w:szCs w:val="22"/>
        </w:rPr>
        <w:t xml:space="preserve">Rate + outcome pairing: </w:t>
      </w:r>
      <w:r>
        <w:rPr>
          <w:rFonts w:ascii="Arial" w:cs="Arial" w:eastAsia="Arial" w:hAnsi="Arial"/>
          <w:sz w:val="22"/>
          <w:szCs w:val="22"/>
        </w:rPr>
        <w:t xml:space="preserve">Both the interest rate assigned at origination (int_rate) and the final loan outcome (loan_status) are present, enabling a paired supervised learning setup: predict the rate AND the risk simultaneously</w:t>
      </w:r>
    </w:p>
    <w:p>
      <w:pPr>
        <w:pStyle w:val="ListParagraph"/>
        <w:numPr>
          <w:ilvl w:val="0"/>
          <w:numId w:val="2"/>
        </w:numPr>
        <w:spacing w:before="60" w:after="60"/>
      </w:pPr>
      <w:r>
        <w:rPr>
          <w:rFonts w:ascii="Arial" w:cs="Arial" w:eastAsia="Arial" w:hAnsi="Arial"/>
          <w:b/>
          <w:bCs/>
          <w:sz w:val="22"/>
          <w:szCs w:val="22"/>
        </w:rPr>
        <w:t xml:space="preserve">Temporal depth: </w:t>
      </w:r>
      <w:r>
        <w:rPr>
          <w:rFonts w:ascii="Arial" w:cs="Arial" w:eastAsia="Arial" w:hAnsi="Arial"/>
          <w:sz w:val="22"/>
          <w:szCs w:val="22"/>
        </w:rPr>
        <w:t xml:space="preserve">11 years of data enables vintage-based feature engineering, temporal train/test splits, and drift analysis between early and late periods</w:t>
      </w:r>
    </w:p>
    <w:p>
      <w:pPr>
        <w:pStyle w:val="ListParagraph"/>
        <w:numPr>
          <w:ilvl w:val="0"/>
          <w:numId w:val="2"/>
        </w:numPr>
        <w:spacing w:before="60" w:after="60"/>
      </w:pPr>
      <w:r>
        <w:rPr>
          <w:rFonts w:ascii="Arial" w:cs="Arial" w:eastAsia="Arial" w:hAnsi="Arial"/>
          <w:b/>
          <w:bCs/>
          <w:sz w:val="22"/>
          <w:szCs w:val="22"/>
        </w:rPr>
        <w:t xml:space="preserve">Scale: </w:t>
      </w:r>
      <w:r>
        <w:rPr>
          <w:rFonts w:ascii="Arial" w:cs="Arial" w:eastAsia="Arial" w:hAnsi="Arial"/>
          <w:sz w:val="22"/>
          <w:szCs w:val="22"/>
        </w:rPr>
        <w:t xml:space="preserve">2.2M records provides sufficient volume for robust train/validation/test splits even after cohort-level filtering, with holdout sets large enough for statistically meaningful evaluation</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2.2 Secondary Dataset: Home Credit Default Risk</w:t>
      </w:r>
    </w:p>
    <w:p>
      <w:pPr>
        <w:spacing w:before="80" w:after="100"/>
        <w:jc w:val="both"/>
      </w:pPr>
      <w:r>
        <w:rPr>
          <w:rFonts w:ascii="Arial" w:cs="Arial" w:eastAsia="Arial" w:hAnsi="Arial"/>
          <w:sz w:val="22"/>
          <w:szCs w:val="22"/>
        </w:rPr>
        <w:t xml:space="preserve">The Home Credit Default Risk dataset (https://www.kaggle.com/competitions/home-credit-default-risk) will serve as a validation and enrichment source. With 350,000 loan applications containing bureau history, installment payment sequences, and income verification flags, it provides complementary bureau-signal features not available in LendingClub. Specifically, it will be used to:</w:t>
      </w:r>
    </w:p>
    <w:p>
      <w:pPr>
        <w:pStyle w:val="ListParagraph"/>
        <w:numPr>
          <w:ilvl w:val="0"/>
          <w:numId w:val="2"/>
        </w:numPr>
        <w:spacing w:before="60" w:after="60"/>
      </w:pPr>
      <w:r>
        <w:rPr>
          <w:rFonts w:ascii="Arial" w:cs="Arial" w:eastAsia="Arial" w:hAnsi="Arial"/>
          <w:sz w:val="22"/>
          <w:szCs w:val="22"/>
        </w:rPr>
        <w:t xml:space="preserve">Cross-validate the credit risk feature relationships identified in the LendingClub model against a structurally different lending population</w:t>
      </w:r>
    </w:p>
    <w:p>
      <w:pPr>
        <w:pStyle w:val="ListParagraph"/>
        <w:numPr>
          <w:ilvl w:val="0"/>
          <w:numId w:val="2"/>
        </w:numPr>
        <w:spacing w:before="60" w:after="60"/>
      </w:pPr>
      <w:r>
        <w:rPr>
          <w:rFonts w:ascii="Arial" w:cs="Arial" w:eastAsia="Arial" w:hAnsi="Arial"/>
          <w:sz w:val="22"/>
          <w:szCs w:val="22"/>
        </w:rPr>
        <w:t xml:space="preserve">Explore whether bureau-derived installment payment pattern features improve the savings prediction model when merged to LendingClub records via feature alignment</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2.3 Data Schema: Key Fields and Roles</w:t>
      </w:r>
    </w:p>
    <w:p>
      <w:pPr>
        <w:spacing w:before="80" w:after="100"/>
        <w:jc w:val="both"/>
      </w:pPr>
      <w:r>
        <w:rPr>
          <w:rFonts w:ascii="Arial" w:cs="Arial" w:eastAsia="Arial" w:hAnsi="Arial"/>
          <w:sz w:val="22"/>
          <w:szCs w:val="22"/>
        </w:rPr>
        <w:t xml:space="preserve">The following table documents the confirmed fields from the LendingClub dataset that will be used in the pipeline, their data types, and their roles across model layers: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Field Name</w:t>
            </w:r>
          </w:p>
        </w:tc>
        <w:tc>
          <w:tcPr>
            <w:tcW w:type="dxa" w:w="1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Data Type</w:t>
            </w:r>
          </w:p>
        </w:tc>
        <w:tc>
          <w:tcPr>
            <w:tcW w:type="dxa" w:w="3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Description</w:t>
            </w:r>
          </w:p>
        </w:tc>
        <w:tc>
          <w:tcPr>
            <w:tcW w:type="dxa" w:w="33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Pipeline Role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loan_amnt</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Requested loan amount (USD)</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 Savings model feature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int_rate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Loan interest rate (%)</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Current rate; savings delta target baseline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grade / sub_grade</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Ordinal</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Lender-assigned credit grade (A1-G5)</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feature; rate bucket proxy</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dti</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Debt-to-income ratio</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Primary underwriting signal — both models</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annual_inc</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Self-reported annual income</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 savings feature; fairness audit axis</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emp_length</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Ordinal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Employment tenure (&lt; 1yr to 10+ yrs)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Stability feature; nonlinear encoding</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home_ownership</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Nominal</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RENT / OWN / MORTGAGE</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feature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purpose</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Nominal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Loan purpose (credit_card, debt_consolidation, personal, etc.)</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CRITICAL: cohort segmentation label (CC-to-PL vs PL refi)</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revol_bal</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Revolving balance outstanding</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CC-to-PL feature; credit utilization numerator</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revol_util</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Revolving line utilization rate (%)</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Credit utilization rate — key CC candidate signal</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fico_range_low/high</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FICO score range at origination</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Credit quality proxy; rate prediction feature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open_acc</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Integer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Number of open credit lines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Credit breadth signal</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delinq_2yrs</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Integer</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Delinquencies in past 2 years</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Payment history — strong default predictor</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pub_rec</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Integer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Public derogatory records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feature</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installment</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Monthly payment owed on the loan</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Current EMI — savings delta computation</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term</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Ordinal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Loan term: 36 or 60 months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Tenure feature; EMI formula input</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loan_status</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Nominal</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Fully Paid / Charged Off / Current / Default / Late</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TARGET — risk classification label (binary: default vs paid)</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issue_d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Loan origination month/year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Vintage indicator engineering; temporal train/test split</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last_pymnt_d</w:t>
            </w:r>
          </w:p>
        </w:tc>
        <w:tc>
          <w:tcPr>
            <w:tcW w:type="dxa" w:w="10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Date</w:t>
            </w:r>
          </w:p>
        </w:tc>
        <w:tc>
          <w:tcPr>
            <w:tcW w:type="dxa" w:w="3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Date of last payment</w:t>
            </w:r>
          </w:p>
        </w:tc>
        <w:tc>
          <w:tcPr>
            <w:tcW w:type="dxa" w:w="3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Payment recency feature; drift monitoring temporal anchor</w:t>
            </w:r>
          </w:p>
        </w:tc>
      </w:tr>
      <w:tr>
        <w:trPr>
          <w:tblHeader w:val="false"/>
        </w:trPr>
        <w:tc>
          <w:tcPr>
            <w:tcW w:type="dxa" w:w="1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total_pymnt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Float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Total amount paid to date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Repayment progress; remaining principal estimation</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2.4 Train / Validation / Test Split Strategy</w:t>
      </w:r>
    </w:p>
    <w:p>
      <w:pPr>
        <w:spacing w:before="80" w:after="100"/>
        <w:jc w:val="both"/>
      </w:pPr>
      <w:r>
        <w:rPr>
          <w:rFonts w:ascii="Arial" w:cs="Arial" w:eastAsia="Arial" w:hAnsi="Arial"/>
          <w:sz w:val="22"/>
          <w:szCs w:val="22"/>
        </w:rPr>
        <w:t xml:space="preserve">A temporal split strategy will be used rather than random splitting, to simulate real-world deployment conditions and avoid data leakage:</w:t>
      </w:r>
    </w:p>
    <w:p>
      <w:pPr>
        <w:pStyle w:val="ListParagraph"/>
        <w:numPr>
          <w:ilvl w:val="0"/>
          <w:numId w:val="2"/>
        </w:numPr>
        <w:spacing w:before="60" w:after="60"/>
      </w:pPr>
      <w:r>
        <w:rPr>
          <w:rFonts w:ascii="Arial" w:cs="Arial" w:eastAsia="Arial" w:hAnsi="Arial"/>
          <w:b/>
          <w:bCs/>
          <w:sz w:val="22"/>
          <w:szCs w:val="22"/>
        </w:rPr>
        <w:t xml:space="preserve">Training set: </w:t>
      </w:r>
      <w:r>
        <w:rPr>
          <w:rFonts w:ascii="Arial" w:cs="Arial" w:eastAsia="Arial" w:hAnsi="Arial"/>
          <w:sz w:val="22"/>
          <w:szCs w:val="22"/>
        </w:rPr>
        <w:t xml:space="preserve">Loans issued 2007-2015 (approximately 70% of records)</w:t>
      </w:r>
    </w:p>
    <w:p>
      <w:pPr>
        <w:pStyle w:val="ListParagraph"/>
        <w:numPr>
          <w:ilvl w:val="0"/>
          <w:numId w:val="2"/>
        </w:numPr>
        <w:spacing w:before="60" w:after="60"/>
      </w:pPr>
      <w:r>
        <w:rPr>
          <w:rFonts w:ascii="Arial" w:cs="Arial" w:eastAsia="Arial" w:hAnsi="Arial"/>
          <w:b/>
          <w:bCs/>
          <w:sz w:val="22"/>
          <w:szCs w:val="22"/>
        </w:rPr>
        <w:t xml:space="preserve">Validation set: </w:t>
      </w:r>
      <w:r>
        <w:rPr>
          <w:rFonts w:ascii="Arial" w:cs="Arial" w:eastAsia="Arial" w:hAnsi="Arial"/>
          <w:sz w:val="22"/>
          <w:szCs w:val="22"/>
        </w:rPr>
        <w:t xml:space="preserve">Loans issued 2016-2017 (approximately 15% of records) — used for hyperparameter optimization and threshold calibration</w:t>
      </w:r>
    </w:p>
    <w:p>
      <w:pPr>
        <w:pStyle w:val="ListParagraph"/>
        <w:numPr>
          <w:ilvl w:val="0"/>
          <w:numId w:val="2"/>
        </w:numPr>
        <w:spacing w:before="60" w:after="60"/>
      </w:pPr>
      <w:r>
        <w:rPr>
          <w:rFonts w:ascii="Arial" w:cs="Arial" w:eastAsia="Arial" w:hAnsi="Arial"/>
          <w:b/>
          <w:bCs/>
          <w:sz w:val="22"/>
          <w:szCs w:val="22"/>
        </w:rPr>
        <w:t xml:space="preserve">Test set: </w:t>
      </w:r>
      <w:r>
        <w:rPr>
          <w:rFonts w:ascii="Arial" w:cs="Arial" w:eastAsia="Arial" w:hAnsi="Arial"/>
          <w:sz w:val="22"/>
          <w:szCs w:val="22"/>
        </w:rPr>
        <w:t xml:space="preserve">Loans issued 2018 (approximately 15% of records) — held out entirely until final model evaluation, never used for any tuning decision</w:t>
      </w:r>
    </w:p>
    <w:p>
      <w:pPr>
        <w:pStyle w:val="ListParagraph"/>
        <w:numPr>
          <w:ilvl w:val="0"/>
          <w:numId w:val="2"/>
        </w:numPr>
        <w:spacing w:before="60" w:after="60"/>
      </w:pPr>
      <w:r>
        <w:rPr>
          <w:rFonts w:ascii="Arial" w:cs="Arial" w:eastAsia="Arial" w:hAnsi="Arial"/>
          <w:b/>
          <w:bCs/>
          <w:sz w:val="22"/>
          <w:szCs w:val="22"/>
        </w:rPr>
        <w:t xml:space="preserve">PSI benchmark: </w:t>
      </w:r>
      <w:r>
        <w:rPr>
          <w:rFonts w:ascii="Arial" w:cs="Arial" w:eastAsia="Arial" w:hAnsi="Arial"/>
          <w:sz w:val="22"/>
          <w:szCs w:val="22"/>
        </w:rPr>
        <w:t xml:space="preserve">The Population Stability Index will be computed between the training and test set score distributions to simulate production drift monitoring</w:t>
      </w:r>
    </w:p>
    <w:p>
      <w:pPr>
        <w:spacing w:before="0" w:after="0"/>
      </w:pPr>
      <w:r>
        <w:rPr>
          <w:sz w:val="22"/>
          <w:szCs w:val="22"/>
        </w:rPr>
        <w:t xml:space="preserve"/>
      </w:r>
    </w:p>
    <w:p>
      <w:pPr>
        <w:spacing w:before="80" w:after="100"/>
        <w:jc w:val="both"/>
      </w:pPr>
      <w:r>
        <w:rPr>
          <w:rFonts w:ascii="Arial" w:cs="Arial" w:eastAsia="Arial" w:hAnsi="Arial"/>
          <w:sz w:val="22"/>
          <w:szCs w:val="22"/>
        </w:rPr>
        <w:t xml:space="preserve">Cohort-level filtering will be applied after splitting: the CC-to-PL cohort retains records with purpose = 'credit_card' and revol_util &gt; 30%; the PL refinancing cohort retains purpose in ('debt_consolidation', 'personal') with issue_d at least 18 months before the scoring date. This filtering is applied independently within each temporal split to prevent leakage.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2.5 Engineered Features</w:t>
      </w:r>
    </w:p>
    <w:p>
      <w:pPr>
        <w:spacing w:before="80" w:after="100"/>
        <w:jc w:val="both"/>
      </w:pPr>
      <w:r>
        <w:rPr>
          <w:rFonts w:ascii="Arial" w:cs="Arial" w:eastAsia="Arial" w:hAnsi="Arial"/>
          <w:sz w:val="22"/>
          <w:szCs w:val="22"/>
        </w:rPr>
        <w:t xml:space="preserve">The following features will be computed from raw fields. All engineering operations will be documented in the Jupyter notebook with explicit derivation cells, reproducible outputs, and unit tests for edge cases (e.g., zero-division guards on utilization ratios):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500"/>
        <w:gridCol w:w="32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Engineered Feature</w:t>
            </w:r>
          </w:p>
        </w:tc>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Formula / Derivation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Model Layer</w:t>
            </w:r>
          </w:p>
        </w:tc>
        <w:tc>
          <w:tcPr>
            <w:tcW w:type="dxa" w:w="32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Rationale</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Credit Utilization Rate</w:t>
            </w:r>
          </w:p>
        </w:tc>
        <w:tc>
          <w:tcPr>
            <w:tcW w:type="dxa" w:w="2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revol_bal / (revol_bal / revol_util * 100)</w:t>
            </w:r>
          </w:p>
        </w:tc>
        <w:tc>
          <w:tcPr>
            <w:tcW w:type="dxa" w:w="15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 Savings</w:t>
            </w:r>
          </w:p>
        </w:tc>
        <w:tc>
          <w:tcPr>
            <w:tcW w:type="dxa" w:w="32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Declining utilization = CC-to-PL eligibility signal</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Savings Delta ($/month)</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Current installment - Projected new EMI at predicted rate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Savings Layer</w:t>
            </w:r>
          </w:p>
        </w:tc>
        <w:tc>
          <w:tcPr>
            <w:tcW w:type="dxa" w:w="3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Primary business output — monthly cash flow improvement</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Rate Improvement Headroom</w:t>
            </w:r>
          </w:p>
        </w:tc>
        <w:tc>
          <w:tcPr>
            <w:tcW w:type="dxa" w:w="2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int_rate - predicted_new_rate</w:t>
            </w:r>
          </w:p>
        </w:tc>
        <w:tc>
          <w:tcPr>
            <w:tcW w:type="dxa" w:w="15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Savings Layer</w:t>
            </w:r>
          </w:p>
        </w:tc>
        <w:tc>
          <w:tcPr>
            <w:tcW w:type="dxa" w:w="32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Raw economic opportunity before tenure adjustment</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12-Month Savings (₹)</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Savings Delta x 12</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Recommendation</w:t>
            </w:r>
          </w:p>
        </w:tc>
        <w:tc>
          <w:tcPr>
            <w:tcW w:type="dxa" w:w="3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Annualized user-facing value proposition metric</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Risk-Adjusted Savings Score</w:t>
            </w:r>
          </w:p>
        </w:tc>
        <w:tc>
          <w:tcPr>
            <w:tcW w:type="dxa" w:w="2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Savings Delta x (1 - PD_score)</w:t>
            </w:r>
          </w:p>
        </w:tc>
        <w:tc>
          <w:tcPr>
            <w:tcW w:type="dxa" w:w="15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Recommendation</w:t>
            </w:r>
          </w:p>
        </w:tc>
        <w:tc>
          <w:tcPr>
            <w:tcW w:type="dxa" w:w="32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Penalizes high-risk borrowers; prevents adverse selection</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Vintage (months)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(scoring_date - issue_d).days / 30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model</w:t>
            </w:r>
          </w:p>
        </w:tc>
        <w:tc>
          <w:tcPr>
            <w:tcW w:type="dxa" w:w="3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Loan seasoning effect on credit quality trajectory</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Payment Velocity</w:t>
            </w:r>
          </w:p>
        </w:tc>
        <w:tc>
          <w:tcPr>
            <w:tcW w:type="dxa" w:w="2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total_pymnt / (installment x loan_age_months)</w:t>
            </w:r>
          </w:p>
        </w:tc>
        <w:tc>
          <w:tcPr>
            <w:tcW w:type="dxa" w:w="15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model</w:t>
            </w:r>
          </w:p>
        </w:tc>
        <w:tc>
          <w:tcPr>
            <w:tcW w:type="dxa" w:w="32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Repayment pace vs. scheduled — leading default predictor</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Emp Stability Score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Nonlinear ordinal: &lt;1yr=0, 1-3=1, 3-5=2, 5-10=3, 10+=4</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Risk model</w:t>
            </w:r>
          </w:p>
        </w:tc>
        <w:tc>
          <w:tcPr>
            <w:tcW w:type="dxa" w:w="3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Reflects lender-typical employment risk thresholds</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DTI (verified)</w:t>
            </w:r>
          </w:p>
        </w:tc>
        <w:tc>
          <w:tcPr>
            <w:tcW w:type="dxa" w:w="2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dti field (raw) + flag if income verified</w:t>
            </w:r>
          </w:p>
        </w:tc>
        <w:tc>
          <w:tcPr>
            <w:tcW w:type="dxa" w:w="15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Both models</w:t>
            </w:r>
          </w:p>
        </w:tc>
        <w:tc>
          <w:tcPr>
            <w:tcW w:type="dxa" w:w="32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Verified income DTI vs self-reported treated separately</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PSI Monitor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sum((act%-exp%) x ln(act%/exp%)) per score decile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Governance layer</w:t>
            </w:r>
          </w:p>
        </w:tc>
        <w:tc>
          <w:tcPr>
            <w:tcW w:type="dxa" w:w="3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Detects training-to-scoring population distribution drift</w:t>
            </w:r>
          </w:p>
        </w:tc>
      </w:tr>
    </w:tbl>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3. Expected Results</w:t>
      </w:r>
    </w:p>
    <w:p>
      <w:pPr>
        <w:spacing w:before="80" w:after="100"/>
        <w:jc w:val="both"/>
      </w:pPr>
      <w:r>
        <w:rPr>
          <w:rFonts w:ascii="Arial" w:cs="Arial" w:eastAsia="Arial" w:hAnsi="Arial"/>
          <w:sz w:val="22"/>
          <w:szCs w:val="22"/>
        </w:rPr>
        <w:t xml:space="preserve">Expected results are framed at two levels: quantitative model benchmarks grounded in published credit risk ML literature, and business-impact metrics expressed in borrower-facing terms. Both are required for a credible formal proposal — the first demonstrates technical rigor, the second demonstrates domain judgment.</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3.1 Quantitative Benchmarks and Business Impact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60"/>
        <w:gridCol w:w="43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Model / Output</w:t>
            </w:r>
          </w:p>
        </w:tc>
        <w:tc>
          <w:tcPr>
            <w:tcW w:type="dxa" w:w="1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Metric</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center"/>
            </w:pPr>
            <w:r>
              <w:rPr>
                <w:rFonts w:ascii="Arial" w:cs="Arial" w:eastAsia="Arial" w:hAnsi="Arial"/>
                <w:b/>
                <w:bCs/>
                <w:color w:val="FFFFFF"/>
                <w:sz w:val="18"/>
                <w:szCs w:val="18"/>
              </w:rPr>
              <w:t xml:space="preserve">Expected Target</w:t>
            </w:r>
          </w:p>
        </w:tc>
        <w:tc>
          <w:tcPr>
            <w:tcW w:type="dxa" w:w="43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Business Interpretation</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Credit Risk Model
(XGBoost Champion)</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ROC-AUC</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0.85</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Strong discrimination between defaulters and repayers across all score thresholds</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Credit Risk Model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KS Statistic</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40</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Top 3 deciles capture &gt; 60% of all defaults — effective risk stratification</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Credit Risk Model</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Gini Coeff.</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0.70</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Model ranks borrowers better than 70% of random ordering — industry-grade scorecard</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Credit Risk Model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Brier Score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&lt; 0.12</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Calibrated probabilities reliable enough to use as pricing inputs</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Champion vs Challenger</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KS Delta</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&lt; 3 points</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If XGBoost and LightGBM are within 3 KS points, selection is governed by inference speed</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Rate Prediction
(XGBoost Regressor)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RMSE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&lt; 1.5%</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Predicted new rate within 1.5 percentage points of actual — savings estimate credible</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Rate Prediction</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R-Squared</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0.80</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Model explains &gt; 80% of rate variance across borrower profiles</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Savings Estimation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Median savings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Rs 2,500/mo</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Median eligible borrower saves &gt; Rs 2,500/month — materially meaningful refinancing benefit</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Borrower Segmentation</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Silhouette Score</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0.35</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Clusters are meaningfully distinct — personas are actionable, not artificial</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Recommendation Precision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Precision @
StrongRecommend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85%</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Of borrowers flagged 'Strong Recommend', &gt; 85% have positive savings AND PD &lt; threshold</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Fairness Audit</w:t>
            </w:r>
          </w:p>
        </w:tc>
        <w:tc>
          <w:tcPr>
            <w:tcW w:type="dxa" w:w="16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Disparate Impact Ratio</w:t>
            </w:r>
          </w:p>
        </w:tc>
        <w:tc>
          <w:tcPr>
            <w:tcW w:type="dxa" w:w="15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&gt; 0.80</w:t>
            </w:r>
          </w:p>
        </w:tc>
        <w:tc>
          <w:tcPr>
            <w:tcW w:type="dxa" w:w="43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Approval rate for bottom income quartile is at least 80% of that for top quartile</w:t>
            </w:r>
          </w:p>
        </w:tc>
      </w:tr>
      <w:tr>
        <w:trPr>
          <w:tblHeader w:val="false"/>
        </w:trPr>
        <w:tc>
          <w:tcPr>
            <w:tcW w:type="dxa" w:w="19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Streamlit Inference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Latency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color w:val="222222"/>
                <w:sz w:val="18"/>
                <w:szCs w:val="18"/>
              </w:rPr>
              <w:t xml:space="preserve">&lt; 2 seconds</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Real-time user experience — recommendation + SHAP explanation delivered within 2 seconds</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3.2 Benchmark Rationale</w:t>
      </w:r>
    </w:p>
    <w:p>
      <w:pPr>
        <w:spacing w:before="80" w:after="100"/>
        <w:jc w:val="both"/>
      </w:pPr>
      <w:r>
        <w:rPr>
          <w:rFonts w:ascii="Arial" w:cs="Arial" w:eastAsia="Arial" w:hAnsi="Arial"/>
          <w:sz w:val="22"/>
          <w:szCs w:val="22"/>
        </w:rPr>
        <w:t xml:space="preserve">The model performance targets above are grounded in published literature and industry practice:</w:t>
      </w:r>
    </w:p>
    <w:p>
      <w:pPr>
        <w:pStyle w:val="ListParagraph"/>
        <w:numPr>
          <w:ilvl w:val="0"/>
          <w:numId w:val="2"/>
        </w:numPr>
        <w:spacing w:before="60" w:after="60"/>
      </w:pPr>
      <w:r>
        <w:rPr>
          <w:rFonts w:ascii="Arial" w:cs="Arial" w:eastAsia="Arial" w:hAnsi="Arial"/>
          <w:b/>
          <w:bCs/>
          <w:sz w:val="22"/>
          <w:szCs w:val="22"/>
        </w:rPr>
        <w:t xml:space="preserve">ROC-AUC &gt; 0.85: </w:t>
      </w:r>
      <w:r>
        <w:rPr>
          <w:rFonts w:ascii="Arial" w:cs="Arial" w:eastAsia="Arial" w:hAnsi="Arial"/>
          <w:sz w:val="22"/>
          <w:szCs w:val="22"/>
        </w:rPr>
        <w:t xml:space="preserve">Published credit scoring literature (e.g., Thomas et al., 2002; Lessmann et al., 2015) consistently reports AUC in the 0.80-0.92 range for models trained on LendingClub-class data. A target of 0.85 is achievable with XGBoost on engineered features while leaving room for the calibration and fairness analysis steps.</w:t>
      </w:r>
    </w:p>
    <w:p>
      <w:pPr>
        <w:pStyle w:val="ListParagraph"/>
        <w:numPr>
          <w:ilvl w:val="0"/>
          <w:numId w:val="2"/>
        </w:numPr>
        <w:spacing w:before="60" w:after="60"/>
      </w:pPr>
      <w:r>
        <w:rPr>
          <w:rFonts w:ascii="Arial" w:cs="Arial" w:eastAsia="Arial" w:hAnsi="Arial"/>
          <w:b/>
          <w:bCs/>
          <w:sz w:val="22"/>
          <w:szCs w:val="22"/>
        </w:rPr>
        <w:t xml:space="preserve">KS Statistic &gt; 40: </w:t>
      </w:r>
      <w:r>
        <w:rPr>
          <w:rFonts w:ascii="Arial" w:cs="Arial" w:eastAsia="Arial" w:hAnsi="Arial"/>
          <w:sz w:val="22"/>
          <w:szCs w:val="22"/>
        </w:rPr>
        <w:t xml:space="preserve">A KS of 40 is the standard minimum threshold for a 'good' retail credit scorecard in industry practice. KS below 30 is generally considered insufficient for live deployment in a lending decisioning context.</w:t>
      </w:r>
    </w:p>
    <w:p>
      <w:pPr>
        <w:pStyle w:val="ListParagraph"/>
        <w:numPr>
          <w:ilvl w:val="0"/>
          <w:numId w:val="2"/>
        </w:numPr>
        <w:spacing w:before="60" w:after="60"/>
      </w:pPr>
      <w:r>
        <w:rPr>
          <w:rFonts w:ascii="Arial" w:cs="Arial" w:eastAsia="Arial" w:hAnsi="Arial"/>
          <w:b/>
          <w:bCs/>
          <w:sz w:val="22"/>
          <w:szCs w:val="22"/>
        </w:rPr>
        <w:t xml:space="preserve">Rate RMSE &lt; 1.5%: </w:t>
      </w:r>
      <w:r>
        <w:rPr>
          <w:rFonts w:ascii="Arial" w:cs="Arial" w:eastAsia="Arial" w:hAnsi="Arial"/>
          <w:sz w:val="22"/>
          <w:szCs w:val="22"/>
        </w:rPr>
        <w:t xml:space="preserve">At a median loan interest rate of approximately 13.5% in the LendingClub dataset, an RMSE of 1.5% represents an error of roughly one credit grade band (e.g., B3 vs B4). Within this tolerance, savings estimates remain financially meaningful to borrowers.</w:t>
      </w:r>
    </w:p>
    <w:p>
      <w:pPr>
        <w:pStyle w:val="ListParagraph"/>
        <w:numPr>
          <w:ilvl w:val="0"/>
          <w:numId w:val="2"/>
        </w:numPr>
        <w:spacing w:before="60" w:after="60"/>
      </w:pPr>
      <w:r>
        <w:rPr>
          <w:rFonts w:ascii="Arial" w:cs="Arial" w:eastAsia="Arial" w:hAnsi="Arial"/>
          <w:b/>
          <w:bCs/>
          <w:sz w:val="22"/>
          <w:szCs w:val="22"/>
        </w:rPr>
        <w:t xml:space="preserve">Savings &gt; Rs 2,500/month: </w:t>
      </w:r>
      <w:r>
        <w:rPr>
          <w:rFonts w:ascii="Arial" w:cs="Arial" w:eastAsia="Arial" w:hAnsi="Arial"/>
          <w:sz w:val="22"/>
          <w:szCs w:val="22"/>
        </w:rPr>
        <w:t xml:space="preserve">Based on back-of-envelope computation: a Rs 3 lakh CC balance at 38% effective rate carries an approximate EMI-equivalent cost of Rs 9,500/month; at a predicted new PL rate of 14%, the new EMI on a 36-month term is approximately Rs 10,250 -- but the revolving liability is replaced with a fixed amortizing one, yielding effective monthly obligation savings of Rs 3,000-5,000 depending on current minimum payment behavior. Rs 2,500 is a conservative floor.</w:t>
      </w:r>
    </w:p>
    <w:p>
      <w:pPr>
        <w:pStyle w:val="ListParagraph"/>
        <w:numPr>
          <w:ilvl w:val="0"/>
          <w:numId w:val="2"/>
        </w:numPr>
        <w:spacing w:before="60" w:after="60"/>
      </w:pPr>
      <w:r>
        <w:rPr>
          <w:rFonts w:ascii="Arial" w:cs="Arial" w:eastAsia="Arial" w:hAnsi="Arial"/>
          <w:b/>
          <w:bCs/>
          <w:sz w:val="22"/>
          <w:szCs w:val="22"/>
        </w:rPr>
        <w:t xml:space="preserve">Disparate Impact Ratio &gt; 0.80: </w:t>
      </w:r>
      <w:r>
        <w:rPr>
          <w:rFonts w:ascii="Arial" w:cs="Arial" w:eastAsia="Arial" w:hAnsi="Arial"/>
          <w:sz w:val="22"/>
          <w:szCs w:val="22"/>
        </w:rPr>
        <w:t xml:space="preserve">The 80% rule (four-fifths rule) is the standard threshold used by the US Equal Credit Opportunity Act and is the most widely adopted fairness criterion in credit AI literature. Using it here positions the project as compliance-aware.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3.3 Secondary Expected Findings</w:t>
      </w:r>
    </w:p>
    <w:p>
      <w:pPr>
        <w:spacing w:before="80" w:after="100"/>
        <w:jc w:val="both"/>
      </w:pPr>
      <w:r>
        <w:rPr>
          <w:rFonts w:ascii="Arial" w:cs="Arial" w:eastAsia="Arial" w:hAnsi="Arial"/>
          <w:sz w:val="22"/>
          <w:szCs w:val="22"/>
        </w:rPr>
        <w:t xml:space="preserve">Beyond primary model benchmarks, the following secondary findings are anticipated based on domain knowledge and LendingClub dataset characteristics:</w:t>
      </w:r>
    </w:p>
    <w:p>
      <w:pPr>
        <w:pStyle w:val="ListParagraph"/>
        <w:numPr>
          <w:ilvl w:val="0"/>
          <w:numId w:val="2"/>
        </w:numPr>
        <w:spacing w:before="60" w:after="60"/>
      </w:pPr>
      <w:r>
        <w:rPr>
          <w:rFonts w:ascii="Arial" w:cs="Arial" w:eastAsia="Arial" w:hAnsi="Arial"/>
          <w:b/>
          <w:bCs/>
          <w:sz w:val="22"/>
          <w:szCs w:val="22"/>
        </w:rPr>
        <w:t xml:space="preserve">Separate models will outperform unified: </w:t>
      </w:r>
      <w:r>
        <w:rPr>
          <w:rFonts w:ascii="Arial" w:cs="Arial" w:eastAsia="Arial" w:hAnsi="Arial"/>
          <w:sz w:val="22"/>
          <w:szCs w:val="22"/>
        </w:rPr>
        <w:t xml:space="preserve">CC-to-PL and PL refinancing borrowers have structurally different risk profiles and rate surfaces. Separate XGBoost models per pathway are expected to outperform a unified model with a loan-type flag by 2-4 KS points.</w:t>
      </w:r>
    </w:p>
    <w:p>
      <w:pPr>
        <w:pStyle w:val="ListParagraph"/>
        <w:numPr>
          <w:ilvl w:val="0"/>
          <w:numId w:val="2"/>
        </w:numPr>
        <w:spacing w:before="60" w:after="60"/>
      </w:pPr>
      <w:r>
        <w:rPr>
          <w:rFonts w:ascii="Arial" w:cs="Arial" w:eastAsia="Arial" w:hAnsi="Arial"/>
          <w:b/>
          <w:bCs/>
          <w:sz w:val="22"/>
          <w:szCs w:val="22"/>
        </w:rPr>
        <w:t xml:space="preserve">Revol_util is the dominant CC-to-PL feature: </w:t>
      </w:r>
      <w:r>
        <w:rPr>
          <w:rFonts w:ascii="Arial" w:cs="Arial" w:eastAsia="Arial" w:hAnsi="Arial"/>
          <w:sz w:val="22"/>
          <w:szCs w:val="22"/>
        </w:rPr>
        <w:t xml:space="preserve">SHAP analysis is expected to identify revolving utilization rate as the single highest-impact feature for the CC-to-PL risk model, consistent with bureau scoring practice.</w:t>
      </w:r>
    </w:p>
    <w:p>
      <w:pPr>
        <w:pStyle w:val="ListParagraph"/>
        <w:numPr>
          <w:ilvl w:val="0"/>
          <w:numId w:val="2"/>
        </w:numPr>
        <w:spacing w:before="60" w:after="60"/>
      </w:pPr>
      <w:r>
        <w:rPr>
          <w:rFonts w:ascii="Arial" w:cs="Arial" w:eastAsia="Arial" w:hAnsi="Arial"/>
          <w:b/>
          <w:bCs/>
          <w:sz w:val="22"/>
          <w:szCs w:val="22"/>
        </w:rPr>
        <w:t xml:space="preserve">Vintage x payment history interaction: </w:t>
      </w:r>
      <w:r>
        <w:rPr>
          <w:rFonts w:ascii="Arial" w:cs="Arial" w:eastAsia="Arial" w:hAnsi="Arial"/>
          <w:sz w:val="22"/>
          <w:szCs w:val="22"/>
        </w:rPr>
        <w:t xml:space="preserve">SHAP interaction effects are expected to surface a positive interaction between loan age (vintage) and clean payment record — the longer the clean track record, the more aggressively rates can be reduced.</w:t>
      </w:r>
    </w:p>
    <w:p>
      <w:pPr>
        <w:pStyle w:val="ListParagraph"/>
        <w:numPr>
          <w:ilvl w:val="0"/>
          <w:numId w:val="2"/>
        </w:numPr>
        <w:spacing w:before="60" w:after="60"/>
      </w:pPr>
      <w:r>
        <w:rPr>
          <w:rFonts w:ascii="Arial" w:cs="Arial" w:eastAsia="Arial" w:hAnsi="Arial"/>
          <w:b/>
          <w:bCs/>
          <w:sz w:val="22"/>
          <w:szCs w:val="22"/>
        </w:rPr>
        <w:t xml:space="preserve">Four stable personas will emerge: </w:t>
      </w:r>
      <w:r>
        <w:rPr>
          <w:rFonts w:ascii="Arial" w:cs="Arial" w:eastAsia="Arial" w:hAnsi="Arial"/>
          <w:sz w:val="22"/>
          <w:szCs w:val="22"/>
        </w:rPr>
        <w:t xml:space="preserve">K-Means clustering with k=4 is expected to produce interpretable cohorts roughly corresponding to: (1) High-Savings Quick-Win, (2) Credit-Building Candidate, (3) Marginal Benefit, (4) High-Risk Hold.</w:t>
      </w:r>
    </w:p>
    <w:p>
      <w:pPr>
        <w:pStyle w:val="ListParagraph"/>
        <w:numPr>
          <w:ilvl w:val="0"/>
          <w:numId w:val="2"/>
        </w:numPr>
        <w:spacing w:before="60" w:after="60"/>
      </w:pPr>
      <w:r>
        <w:rPr>
          <w:rFonts w:ascii="Arial" w:cs="Arial" w:eastAsia="Arial" w:hAnsi="Arial"/>
          <w:b/>
          <w:bCs/>
          <w:sz w:val="22"/>
          <w:szCs w:val="22"/>
        </w:rPr>
        <w:t xml:space="preserve">Income group disparity will be detectable but correctable: </w:t>
      </w:r>
      <w:r>
        <w:rPr>
          <w:rFonts w:ascii="Arial" w:cs="Arial" w:eastAsia="Arial" w:hAnsi="Arial"/>
          <w:sz w:val="22"/>
          <w:szCs w:val="22"/>
        </w:rPr>
        <w:t xml:space="preserve">Disparate impact analysis is expected to reveal lower approval rates in the bottom income quartile, addressable by threshold adjustment without material KS degradation.</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4. Expected Techniques</w:t>
      </w:r>
    </w:p>
    <w:p>
      <w:pPr>
        <w:spacing w:before="80" w:after="100"/>
        <w:jc w:val="both"/>
      </w:pPr>
      <w:r>
        <w:rPr>
          <w:rFonts w:ascii="Arial" w:cs="Arial" w:eastAsia="Arial" w:hAnsi="Arial"/>
          <w:sz w:val="22"/>
          <w:szCs w:val="22"/>
        </w:rPr>
        <w:t xml:space="preserve">The following table provides the complete, finalized technique inventory for this project. Every technique listed will be implemented, evaluated, and documented in the Jupyter notebook. Techniques are organized by pipeline layer to reflect the system architecture.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Technique / Tool</w:t>
            </w:r>
          </w:p>
        </w:tc>
        <w:tc>
          <w:tcPr>
            <w:tcW w:type="dxa" w:w="17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Category</w:t>
            </w:r>
          </w:p>
        </w:tc>
        <w:tc>
          <w:tcPr>
            <w:tcW w:type="dxa" w:w="5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Specific Use in This Project</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Logistic Regression (L2)</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Classification</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Baseline credit risk model; interpretable coefficient analysis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Random Forest</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Classification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Intermediate model; feature importance ranking; SMOTE comparison</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XGBoost Classifier</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Classification</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Champion credit risk model; Optuna HPO; Platt scaling calibration</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LightGBM Classifier</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Classification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Challenger model; champion-challenger governance via MLflow</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SMOTE + Class Weighting</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Imbalance Handling</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Address 14-18% default minority class; compare strategies by KS improvement</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Optuna (Bayesian HPO)</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Hyperparameter Optimization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200-trial Bayesian search with stratified 5-fold CV objective for XGBoost and LightGBM</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Platt Scaling / Isotonic Reg.</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Probability Calibration</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Align predicted PD to observed default frequency; select by Brier score</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Ridge Regression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Regression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Baseline interest rate prediction model</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XGBoost Regressor</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Supervised — Regression</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Champion rate prediction model per loan type cohort</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Monte Carlo Bootstrap</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Uncertainty Quantification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1,000 bootstrap samples through EMI formula for 90% CI on savings estimates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K-Means Clustering</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Unsupervised</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Borrower persona segmentation; k selection via elbow + silhouette</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DBSCAN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Unsupervised</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Noise-robust alternative to K-Means for outlier-heavy borrower population</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SHAP (Tree Explainer)</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Explainable AI</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Global summary + per-borrower waterfall; interaction effects between risk features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LIME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Explainable AI</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Local linear approximations for borderline recommendation cases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Disparate Impact Analysis</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Fairness / Responsible AI</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Approval rate comparison across income deciles; SHAP interaction decomposition</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Population Stability Index (PSI)</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Model Governance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Training vs temporal holdout distribution comparison; drift detection stub</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MLflow</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MLOps / Experiment Tracking</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Log hyperparameters, metrics, model artifacts; champion-challenger registry</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Streamlit + HF Spaces</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Application / Deployment</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5-tab interactive app: recommendation, SHAP panel, persona view, model card</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Pandas / NumPy / Scikit-learn</w:t>
            </w:r>
          </w:p>
        </w:tc>
        <w:tc>
          <w:tcPr>
            <w:tcW w:type="dxa" w:w="17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Core ML Stack</w:t>
            </w:r>
          </w:p>
        </w:tc>
        <w:tc>
          <w:tcPr>
            <w:tcW w:type="dxa" w:w="52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Data wrangling, preprocessing, pipeline construction, model evaluation</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Plotly / Matplotlib / Seaborn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Visualization</w:t>
            </w:r>
          </w:p>
        </w:tc>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EDA charts, ROC/KS curves, SHAP plots, savings distribution visuals</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4.1 Architecture Overview</w:t>
      </w:r>
    </w:p>
    <w:p>
      <w:pPr>
        <w:spacing w:before="80" w:after="100"/>
        <w:jc w:val="both"/>
      </w:pPr>
      <w:r>
        <w:rPr>
          <w:rFonts w:ascii="Arial" w:cs="Arial" w:eastAsia="Arial" w:hAnsi="Arial"/>
          <w:sz w:val="22"/>
          <w:szCs w:val="22"/>
        </w:rPr>
        <w:t xml:space="preserve">The three-layer pipeline operates as follows, with each layer feeding the next: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360"/>
      </w:tblGrid>
      <w:tr>
        <w:tc>
          <w:tcPr>
            <w:tcW w:type="dxa" w:w="2200"/>
            <w:tcBorders>
              <w:top w:val="single" w:color="CCCCCC" w:sz="1"/>
              <w:left w:val="single" w:color="CCCCCC" w:sz="1"/>
              <w:bottom w:val="single" w:color="CCCCCC" w:sz="1"/>
              <w:right w:val="single" w:color="CCCCCC" w:sz="1"/>
            </w:tcBorders>
            <w:shd w:fill="1F3864" w:val="clear"/>
            <w:tcMar>
              <w:top w:type="dxa" w:w="120"/>
              <w:left w:type="dxa" w:w="140"/>
              <w:bottom w:type="dxa" w:w="120"/>
              <w:right w:type="dxa" w:w="140"/>
            </w:tcMar>
          </w:tcPr>
          <w:p>
            <w:pPr>
              <w:jc w:val="center"/>
            </w:pPr>
            <w:r>
              <w:rPr>
                <w:rFonts w:ascii="Arial" w:cs="Arial" w:eastAsia="Arial" w:hAnsi="Arial"/>
                <w:b/>
                <w:bCs/>
                <w:color w:val="C9A227"/>
                <w:sz w:val="19"/>
                <w:szCs w:val="19"/>
              </w:rPr>
              <w:t xml:space="preserve">LAYER 1</w:t>
            </w:r>
          </w:p>
          <w:p>
            <w:pPr>
              <w:jc w:val="center"/>
            </w:pPr>
            <w:r>
              <w:rPr>
                <w:rFonts w:ascii="Arial" w:cs="Arial" w:eastAsia="Arial" w:hAnsi="Arial"/>
                <w:b/>
                <w:bCs/>
                <w:color w:val="FFFFFF"/>
                <w:sz w:val="21"/>
                <w:szCs w:val="21"/>
              </w:rPr>
              <w:t xml:space="preserve">Credit Risk</w:t>
            </w:r>
          </w:p>
          <w:p>
            <w:pPr>
              <w:jc w:val="center"/>
            </w:pPr>
            <w:r>
              <w:rPr>
                <w:rFonts w:ascii="Arial" w:cs="Arial" w:eastAsia="Arial" w:hAnsi="Arial"/>
                <w:color w:val="D6E4F0"/>
                <w:sz w:val="18"/>
                <w:szCs w:val="18"/>
              </w:rPr>
              <w:t xml:space="preserve">XGBoost Classifier</w:t>
            </w:r>
          </w:p>
          <w:p>
            <w:pPr>
              <w:jc w:val="center"/>
            </w:pPr>
            <w:r>
              <w:rPr>
                <w:rFonts w:ascii="Arial" w:cs="Arial" w:eastAsia="Arial" w:hAnsi="Arial"/>
                <w:i/>
                <w:iCs/>
                <w:color w:val="CCCCCC"/>
                <w:sz w:val="17"/>
                <w:szCs w:val="17"/>
              </w:rPr>
              <w:t xml:space="preserve">Output: PD Score [0,1]</w:t>
            </w:r>
          </w:p>
        </w:tc>
        <w:tc>
          <w:tcPr>
            <w:tcW w:type="dxa" w:w="200"/>
            <w:tcBorders>
              <w:top w:val="none"/>
              <w:left w:val="none"/>
              <w:bottom w:val="none"/>
              <w:right w:val="none"/>
            </w:tcBorders>
            <w:vAlign w:val="center"/>
          </w:tcPr>
          <w:p>
            <w:pPr>
              <w:jc w:val="center"/>
            </w:pPr>
            <w:r>
              <w:rPr>
                <w:rFonts w:ascii="Arial" w:cs="Arial" w:eastAsia="Arial" w:hAnsi="Arial"/>
                <w:b/>
                <w:bCs/>
                <w:color w:val="2E75B6"/>
                <w:sz w:val="28"/>
                <w:szCs w:val="28"/>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120"/>
              <w:left w:type="dxa" w:w="140"/>
              <w:bottom w:type="dxa" w:w="120"/>
              <w:right w:type="dxa" w:w="140"/>
            </w:tcMar>
          </w:tcPr>
          <w:p>
            <w:pPr>
              <w:jc w:val="center"/>
            </w:pPr>
            <w:r>
              <w:rPr>
                <w:rFonts w:ascii="Arial" w:cs="Arial" w:eastAsia="Arial" w:hAnsi="Arial"/>
                <w:b/>
                <w:bCs/>
                <w:color w:val="C9A227"/>
                <w:sz w:val="19"/>
                <w:szCs w:val="19"/>
              </w:rPr>
              <w:t xml:space="preserve">LAYER 2</w:t>
            </w:r>
          </w:p>
          <w:p>
            <w:pPr>
              <w:jc w:val="center"/>
            </w:pPr>
            <w:r>
              <w:rPr>
                <w:rFonts w:ascii="Arial" w:cs="Arial" w:eastAsia="Arial" w:hAnsi="Arial"/>
                <w:b/>
                <w:bCs/>
                <w:color w:val="FFFFFF"/>
                <w:sz w:val="21"/>
                <w:szCs w:val="21"/>
              </w:rPr>
              <w:t xml:space="preserve">Savings Prediction</w:t>
            </w:r>
          </w:p>
          <w:p>
            <w:pPr>
              <w:jc w:val="center"/>
            </w:pPr>
            <w:r>
              <w:rPr>
                <w:rFonts w:ascii="Arial" w:cs="Arial" w:eastAsia="Arial" w:hAnsi="Arial"/>
                <w:color w:val="D6E4F0"/>
                <w:sz w:val="18"/>
                <w:szCs w:val="18"/>
              </w:rPr>
              <w:t xml:space="preserve">XGBoost Regressor</w:t>
            </w:r>
          </w:p>
          <w:p>
            <w:pPr>
              <w:jc w:val="center"/>
            </w:pPr>
            <w:r>
              <w:rPr>
                <w:rFonts w:ascii="Arial" w:cs="Arial" w:eastAsia="Arial" w:hAnsi="Arial"/>
                <w:i/>
                <w:iCs/>
                <w:color w:val="CCCCCC"/>
                <w:sz w:val="17"/>
                <w:szCs w:val="17"/>
              </w:rPr>
              <w:t xml:space="preserve">Output: Rate + Savings CI</w:t>
            </w:r>
          </w:p>
        </w:tc>
        <w:tc>
          <w:tcPr>
            <w:tcW w:type="dxa" w:w="200"/>
            <w:tcBorders>
              <w:top w:val="none"/>
              <w:left w:val="none"/>
              <w:bottom w:val="none"/>
              <w:right w:val="none"/>
            </w:tcBorders>
            <w:vAlign w:val="center"/>
          </w:tcPr>
          <w:p>
            <w:pPr>
              <w:jc w:val="center"/>
            </w:pPr>
            <w:r>
              <w:rPr>
                <w:rFonts w:ascii="Arial" w:cs="Arial" w:eastAsia="Arial" w:hAnsi="Arial"/>
                <w:b/>
                <w:bCs/>
                <w:color w:val="2E75B6"/>
                <w:sz w:val="28"/>
                <w:szCs w:val="28"/>
              </w:rPr>
              <w:t xml:space="preserve">→</w:t>
            </w:r>
          </w:p>
        </w:tc>
        <w:tc>
          <w:tcPr>
            <w:tcW w:type="dxa" w:w="2200"/>
            <w:tcBorders>
              <w:top w:val="single" w:color="CCCCCC" w:sz="1"/>
              <w:left w:val="single" w:color="CCCCCC" w:sz="1"/>
              <w:bottom w:val="single" w:color="CCCCCC" w:sz="1"/>
              <w:right w:val="single" w:color="CCCCCC" w:sz="1"/>
            </w:tcBorders>
            <w:shd w:fill="1A5276" w:val="clear"/>
            <w:tcMar>
              <w:top w:type="dxa" w:w="120"/>
              <w:left w:type="dxa" w:w="140"/>
              <w:bottom w:type="dxa" w:w="120"/>
              <w:right w:type="dxa" w:w="140"/>
            </w:tcMar>
          </w:tcPr>
          <w:p>
            <w:pPr>
              <w:jc w:val="center"/>
            </w:pPr>
            <w:r>
              <w:rPr>
                <w:rFonts w:ascii="Arial" w:cs="Arial" w:eastAsia="Arial" w:hAnsi="Arial"/>
                <w:b/>
                <w:bCs/>
                <w:color w:val="C9A227"/>
                <w:sz w:val="19"/>
                <w:szCs w:val="19"/>
              </w:rPr>
              <w:t xml:space="preserve">LAYER 3</w:t>
            </w:r>
          </w:p>
          <w:p>
            <w:pPr>
              <w:jc w:val="center"/>
            </w:pPr>
            <w:r>
              <w:rPr>
                <w:rFonts w:ascii="Arial" w:cs="Arial" w:eastAsia="Arial" w:hAnsi="Arial"/>
                <w:b/>
                <w:bCs/>
                <w:color w:val="FFFFFF"/>
                <w:sz w:val="21"/>
                <w:szCs w:val="21"/>
              </w:rPr>
              <w:t xml:space="preserve">Recommendation</w:t>
            </w:r>
          </w:p>
          <w:p>
            <w:pPr>
              <w:jc w:val="center"/>
            </w:pPr>
            <w:r>
              <w:rPr>
                <w:rFonts w:ascii="Arial" w:cs="Arial" w:eastAsia="Arial" w:hAnsi="Arial"/>
                <w:color w:val="D6E4F0"/>
                <w:sz w:val="18"/>
                <w:szCs w:val="18"/>
              </w:rPr>
              <w:t xml:space="preserve">Hybrid ML + Rules</w:t>
            </w:r>
          </w:p>
          <w:p>
            <w:pPr>
              <w:jc w:val="center"/>
            </w:pPr>
            <w:r>
              <w:rPr>
                <w:rFonts w:ascii="Arial" w:cs="Arial" w:eastAsia="Arial" w:hAnsi="Arial"/>
                <w:i/>
                <w:iCs/>
                <w:color w:val="CCCCCC"/>
                <w:sz w:val="17"/>
                <w:szCs w:val="17"/>
              </w:rPr>
              <w:t xml:space="preserve">Output: Ranked Products</w:t>
            </w:r>
          </w:p>
        </w:tc>
        <w:tc>
          <w:tcPr>
            <w:tcW w:type="dxa" w:w="200"/>
            <w:tcBorders>
              <w:top w:val="none"/>
              <w:left w:val="none"/>
              <w:bottom w:val="none"/>
              <w:right w:val="none"/>
            </w:tcBorders>
            <w:vAlign w:val="center"/>
          </w:tcPr>
          <w:p>
            <w:pPr>
              <w:jc w:val="center"/>
            </w:pPr>
            <w:r>
              <w:rPr>
                <w:rFonts w:ascii="Arial" w:cs="Arial" w:eastAsia="Arial" w:hAnsi="Arial"/>
                <w:b/>
                <w:bCs/>
                <w:color w:val="2E75B6"/>
                <w:sz w:val="28"/>
                <w:szCs w:val="28"/>
              </w:rPr>
              <w:t xml:space="preserve">→</w:t>
            </w:r>
          </w:p>
        </w:tc>
        <w:tc>
          <w:tcPr>
            <w:tcW w:type="dxa" w:w="2360"/>
            <w:tcBorders>
              <w:top w:val="single" w:color="CCCCCC" w:sz="1"/>
              <w:left w:val="single" w:color="CCCCCC" w:sz="1"/>
              <w:bottom w:val="single" w:color="CCCCCC" w:sz="1"/>
              <w:right w:val="single" w:color="CCCCCC" w:sz="1"/>
            </w:tcBorders>
            <w:shd w:fill="1A6B3C" w:val="clear"/>
            <w:tcMar>
              <w:top w:type="dxa" w:w="120"/>
              <w:left w:type="dxa" w:w="140"/>
              <w:bottom w:type="dxa" w:w="120"/>
              <w:right w:type="dxa" w:w="140"/>
            </w:tcMar>
          </w:tcPr>
          <w:p>
            <w:pPr>
              <w:jc w:val="center"/>
            </w:pPr>
            <w:r>
              <w:rPr>
                <w:rFonts w:ascii="Arial" w:cs="Arial" w:eastAsia="Arial" w:hAnsi="Arial"/>
                <w:b/>
                <w:bCs/>
                <w:color w:val="C9A227"/>
                <w:sz w:val="19"/>
                <w:szCs w:val="19"/>
              </w:rPr>
              <w:t xml:space="preserve">OUTPUT</w:t>
            </w:r>
          </w:p>
          <w:p>
            <w:pPr>
              <w:jc w:val="center"/>
            </w:pPr>
            <w:r>
              <w:rPr>
                <w:rFonts w:ascii="Arial" w:cs="Arial" w:eastAsia="Arial" w:hAnsi="Arial"/>
                <w:b/>
                <w:bCs/>
                <w:color w:val="FFFFFF"/>
                <w:sz w:val="21"/>
                <w:szCs w:val="21"/>
              </w:rPr>
              <w:t xml:space="preserve">Streamlit App</w:t>
            </w:r>
          </w:p>
          <w:p>
            <w:pPr>
              <w:jc w:val="center"/>
            </w:pPr>
            <w:r>
              <w:rPr>
                <w:rFonts w:ascii="Arial" w:cs="Arial" w:eastAsia="Arial" w:hAnsi="Arial"/>
                <w:color w:val="EAF5EA"/>
                <w:sz w:val="18"/>
                <w:szCs w:val="18"/>
              </w:rPr>
              <w:t xml:space="preserve">SHAP + LIME Panel</w:t>
            </w:r>
          </w:p>
          <w:p>
            <w:pPr>
              <w:jc w:val="center"/>
            </w:pPr>
            <w:r>
              <w:rPr>
                <w:rFonts w:ascii="Arial" w:cs="Arial" w:eastAsia="Arial" w:hAnsi="Arial"/>
                <w:i/>
                <w:iCs/>
                <w:color w:val="CCCCCC"/>
                <w:sz w:val="17"/>
                <w:szCs w:val="17"/>
              </w:rPr>
              <w:t xml:space="preserve">Model Card + Persona View</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4.2 Technique Implementation Notes</w:t>
      </w:r>
    </w:p>
    <w:p>
      <w:pPr>
        <w:spacing w:before="80" w:after="100"/>
        <w:jc w:val="both"/>
      </w:pPr>
      <w:r>
        <w:rPr>
          <w:rFonts w:ascii="Arial" w:cs="Arial" w:eastAsia="Arial" w:hAnsi="Arial"/>
          <w:sz w:val="22"/>
          <w:szCs w:val="22"/>
        </w:rPr>
        <w:t xml:space="preserve">The following implementation details are specified in advance to demonstrate deliberate engineering choices rather than ad-hoc experimentation:</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Optuna HPO Configuration</w:t>
      </w:r>
    </w:p>
    <w:p>
      <w:pPr>
        <w:pStyle w:val="ListParagraph"/>
        <w:numPr>
          <w:ilvl w:val="0"/>
          <w:numId w:val="2"/>
        </w:numPr>
        <w:spacing w:before="60" w:after="60"/>
      </w:pPr>
      <w:r>
        <w:rPr>
          <w:rFonts w:ascii="Arial" w:cs="Arial" w:eastAsia="Arial" w:hAnsi="Arial"/>
          <w:b/>
          <w:bCs/>
          <w:sz w:val="22"/>
          <w:szCs w:val="22"/>
        </w:rPr>
        <w:t xml:space="preserve">Sampler: </w:t>
      </w:r>
      <w:r>
        <w:rPr>
          <w:rFonts w:ascii="Arial" w:cs="Arial" w:eastAsia="Arial" w:hAnsi="Arial"/>
          <w:sz w:val="22"/>
          <w:szCs w:val="22"/>
        </w:rPr>
        <w:t xml:space="preserve">TPE (Tree-structured Parzen Estimator) — default Bayesian sampler in Optuna; significantly more sample-efficient than random search or grid search</w:t>
      </w:r>
    </w:p>
    <w:p>
      <w:pPr>
        <w:pStyle w:val="ListParagraph"/>
        <w:numPr>
          <w:ilvl w:val="0"/>
          <w:numId w:val="2"/>
        </w:numPr>
        <w:spacing w:before="60" w:after="60"/>
      </w:pPr>
      <w:r>
        <w:rPr>
          <w:rFonts w:ascii="Arial" w:cs="Arial" w:eastAsia="Arial" w:hAnsi="Arial"/>
          <w:b/>
          <w:bCs/>
          <w:sz w:val="22"/>
          <w:szCs w:val="22"/>
        </w:rPr>
        <w:t xml:space="preserve">Objective: </w:t>
      </w:r>
      <w:r>
        <w:rPr>
          <w:rFonts w:ascii="Arial" w:cs="Arial" w:eastAsia="Arial" w:hAnsi="Arial"/>
          <w:sz w:val="22"/>
          <w:szCs w:val="22"/>
        </w:rPr>
        <w:t xml:space="preserve">Mean KS statistic across 5 stratified folds on the validation set</w:t>
      </w:r>
    </w:p>
    <w:p>
      <w:pPr>
        <w:pStyle w:val="ListParagraph"/>
        <w:numPr>
          <w:ilvl w:val="0"/>
          <w:numId w:val="2"/>
        </w:numPr>
        <w:spacing w:before="60" w:after="60"/>
      </w:pPr>
      <w:r>
        <w:rPr>
          <w:rFonts w:ascii="Arial" w:cs="Arial" w:eastAsia="Arial" w:hAnsi="Arial"/>
          <w:b/>
          <w:bCs/>
          <w:sz w:val="22"/>
          <w:szCs w:val="22"/>
        </w:rPr>
        <w:t xml:space="preserve">Search space: </w:t>
      </w:r>
      <w:r>
        <w:rPr>
          <w:rFonts w:ascii="Arial" w:cs="Arial" w:eastAsia="Arial" w:hAnsi="Arial"/>
          <w:sz w:val="22"/>
          <w:szCs w:val="22"/>
        </w:rPr>
        <w:t xml:space="preserve">n_estimators [100-1000], max_depth [3-10], learning_rate [0.01-0.3], subsample [0.6-1.0], colsample_bytree [0.6-1.0], min_child_weight [1-10], scale_pos_weight [1-10]</w:t>
      </w:r>
    </w:p>
    <w:p>
      <w:pPr>
        <w:pStyle w:val="ListParagraph"/>
        <w:numPr>
          <w:ilvl w:val="0"/>
          <w:numId w:val="2"/>
        </w:numPr>
        <w:spacing w:before="60" w:after="60"/>
      </w:pPr>
      <w:r>
        <w:rPr>
          <w:rFonts w:ascii="Arial" w:cs="Arial" w:eastAsia="Arial" w:hAnsi="Arial"/>
          <w:b/>
          <w:bCs/>
          <w:sz w:val="22"/>
          <w:szCs w:val="22"/>
        </w:rPr>
        <w:t xml:space="preserve">Trials: </w:t>
      </w:r>
      <w:r>
        <w:rPr>
          <w:rFonts w:ascii="Arial" w:cs="Arial" w:eastAsia="Arial" w:hAnsi="Arial"/>
          <w:sz w:val="22"/>
          <w:szCs w:val="22"/>
        </w:rPr>
        <w:t xml:space="preserve">200 trials with early stopping if no improvement in 50 consecutive trials</w:t>
      </w:r>
    </w:p>
    <w:p>
      <w:pPr>
        <w:pStyle w:val="ListParagraph"/>
        <w:numPr>
          <w:ilvl w:val="0"/>
          <w:numId w:val="2"/>
        </w:numPr>
        <w:spacing w:before="60" w:after="60"/>
      </w:pPr>
      <w:r>
        <w:rPr>
          <w:rFonts w:ascii="Arial" w:cs="Arial" w:eastAsia="Arial" w:hAnsi="Arial"/>
          <w:b/>
          <w:bCs/>
          <w:sz w:val="22"/>
          <w:szCs w:val="22"/>
        </w:rPr>
        <w:t xml:space="preserve">Pruning: </w:t>
      </w:r>
      <w:r>
        <w:rPr>
          <w:rFonts w:ascii="Arial" w:cs="Arial" w:eastAsia="Arial" w:hAnsi="Arial"/>
          <w:sz w:val="22"/>
          <w:szCs w:val="22"/>
        </w:rPr>
        <w:t xml:space="preserve">MedianPruner to terminate unpromising trials early — reduces total HPO wall time by approximately 40%</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Champion-Challenger Protocol</w:t>
      </w:r>
    </w:p>
    <w:p>
      <w:pPr>
        <w:pStyle w:val="ListParagraph"/>
        <w:numPr>
          <w:ilvl w:val="0"/>
          <w:numId w:val="2"/>
        </w:numPr>
        <w:spacing w:before="60" w:after="60"/>
      </w:pPr>
      <w:r>
        <w:rPr>
          <w:rFonts w:ascii="Arial" w:cs="Arial" w:eastAsia="Arial" w:hAnsi="Arial"/>
          <w:sz w:val="22"/>
          <w:szCs w:val="22"/>
        </w:rPr>
        <w:t xml:space="preserve">Both XGBoost and LightGBM are trained with identical HPO protocols and registered in MLflow as separate model versions</w:t>
      </w:r>
    </w:p>
    <w:p>
      <w:pPr>
        <w:pStyle w:val="ListParagraph"/>
        <w:numPr>
          <w:ilvl w:val="0"/>
          <w:numId w:val="2"/>
        </w:numPr>
        <w:spacing w:before="60" w:after="60"/>
      </w:pPr>
      <w:r>
        <w:rPr>
          <w:rFonts w:ascii="Arial" w:cs="Arial" w:eastAsia="Arial" w:hAnsi="Arial"/>
          <w:sz w:val="22"/>
          <w:szCs w:val="22"/>
        </w:rPr>
        <w:t xml:space="preserve">Champion selection criterion: KS statistic on the temporal validation set (2016-2017 loans)</w:t>
      </w:r>
    </w:p>
    <w:p>
      <w:pPr>
        <w:pStyle w:val="ListParagraph"/>
        <w:numPr>
          <w:ilvl w:val="0"/>
          <w:numId w:val="2"/>
        </w:numPr>
        <w:spacing w:before="60" w:after="60"/>
      </w:pPr>
      <w:r>
        <w:rPr>
          <w:rFonts w:ascii="Arial" w:cs="Arial" w:eastAsia="Arial" w:hAnsi="Arial"/>
          <w:sz w:val="22"/>
          <w:szCs w:val="22"/>
        </w:rPr>
        <w:t xml:space="preserve">If KS delta &lt; 3 points, the challenger is selected by inference speed (measured as median latency on 1,000 predictions)</w:t>
      </w:r>
    </w:p>
    <w:p>
      <w:pPr>
        <w:pStyle w:val="ListParagraph"/>
        <w:numPr>
          <w:ilvl w:val="0"/>
          <w:numId w:val="2"/>
        </w:numPr>
        <w:spacing w:before="60" w:after="60"/>
      </w:pPr>
      <w:r>
        <w:rPr>
          <w:rFonts w:ascii="Arial" w:cs="Arial" w:eastAsia="Arial" w:hAnsi="Arial"/>
          <w:sz w:val="22"/>
          <w:szCs w:val="22"/>
        </w:rPr>
        <w:t xml:space="preserve">Both models are retained in the MLflow registry; the challenger is preserved for future A/B testing</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SHAP Computation Strategy</w:t>
      </w:r>
    </w:p>
    <w:p>
      <w:pPr>
        <w:pStyle w:val="ListParagraph"/>
        <w:numPr>
          <w:ilvl w:val="0"/>
          <w:numId w:val="2"/>
        </w:numPr>
        <w:spacing w:before="60" w:after="60"/>
      </w:pPr>
      <w:r>
        <w:rPr>
          <w:rFonts w:ascii="Arial" w:cs="Arial" w:eastAsia="Arial" w:hAnsi="Arial"/>
          <w:sz w:val="22"/>
          <w:szCs w:val="22"/>
        </w:rPr>
        <w:t xml:space="preserve">TreeExplainer is used for all tree-based models — exact computation (not kernel approximation), O(TLD) where T=trees, L=leaves, D=depth</w:t>
      </w:r>
    </w:p>
    <w:p>
      <w:pPr>
        <w:pStyle w:val="ListParagraph"/>
        <w:numPr>
          <w:ilvl w:val="0"/>
          <w:numId w:val="2"/>
        </w:numPr>
        <w:spacing w:before="60" w:after="60"/>
      </w:pPr>
      <w:r>
        <w:rPr>
          <w:rFonts w:ascii="Arial" w:cs="Arial" w:eastAsia="Arial" w:hAnsi="Arial"/>
          <w:sz w:val="22"/>
          <w:szCs w:val="22"/>
        </w:rPr>
        <w:t xml:space="preserve">Global SHAP computed on a stratified sample of 2,000 training records (sufficient for stable summary plots; avoids full-dataset computation time)</w:t>
      </w:r>
    </w:p>
    <w:p>
      <w:pPr>
        <w:pStyle w:val="ListParagraph"/>
        <w:numPr>
          <w:ilvl w:val="0"/>
          <w:numId w:val="2"/>
        </w:numPr>
        <w:spacing w:before="60" w:after="60"/>
      </w:pPr>
      <w:r>
        <w:rPr>
          <w:rFonts w:ascii="Arial" w:cs="Arial" w:eastAsia="Arial" w:hAnsi="Arial"/>
          <w:sz w:val="22"/>
          <w:szCs w:val="22"/>
        </w:rPr>
        <w:t xml:space="preserve">Per-borrower SHAP waterfall computed on-demand at inference time in the Streamlit app — TreeExplainer inference is sub-50ms per prediction</w:t>
      </w:r>
    </w:p>
    <w:p>
      <w:pPr>
        <w:pStyle w:val="ListParagraph"/>
        <w:numPr>
          <w:ilvl w:val="0"/>
          <w:numId w:val="2"/>
        </w:numPr>
        <w:spacing w:before="60" w:after="60"/>
      </w:pPr>
      <w:r>
        <w:rPr>
          <w:rFonts w:ascii="Arial" w:cs="Arial" w:eastAsia="Arial" w:hAnsi="Arial"/>
          <w:sz w:val="22"/>
          <w:szCs w:val="22"/>
        </w:rPr>
        <w:t xml:space="preserve">SHAP interaction values computed on 500 validation records for the fairness audit income-decile analysis</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5. Risks and Mitigations</w:t>
      </w:r>
    </w:p>
    <w:p>
      <w:pPr>
        <w:spacing w:before="80" w:after="100"/>
        <w:jc w:val="both"/>
      </w:pPr>
      <w:r>
        <w:rPr>
          <w:rFonts w:ascii="Arial" w:cs="Arial" w:eastAsia="Arial" w:hAnsi="Arial"/>
          <w:sz w:val="22"/>
          <w:szCs w:val="22"/>
        </w:rPr>
        <w:t xml:space="preserve">The following table documents anticipated project risks with concrete mitigation strategies. Identifying these in advance demonstrates production ML maturity and prevents scope surprises in later modules.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tblHeader/>
        </w:trPr>
        <w:tc>
          <w:tcPr>
            <w:tcW w:type="dxa" w:w="2800"/>
            <w:tcBorders>
              <w:top w:val="single" w:color="CCCCCC" w:sz="1"/>
              <w:left w:val="single" w:color="CCCCCC" w:sz="1"/>
              <w:bottom w:val="single" w:color="CCCCCC" w:sz="1"/>
              <w:right w:val="single" w:color="CCCCCC" w:sz="1"/>
            </w:tcBorders>
            <w:shd w:fill="8B4000" w:val="clear"/>
            <w:tcMar>
              <w:top w:type="dxa" w:w="90"/>
              <w:left w:type="dxa" w:w="140"/>
              <w:bottom w:type="dxa" w:w="90"/>
              <w:right w:type="dxa" w:w="140"/>
            </w:tcMar>
          </w:tcPr>
          <w:p>
            <w:pPr>
              <w:jc w:val="left"/>
            </w:pPr>
            <w:r>
              <w:rPr>
                <w:rFonts w:ascii="Arial" w:cs="Arial" w:eastAsia="Arial" w:hAnsi="Arial"/>
                <w:b/>
                <w:bCs/>
                <w:color w:val="FFFFFF"/>
                <w:sz w:val="18"/>
                <w:szCs w:val="18"/>
              </w:rPr>
              <w:t xml:space="preserve">Risk</w:t>
            </w:r>
          </w:p>
        </w:tc>
        <w:tc>
          <w:tcPr>
            <w:tcW w:type="dxa" w:w="1100"/>
            <w:tcBorders>
              <w:top w:val="single" w:color="CCCCCC" w:sz="1"/>
              <w:left w:val="single" w:color="CCCCCC" w:sz="1"/>
              <w:bottom w:val="single" w:color="CCCCCC" w:sz="1"/>
              <w:right w:val="single" w:color="CCCCCC" w:sz="1"/>
            </w:tcBorders>
            <w:shd w:fill="8B4000" w:val="clear"/>
            <w:tcMar>
              <w:top w:type="dxa" w:w="90"/>
              <w:left w:type="dxa" w:w="140"/>
              <w:bottom w:type="dxa" w:w="90"/>
              <w:right w:type="dxa" w:w="140"/>
            </w:tcMar>
          </w:tcPr>
          <w:p>
            <w:pPr>
              <w:jc w:val="left"/>
            </w:pPr>
            <w:r>
              <w:rPr>
                <w:rFonts w:ascii="Arial" w:cs="Arial" w:eastAsia="Arial" w:hAnsi="Arial"/>
                <w:b/>
                <w:bCs/>
                <w:color w:val="FFFFFF"/>
                <w:sz w:val="18"/>
                <w:szCs w:val="18"/>
              </w:rPr>
              <w:t xml:space="preserve">Likelihood</w:t>
            </w:r>
          </w:p>
        </w:tc>
        <w:tc>
          <w:tcPr>
            <w:tcW w:type="dxa" w:w="5460"/>
            <w:tcBorders>
              <w:top w:val="single" w:color="CCCCCC" w:sz="1"/>
              <w:left w:val="single" w:color="CCCCCC" w:sz="1"/>
              <w:bottom w:val="single" w:color="CCCCCC" w:sz="1"/>
              <w:right w:val="single" w:color="CCCCCC" w:sz="1"/>
            </w:tcBorders>
            <w:shd w:fill="8B4000"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LendingClub data is US-denominated — India-specific rate dynamics may differ</w:t>
            </w:r>
          </w:p>
        </w:tc>
        <w:tc>
          <w:tcPr>
            <w:tcW w:type="dxa" w:w="11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Medium</w:t>
            </w:r>
          </w:p>
        </w:tc>
        <w:tc>
          <w:tcPr>
            <w:tcW w:type="dxa" w:w="5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Frame as a structural analog: same feature relationships hold; India-specific rates added in Future Extensions. Results presented as a validated methodology, not India-specific pricing.</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Class imbalance causes poor recall on default class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SMOTE + class weighting comparison; optimize threshold on KS statistic rather than accuracy; report full precision-recall curves</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Rate prediction RMSE too high for credible savings estimates</w:t>
            </w:r>
          </w:p>
        </w:tc>
        <w:tc>
          <w:tcPr>
            <w:tcW w:type="dxa" w:w="11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Medium</w:t>
            </w:r>
          </w:p>
        </w:tc>
        <w:tc>
          <w:tcPr>
            <w:tcW w:type="dxa" w:w="5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Separate models per loan type (CC-to-PL vs PL refi); feature engineering to capture grade-bucket nonlinearity; fallback to grade-bucket lookup for out-of-distribution borrowers</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K-Means clusters not meaningfully distinct (low silhouette score)</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Low-Medium</w:t>
            </w:r>
          </w:p>
        </w:tc>
        <w:tc>
          <w:tcPr>
            <w:tcW w:type="dxa" w:w="5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Sweep k=3 to 8 with both elbow and silhouette; DBSCAN as alternative; if clustering fails, use decision-tree-based segmentation on PD x savings quadrants</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Streamlit app inference latency too high for live demo</w:t>
            </w:r>
          </w:p>
        </w:tc>
        <w:tc>
          <w:tcPr>
            <w:tcW w:type="dxa" w:w="11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Low</w:t>
            </w:r>
          </w:p>
        </w:tc>
        <w:tc>
          <w:tcPr>
            <w:tcW w:type="dxa" w:w="54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Pre-load model artifacts at startup; cache SHAP explainer objects; limit LIME to on-demand computation</w:t>
            </w:r>
          </w:p>
        </w:tc>
      </w:tr>
      <w:tr>
        <w:trPr>
          <w:tblHeader w:val="false"/>
        </w:trPr>
        <w:tc>
          <w:tcPr>
            <w:tcW w:type="dxa" w:w="2800"/>
            <w:tcBorders>
              <w:top w:val="single" w:color="CCCCCC" w:sz="1"/>
              <w:left w:val="single" w:color="CCCCCC" w:sz="1"/>
              <w:bottom w:val="single" w:color="CCCCCC" w:sz="1"/>
              <w:right w:val="single" w:color="CCCCCC" w:sz="1"/>
            </w:tcBorders>
            <w:shd w:fill="FFF3E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SHAP computation slow on large feature set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Use TreeExplainer (exact, fast for tree models); limit background dataset to 500 samples; pre-compute global SHAP on training set offline</w:t>
            </w:r>
          </w:p>
        </w:tc>
      </w:tr>
    </w:tbl>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6. Application Specification</w:t>
      </w:r>
    </w:p>
    <w:p>
      <w:pPr>
        <w:spacing w:before="80" w:after="100"/>
        <w:jc w:val="both"/>
      </w:pPr>
      <w:r>
        <w:rPr>
          <w:rFonts w:ascii="Arial" w:cs="Arial" w:eastAsia="Arial" w:hAnsi="Arial"/>
          <w:sz w:val="22"/>
          <w:szCs w:val="22"/>
        </w:rPr>
        <w:t xml:space="preserve">The Streamlit application is a first-class project deliverable, not an afterthought. The following specification is sufficiently detailed to serve as a development contract for Module 24 implementation.</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6.1 Technical Stack</w:t>
      </w:r>
    </w:p>
    <w:p>
      <w:pPr>
        <w:pStyle w:val="ListParagraph"/>
        <w:numPr>
          <w:ilvl w:val="0"/>
          <w:numId w:val="2"/>
        </w:numPr>
        <w:spacing w:before="60" w:after="60"/>
      </w:pPr>
      <w:r>
        <w:rPr>
          <w:rFonts w:ascii="Arial" w:cs="Arial" w:eastAsia="Arial" w:hAnsi="Arial"/>
          <w:b/>
          <w:bCs/>
          <w:sz w:val="22"/>
          <w:szCs w:val="22"/>
        </w:rPr>
        <w:t xml:space="preserve">Framework: </w:t>
      </w:r>
      <w:r>
        <w:rPr>
          <w:rFonts w:ascii="Arial" w:cs="Arial" w:eastAsia="Arial" w:hAnsi="Arial"/>
          <w:sz w:val="22"/>
          <w:szCs w:val="22"/>
        </w:rPr>
        <w:t xml:space="preserve">Streamlit &gt;= 1.32.0</w:t>
      </w:r>
    </w:p>
    <w:p>
      <w:pPr>
        <w:pStyle w:val="ListParagraph"/>
        <w:numPr>
          <w:ilvl w:val="0"/>
          <w:numId w:val="2"/>
        </w:numPr>
        <w:spacing w:before="60" w:after="60"/>
      </w:pPr>
      <w:r>
        <w:rPr>
          <w:rFonts w:ascii="Arial" w:cs="Arial" w:eastAsia="Arial" w:hAnsi="Arial"/>
          <w:b/>
          <w:bCs/>
          <w:sz w:val="22"/>
          <w:szCs w:val="22"/>
        </w:rPr>
        <w:t xml:space="preserve">Deployment: </w:t>
      </w:r>
      <w:r>
        <w:rPr>
          <w:rFonts w:ascii="Arial" w:cs="Arial" w:eastAsia="Arial" w:hAnsi="Arial"/>
          <w:sz w:val="22"/>
          <w:szCs w:val="22"/>
        </w:rPr>
        <w:t xml:space="preserve">Hugging Face Spaces (Streamlit SDK) — free tier, persistent URL, no credit card required</w:t>
      </w:r>
    </w:p>
    <w:p>
      <w:pPr>
        <w:pStyle w:val="ListParagraph"/>
        <w:numPr>
          <w:ilvl w:val="0"/>
          <w:numId w:val="2"/>
        </w:numPr>
        <w:spacing w:before="60" w:after="60"/>
      </w:pPr>
      <w:r>
        <w:rPr>
          <w:rFonts w:ascii="Arial" w:cs="Arial" w:eastAsia="Arial" w:hAnsi="Arial"/>
          <w:b/>
          <w:bCs/>
          <w:sz w:val="22"/>
          <w:szCs w:val="22"/>
        </w:rPr>
        <w:t xml:space="preserve">Model serving: </w:t>
      </w:r>
      <w:r>
        <w:rPr>
          <w:rFonts w:ascii="Arial" w:cs="Arial" w:eastAsia="Arial" w:hAnsi="Arial"/>
          <w:sz w:val="22"/>
          <w:szCs w:val="22"/>
        </w:rPr>
        <w:t xml:space="preserve">Joblib-serialized XGBoost objects loaded at app startup; SHAP TreeExplainer initialized once and cached via @st.cache_resource</w:t>
      </w:r>
    </w:p>
    <w:p>
      <w:pPr>
        <w:pStyle w:val="ListParagraph"/>
        <w:numPr>
          <w:ilvl w:val="0"/>
          <w:numId w:val="2"/>
        </w:numPr>
        <w:spacing w:before="60" w:after="60"/>
      </w:pPr>
      <w:r>
        <w:rPr>
          <w:rFonts w:ascii="Arial" w:cs="Arial" w:eastAsia="Arial" w:hAnsi="Arial"/>
          <w:b/>
          <w:bCs/>
          <w:sz w:val="22"/>
          <w:szCs w:val="22"/>
        </w:rPr>
        <w:t xml:space="preserve">State: </w:t>
      </w:r>
      <w:r>
        <w:rPr>
          <w:rFonts w:ascii="Arial" w:cs="Arial" w:eastAsia="Arial" w:hAnsi="Arial"/>
          <w:sz w:val="22"/>
          <w:szCs w:val="22"/>
        </w:rPr>
        <w:t xml:space="preserve">st.session_state for borrower profile persistence across tabs</w:t>
      </w:r>
    </w:p>
    <w:p>
      <w:pPr>
        <w:pStyle w:val="ListParagraph"/>
        <w:numPr>
          <w:ilvl w:val="0"/>
          <w:numId w:val="2"/>
        </w:numPr>
        <w:spacing w:before="60" w:after="60"/>
      </w:pPr>
      <w:r>
        <w:rPr>
          <w:rFonts w:ascii="Arial" w:cs="Arial" w:eastAsia="Arial" w:hAnsi="Arial"/>
          <w:b/>
          <w:bCs/>
          <w:sz w:val="22"/>
          <w:szCs w:val="22"/>
        </w:rPr>
        <w:t xml:space="preserve">Charts: </w:t>
      </w:r>
      <w:r>
        <w:rPr>
          <w:rFonts w:ascii="Arial" w:cs="Arial" w:eastAsia="Arial" w:hAnsi="Arial"/>
          <w:sz w:val="22"/>
          <w:szCs w:val="22"/>
        </w:rPr>
        <w:t xml:space="preserve">Plotly Express for savings distributions and CI visualization; SHAP's built-in matplotlib renderer for waterfall plots; Seaborn for model card calibration curve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6.2 Five-Tab Application Design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700"/>
        <w:gridCol w:w="2800"/>
        <w:gridCol w:w="4660"/>
      </w:tblGrid>
      <w:tr>
        <w:trPr>
          <w:tblHeader/>
        </w:trPr>
        <w:tc>
          <w:tcPr>
            <w:tcW w:type="dxa" w:w="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20"/>
                <w:szCs w:val="20"/>
              </w:rPr>
              <w:t xml:space="preserve">Tab</w:t>
            </w:r>
          </w:p>
        </w:tc>
        <w:tc>
          <w:tcPr>
            <w:tcW w:type="dxa" w:w="17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20"/>
                <w:szCs w:val="20"/>
              </w:rPr>
              <w:t xml:space="preserve">Inputs</w:t>
            </w:r>
          </w:p>
        </w:tc>
        <w:tc>
          <w:tcPr>
            <w:tcW w:type="dxa" w:w="46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20"/>
                <w:szCs w:val="20"/>
              </w:rPr>
              <w:t xml:space="preserve">Outputs / Experience</w:t>
            </w:r>
          </w:p>
        </w:tc>
      </w:tr>
      <w:tr>
        <w:tc>
          <w:tcPr>
            <w:tcW w:type="dxa" w:w="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center"/>
            </w:pPr>
            <w:r>
              <w:rPr>
                <w:rFonts w:ascii="Arial" w:cs="Arial" w:eastAsia="Arial" w:hAnsi="Arial"/>
                <w:b/>
                <w:bCs/>
                <w:color w:val="1F3864"/>
                <w:sz w:val="20"/>
                <w:szCs w:val="20"/>
              </w:rPr>
              <w:t xml:space="preserve">1</w:t>
            </w:r>
          </w:p>
        </w:tc>
        <w:tc>
          <w:tcPr>
            <w:tcW w:type="dxa" w:w="1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F3864"/>
                <w:sz w:val="19"/>
                <w:szCs w:val="19"/>
              </w:rPr>
              <w:t xml:space="preserve">Borrower Profile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Loan type (CC or PL), outstanding balance, current interest rate, monthly income, credit score band (e.g., 600-650), tenure remaining (months)</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Validated profile card with current monthly EMI, inferred LendingClub-equivalent credit grade, and input confirmation before proceeding to recommendation</w:t>
            </w:r>
          </w:p>
        </w:tc>
      </w:tr>
      <w:tr>
        <w:tc>
          <w:tcPr>
            <w:tcW w:type="dxa" w:w="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center"/>
            </w:pPr>
            <w:r>
              <w:rPr>
                <w:rFonts w:ascii="Arial" w:cs="Arial" w:eastAsia="Arial" w:hAnsi="Arial"/>
                <w:b/>
                <w:bCs/>
                <w:color w:val="1F3864"/>
                <w:sz w:val="20"/>
                <w:szCs w:val="20"/>
              </w:rPr>
              <w:t xml:space="preserve">2</w:t>
            </w:r>
          </w:p>
        </w:tc>
        <w:tc>
          <w:tcPr>
            <w:tcW w:type="dxa" w:w="1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F3864"/>
                <w:sz w:val="19"/>
                <w:szCs w:val="19"/>
              </w:rPr>
              <w:t xml:space="preserve">Recommendation</w:t>
            </w:r>
          </w:p>
        </w:tc>
        <w:tc>
          <w:tcPr>
            <w:tcW w:type="dxa" w:w="28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333333"/>
                <w:sz w:val="18"/>
                <w:szCs w:val="18"/>
              </w:rPr>
              <w:t xml:space="preserve">Auto-populated from Tab 1 (editable)</w:t>
            </w:r>
          </w:p>
        </w:tc>
        <w:tc>
          <w:tcPr>
            <w:tcW w:type="dxa" w:w="46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333333"/>
                <w:sz w:val="18"/>
                <w:szCs w:val="18"/>
              </w:rPr>
              <w:t xml:space="preserve">Recommendation card: action badge (STRONG RECOMMEND / CONSIDER / HOLD), predicted new rate range, monthly savings with 90% CI displayed as a range bar, 12-month total savings, Risk Tier, Pathway label (CC-to-PL or PL Refi)</w:t>
            </w:r>
          </w:p>
        </w:tc>
      </w:tr>
      <w:tr>
        <w:tc>
          <w:tcPr>
            <w:tcW w:type="dxa" w:w="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center"/>
            </w:pPr>
            <w:r>
              <w:rPr>
                <w:rFonts w:ascii="Arial" w:cs="Arial" w:eastAsia="Arial" w:hAnsi="Arial"/>
                <w:b/>
                <w:bCs/>
                <w:color w:val="1F3864"/>
                <w:sz w:val="20"/>
                <w:szCs w:val="20"/>
              </w:rPr>
              <w:t xml:space="preserve">3</w:t>
            </w:r>
          </w:p>
        </w:tc>
        <w:tc>
          <w:tcPr>
            <w:tcW w:type="dxa" w:w="1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F3864"/>
                <w:sz w:val="19"/>
                <w:szCs w:val="19"/>
              </w:rPr>
              <w:t xml:space="preserve">Explanation Panel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Dropdown: SHAP Waterfall / LIME Local / Both</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SHAP waterfall chart with signed feature contributions; top 3 drivers in plain-English sentences (e.g., 'Your credit utilization falling from 78% to 31% is your strongest positive signal'); LIME local explanation panel for borderline cases</w:t>
            </w:r>
          </w:p>
        </w:tc>
      </w:tr>
      <w:tr>
        <w:tc>
          <w:tcPr>
            <w:tcW w:type="dxa" w:w="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center"/>
            </w:pPr>
            <w:r>
              <w:rPr>
                <w:rFonts w:ascii="Arial" w:cs="Arial" w:eastAsia="Arial" w:hAnsi="Arial"/>
                <w:b/>
                <w:bCs/>
                <w:color w:val="1F3864"/>
                <w:sz w:val="20"/>
                <w:szCs w:val="20"/>
              </w:rPr>
              <w:t xml:space="preserve">4</w:t>
            </w:r>
          </w:p>
        </w:tc>
        <w:tc>
          <w:tcPr>
            <w:tcW w:type="dxa" w:w="1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F3864"/>
                <w:sz w:val="19"/>
                <w:szCs w:val="19"/>
              </w:rPr>
              <w:t xml:space="preserve">Persona View</w:t>
            </w:r>
          </w:p>
        </w:tc>
        <w:tc>
          <w:tcPr>
            <w:tcW w:type="dxa" w:w="28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333333"/>
                <w:sz w:val="18"/>
                <w:szCs w:val="18"/>
              </w:rPr>
              <w:t xml:space="preserve">Credit score and income sliders (adjustable post-recommendation)</w:t>
            </w:r>
          </w:p>
        </w:tc>
        <w:tc>
          <w:tcPr>
            <w:tcW w:type="dxa" w:w="46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333333"/>
                <w:sz w:val="18"/>
                <w:szCs w:val="18"/>
              </w:rPr>
              <w:t xml:space="preserve">K-Means cluster assignment with persona label and description; bubble chart of all 4 clusters with current borrower highlighted; savings distribution within assigned cluster</w:t>
            </w:r>
          </w:p>
        </w:tc>
      </w:tr>
      <w:tr>
        <w:tc>
          <w:tcPr>
            <w:tcW w:type="dxa" w:w="2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center"/>
            </w:pPr>
            <w:r>
              <w:rPr>
                <w:rFonts w:ascii="Arial" w:cs="Arial" w:eastAsia="Arial" w:hAnsi="Arial"/>
                <w:b/>
                <w:bCs/>
                <w:color w:val="1F3864"/>
                <w:sz w:val="20"/>
                <w:szCs w:val="20"/>
              </w:rPr>
              <w:t xml:space="preserve">5</w:t>
            </w:r>
          </w:p>
        </w:tc>
        <w:tc>
          <w:tcPr>
            <w:tcW w:type="dxa" w:w="17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color w:val="1F3864"/>
                <w:sz w:val="19"/>
                <w:szCs w:val="19"/>
              </w:rPr>
              <w:t xml:space="preserve">Model Card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None (read-only)</w:t>
            </w:r>
          </w:p>
        </w:tc>
        <w:tc>
          <w:tcPr>
            <w:tcW w:type="dxa" w:w="4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8"/>
                <w:szCs w:val="18"/>
              </w:rPr>
              <w:t xml:space="preserve">Model version tag, training data period, ROC-AUC, KS, Gini, Brier score, calibration reliability diagram, PSI drift score, champion vs. challenger comparison table, fairness audit summary (income decile approval rates)</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6.3 Illustrative Recommendation Outputs</w:t>
      </w:r>
    </w:p>
    <w:p>
      <w:pPr>
        <w:spacing w:before="0" w:after="0"/>
      </w:pPr>
      <w:r>
        <w:rPr>
          <w:sz w:val="22"/>
          <w:szCs w:val="22"/>
        </w:rPr>
        <w:t xml:space="preserve"/>
      </w:r>
    </w:p>
    <w:p>
      <w:pPr>
        <w:pBdr>
          <w:left w:val="single" w:color="1A6B3C" w:sz="14" w:space="10"/>
        </w:pBdr>
        <w:shd w:fill="EAF5EA" w:val="clear"/>
        <w:spacing w:before="80" w:after="8"/>
        <w:ind w:left="400" w:right="400"/>
      </w:pPr>
      <w:r>
        <w:rPr>
          <w:rFonts w:ascii="Arial" w:cs="Arial" w:eastAsia="Arial" w:hAnsi="Arial"/>
          <w:b/>
          <w:bCs/>
          <w:color w:val="1A6B3C"/>
          <w:sz w:val="23"/>
          <w:szCs w:val="23"/>
        </w:rPr>
        <w:t xml:space="preserve">STRONG RECOMMEND  |  CC-to-PL Conversion
</w:t>
      </w:r>
      <w:r>
        <w:rPr>
          <w:rFonts w:ascii="Arial" w:cs="Arial" w:eastAsia="Arial" w:hAnsi="Arial"/>
          <w:color w:val="333333"/>
          <w:sz w:val="21"/>
          <w:szCs w:val="21"/>
        </w:rPr>
        <w:t xml:space="preserve">Predicted new rate: 13.4% - 15.2% p.a.  |  Current CC effective rate: ~38% p.a.
</w:t>
      </w:r>
      <w:r>
        <w:rPr>
          <w:rFonts w:ascii="Arial" w:cs="Arial" w:eastAsia="Arial" w:hAnsi="Arial"/>
          <w:b/>
          <w:bCs/>
          <w:color w:val="333333"/>
          <w:sz w:val="21"/>
          <w:szCs w:val="21"/>
        </w:rPr>
        <w:t xml:space="preserve">Monthly savings: Rs 4,200 - Rs 5,100 (90% CI)  |  12-month savings: Rs 50,400 - Rs 61,200
</w:t>
      </w:r>
      <w:r>
        <w:rPr>
          <w:rFonts w:ascii="Arial" w:cs="Arial" w:eastAsia="Arial" w:hAnsi="Arial"/>
          <w:color w:val="555555"/>
          <w:sz w:val="20"/>
          <w:szCs w:val="20"/>
        </w:rPr>
        <w:t xml:space="preserve">Persona: High-Savings Quick-Win  |  Risk Tier: LOW  |  PD Score: 6.2%
</w:t>
      </w:r>
      <w:r>
        <w:rPr>
          <w:rFonts w:ascii="Arial" w:cs="Arial" w:eastAsia="Arial" w:hAnsi="Arial"/>
          <w:i/>
          <w:iCs/>
          <w:color w:val="555555"/>
          <w:sz w:val="19"/>
          <w:szCs w:val="19"/>
        </w:rPr>
        <w:t xml:space="preserve">Why: Credit utilization fell from 78% to 31% (+++)  |  DTI below 25% (+++)  |  Zero delinquencies in 24 months (++)</w:t>
      </w:r>
    </w:p>
    <w:p>
      <w:pPr>
        <w:spacing w:before="0" w:after="0"/>
      </w:pPr>
      <w:r>
        <w:rPr>
          <w:sz w:val="22"/>
          <w:szCs w:val="22"/>
        </w:rPr>
        <w:t xml:space="preserve"/>
      </w:r>
    </w:p>
    <w:p>
      <w:pPr>
        <w:pBdr>
          <w:left w:val="single" w:color="8B4000" w:sz="14" w:space="10"/>
        </w:pBdr>
        <w:shd w:fill="FFF3E0" w:val="clear"/>
        <w:spacing w:before="80" w:after="80"/>
        <w:ind w:left="400" w:right="400"/>
      </w:pPr>
      <w:r>
        <w:rPr>
          <w:rFonts w:ascii="Arial" w:cs="Arial" w:eastAsia="Arial" w:hAnsi="Arial"/>
          <w:b/>
          <w:bCs/>
          <w:color w:val="8B4000"/>
          <w:sz w:val="23"/>
          <w:szCs w:val="23"/>
        </w:rPr>
        <w:t xml:space="preserve">HOLD -- IMPROVE CREDIT FIRST  |  PL Refinancing
</w:t>
      </w:r>
      <w:r>
        <w:rPr>
          <w:rFonts w:ascii="Arial" w:cs="Arial" w:eastAsia="Arial" w:hAnsi="Arial"/>
          <w:color w:val="333333"/>
          <w:sz w:val="21"/>
          <w:szCs w:val="21"/>
        </w:rPr>
        <w:t xml:space="preserve">PD Score: 28.4% (above eligibility threshold of 25%)
</w:t>
      </w:r>
      <w:r>
        <w:rPr>
          <w:rFonts w:ascii="Arial" w:cs="Arial" w:eastAsia="Arial" w:hAnsi="Arial"/>
          <w:color w:val="333333"/>
          <w:sz w:val="21"/>
          <w:szCs w:val="21"/>
        </w:rPr>
        <w:t xml:space="preserve">Estimated savings if eligible: Rs 1,800/month -- but risk profile does not yet qualify
</w:t>
      </w:r>
      <w:r>
        <w:rPr>
          <w:rFonts w:ascii="Arial" w:cs="Arial" w:eastAsia="Arial" w:hAnsi="Arial"/>
          <w:color w:val="555555"/>
          <w:sz w:val="20"/>
          <w:szCs w:val="20"/>
        </w:rPr>
        <w:t xml:space="preserve">Persona: Credit-Building Candidate  |  Risk Tier: HIGH
</w:t>
      </w:r>
      <w:r>
        <w:rPr>
          <w:rFonts w:ascii="Arial" w:cs="Arial" w:eastAsia="Arial" w:hAnsi="Arial"/>
          <w:i/>
          <w:iCs/>
          <w:color w:val="555555"/>
          <w:sz w:val="19"/>
          <w:szCs w:val="19"/>
        </w:rPr>
        <w:t xml:space="preserve">Top barriers: DTI at 42% (reduce to &lt; 35%)  |  1 delinquency in past 12 months (clear 6-month window)  |  Revol utilization at 74% (target &lt; 50%)</w:t>
      </w:r>
    </w:p>
    <w:p>
      <w:pPr>
        <w:spacing w:before="0" w:after="0"/>
      </w:pPr>
      <w:r>
        <w:rPr>
          <w:sz w:val="22"/>
          <w:szCs w:val="22"/>
        </w:rPr>
        <w:t xml:space="preserve"/>
      </w:r>
    </w:p>
    <w:p>
      <w:pPr>
        <w:spacing w:before="80" w:after="100"/>
        <w:jc w:val="both"/>
      </w:pPr>
      <w:r>
        <w:rPr>
          <w:rFonts w:ascii="Arial" w:cs="Arial" w:eastAsia="Arial" w:hAnsi="Arial"/>
          <w:sz w:val="22"/>
          <w:szCs w:val="22"/>
        </w:rPr>
        <w:t xml:space="preserve">The 'Hold' recommendation is a deliberate product feature — it converts a rejection into an actionable improvement roadmap, which is both ethically responsible and commercially valuable for re-engagement 3-6 months later.</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7. Ethical and Responsible AI Considerations</w:t>
      </w:r>
    </w:p>
    <w:p>
      <w:pPr>
        <w:spacing w:before="80" w:after="100"/>
        <w:jc w:val="both"/>
      </w:pPr>
      <w:r>
        <w:rPr>
          <w:rFonts w:ascii="Arial" w:cs="Arial" w:eastAsia="Arial" w:hAnsi="Arial"/>
          <w:sz w:val="22"/>
          <w:szCs w:val="22"/>
        </w:rPr>
        <w:t xml:space="preserve">Given that this system makes consequential financial recommendations, responsible AI considerations are embedded as first-class design requirements throughout the project:</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Transparency</w:t>
      </w:r>
    </w:p>
    <w:p>
      <w:pPr>
        <w:pStyle w:val="ListParagraph"/>
        <w:numPr>
          <w:ilvl w:val="0"/>
          <w:numId w:val="2"/>
        </w:numPr>
        <w:spacing w:before="60" w:after="60"/>
      </w:pPr>
      <w:r>
        <w:rPr>
          <w:rFonts w:ascii="Arial" w:cs="Arial" w:eastAsia="Arial" w:hAnsi="Arial"/>
          <w:sz w:val="22"/>
          <w:szCs w:val="22"/>
        </w:rPr>
        <w:t xml:space="preserve">Every recommendation is accompanied by a SHAP waterfall explanation showing the signed contribution of each feature to the decision — no black-box outputs</w:t>
      </w:r>
    </w:p>
    <w:p>
      <w:pPr>
        <w:pStyle w:val="ListParagraph"/>
        <w:numPr>
          <w:ilvl w:val="0"/>
          <w:numId w:val="2"/>
        </w:numPr>
        <w:spacing w:before="60" w:after="60"/>
      </w:pPr>
      <w:r>
        <w:rPr>
          <w:rFonts w:ascii="Arial" w:cs="Arial" w:eastAsia="Arial" w:hAnsi="Arial"/>
          <w:sz w:val="22"/>
          <w:szCs w:val="22"/>
        </w:rPr>
        <w:t xml:space="preserve">The model card in Tab 5 of the Streamlit app discloses training data period, evaluation metrics, calibration quality, and champion-challenger selection rationale</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Fairness</w:t>
      </w:r>
    </w:p>
    <w:p>
      <w:pPr>
        <w:pStyle w:val="ListParagraph"/>
        <w:numPr>
          <w:ilvl w:val="0"/>
          <w:numId w:val="2"/>
        </w:numPr>
        <w:spacing w:before="60" w:after="60"/>
      </w:pPr>
      <w:r>
        <w:rPr>
          <w:rFonts w:ascii="Arial" w:cs="Arial" w:eastAsia="Arial" w:hAnsi="Arial"/>
          <w:sz w:val="22"/>
          <w:szCs w:val="22"/>
        </w:rPr>
        <w:t xml:space="preserve">Disparate impact analysis across income deciles ensures lower-income borrowers are not systematically excluded from beneficial recommendations</w:t>
      </w:r>
    </w:p>
    <w:p>
      <w:pPr>
        <w:pStyle w:val="ListParagraph"/>
        <w:numPr>
          <w:ilvl w:val="0"/>
          <w:numId w:val="2"/>
        </w:numPr>
        <w:spacing w:before="60" w:after="60"/>
      </w:pPr>
      <w:r>
        <w:rPr>
          <w:rFonts w:ascii="Arial" w:cs="Arial" w:eastAsia="Arial" w:hAnsi="Arial"/>
          <w:sz w:val="22"/>
          <w:szCs w:val="22"/>
        </w:rPr>
        <w:t xml:space="preserve">The 80% rule threshold (Disparate Impact Ratio &gt; 0.80) is applied as a hard design constraint; if violated, threshold adjustment is performed before final model is accepted</w:t>
      </w:r>
    </w:p>
    <w:p>
      <w:pPr>
        <w:pStyle w:val="ListParagraph"/>
        <w:numPr>
          <w:ilvl w:val="0"/>
          <w:numId w:val="2"/>
        </w:numPr>
        <w:spacing w:before="60" w:after="60"/>
      </w:pPr>
      <w:r>
        <w:rPr>
          <w:rFonts w:ascii="Arial" w:cs="Arial" w:eastAsia="Arial" w:hAnsi="Arial"/>
          <w:sz w:val="22"/>
          <w:szCs w:val="22"/>
        </w:rPr>
        <w:t xml:space="preserve">SHAP interaction decomposition tests whether income serves as a hidden proxy for protected attributes in the model's decision function</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Calibration and Honesty</w:t>
      </w:r>
    </w:p>
    <w:p>
      <w:pPr>
        <w:pStyle w:val="ListParagraph"/>
        <w:numPr>
          <w:ilvl w:val="0"/>
          <w:numId w:val="2"/>
        </w:numPr>
        <w:spacing w:before="60" w:after="60"/>
      </w:pPr>
      <w:r>
        <w:rPr>
          <w:rFonts w:ascii="Arial" w:cs="Arial" w:eastAsia="Arial" w:hAnsi="Arial"/>
          <w:sz w:val="22"/>
          <w:szCs w:val="22"/>
        </w:rPr>
        <w:t xml:space="preserve">Probability calibration ensures that a PD of 0.15 reflects genuine 15% default frequency — preventing the model from expressing false confidence in its risk assessments</w:t>
      </w:r>
    </w:p>
    <w:p>
      <w:pPr>
        <w:pStyle w:val="ListParagraph"/>
        <w:numPr>
          <w:ilvl w:val="0"/>
          <w:numId w:val="2"/>
        </w:numPr>
        <w:spacing w:before="60" w:after="60"/>
      </w:pPr>
      <w:r>
        <w:rPr>
          <w:rFonts w:ascii="Arial" w:cs="Arial" w:eastAsia="Arial" w:hAnsi="Arial"/>
          <w:sz w:val="22"/>
          <w:szCs w:val="22"/>
        </w:rPr>
        <w:t xml:space="preserve">Savings estimates are presented as ranges (90% CI from Monte Carlo bootstrap), not point estimates — preventing overconfident financial guidance</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Regulatory Alignment</w:t>
      </w:r>
    </w:p>
    <w:p>
      <w:pPr>
        <w:pStyle w:val="ListParagraph"/>
        <w:numPr>
          <w:ilvl w:val="0"/>
          <w:numId w:val="2"/>
        </w:numPr>
        <w:spacing w:before="60" w:after="60"/>
      </w:pPr>
      <w:r>
        <w:rPr>
          <w:rFonts w:ascii="Arial" w:cs="Arial" w:eastAsia="Arial" w:hAnsi="Arial"/>
          <w:sz w:val="22"/>
          <w:szCs w:val="22"/>
        </w:rPr>
        <w:t xml:space="preserve">The explanation layer is designed to be compatible with RBI Digital Lending Guidelines (2022) Key Fact Statement requirements</w:t>
      </w:r>
    </w:p>
    <w:p>
      <w:pPr>
        <w:pStyle w:val="ListParagraph"/>
        <w:numPr>
          <w:ilvl w:val="0"/>
          <w:numId w:val="2"/>
        </w:numPr>
        <w:spacing w:before="60" w:after="60"/>
      </w:pPr>
      <w:r>
        <w:rPr>
          <w:rFonts w:ascii="Arial" w:cs="Arial" w:eastAsia="Arial" w:hAnsi="Arial"/>
          <w:sz w:val="22"/>
          <w:szCs w:val="22"/>
        </w:rPr>
        <w:t xml:space="preserve">The Hold recommendation pathway with an improvement roadmap is consistent with fair lending principles — borrowers are never simply rejected without guidance</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8. Confirmed Project Scope</w:t>
      </w:r>
    </w:p>
    <w:p>
      <w:pPr>
        <w:spacing w:before="80" w:after="100"/>
        <w:jc w:val="both"/>
      </w:pPr>
      <w:r>
        <w:rPr>
          <w:rFonts w:ascii="Arial" w:cs="Arial" w:eastAsia="Arial" w:hAnsi="Arial"/>
          <w:sz w:val="22"/>
          <w:szCs w:val="22"/>
        </w:rPr>
        <w:t xml:space="preserve">The following scope boundaries are formally confirmed for this capstone:</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In Scope</w:t>
      </w:r>
    </w:p>
    <w:p>
      <w:pPr>
        <w:pStyle w:val="ListParagraph"/>
        <w:numPr>
          <w:ilvl w:val="0"/>
          <w:numId w:val="2"/>
        </w:numPr>
        <w:spacing w:before="60" w:after="60"/>
      </w:pPr>
      <w:r>
        <w:rPr>
          <w:rFonts w:ascii="Arial" w:cs="Arial" w:eastAsia="Arial" w:hAnsi="Arial"/>
          <w:sz w:val="22"/>
          <w:szCs w:val="22"/>
        </w:rPr>
        <w:t xml:space="preserve">Two refinancing pathways: CC-to-PL conversion and PL refinancing using the LendingClub dataset</w:t>
      </w:r>
    </w:p>
    <w:p>
      <w:pPr>
        <w:pStyle w:val="ListParagraph"/>
        <w:numPr>
          <w:ilvl w:val="0"/>
          <w:numId w:val="2"/>
        </w:numPr>
        <w:spacing w:before="60" w:after="60"/>
      </w:pPr>
      <w:r>
        <w:rPr>
          <w:rFonts w:ascii="Arial" w:cs="Arial" w:eastAsia="Arial" w:hAnsi="Arial"/>
          <w:sz w:val="22"/>
          <w:szCs w:val="22"/>
        </w:rPr>
        <w:t xml:space="preserve">Three-layer ML pipeline: credit risk classifier, savings regression, hybrid recommendation engine</w:t>
      </w:r>
    </w:p>
    <w:p>
      <w:pPr>
        <w:pStyle w:val="ListParagraph"/>
        <w:numPr>
          <w:ilvl w:val="0"/>
          <w:numId w:val="2"/>
        </w:numPr>
        <w:spacing w:before="60" w:after="60"/>
      </w:pPr>
      <w:r>
        <w:rPr>
          <w:rFonts w:ascii="Arial" w:cs="Arial" w:eastAsia="Arial" w:hAnsi="Arial"/>
          <w:sz w:val="22"/>
          <w:szCs w:val="22"/>
        </w:rPr>
        <w:t xml:space="preserve">Full explainability stack: global SHAP, per-borrower SHAP waterfall, LIME local explanations</w:t>
      </w:r>
    </w:p>
    <w:p>
      <w:pPr>
        <w:pStyle w:val="ListParagraph"/>
        <w:numPr>
          <w:ilvl w:val="0"/>
          <w:numId w:val="2"/>
        </w:numPr>
        <w:spacing w:before="60" w:after="60"/>
      </w:pPr>
      <w:r>
        <w:rPr>
          <w:rFonts w:ascii="Arial" w:cs="Arial" w:eastAsia="Arial" w:hAnsi="Arial"/>
          <w:sz w:val="22"/>
          <w:szCs w:val="22"/>
        </w:rPr>
        <w:t xml:space="preserve">Unsupervised borrower persona clustering (K-Means, k=4-6)</w:t>
      </w:r>
    </w:p>
    <w:p>
      <w:pPr>
        <w:pStyle w:val="ListParagraph"/>
        <w:numPr>
          <w:ilvl w:val="0"/>
          <w:numId w:val="2"/>
        </w:numPr>
        <w:spacing w:before="60" w:after="60"/>
      </w:pPr>
      <w:r>
        <w:rPr>
          <w:rFonts w:ascii="Arial" w:cs="Arial" w:eastAsia="Arial" w:hAnsi="Arial"/>
          <w:sz w:val="22"/>
          <w:szCs w:val="22"/>
        </w:rPr>
        <w:t xml:space="preserve">MLflow experiment tracking and champion-challenger governance (XGBoost vs LightGBM)</w:t>
      </w:r>
    </w:p>
    <w:p>
      <w:pPr>
        <w:pStyle w:val="ListParagraph"/>
        <w:numPr>
          <w:ilvl w:val="0"/>
          <w:numId w:val="2"/>
        </w:numPr>
        <w:spacing w:before="60" w:after="60"/>
      </w:pPr>
      <w:r>
        <w:rPr>
          <w:rFonts w:ascii="Arial" w:cs="Arial" w:eastAsia="Arial" w:hAnsi="Arial"/>
          <w:sz w:val="22"/>
          <w:szCs w:val="22"/>
        </w:rPr>
        <w:t xml:space="preserve">Probability calibration (Platt scaling + isotonic regression)</w:t>
      </w:r>
    </w:p>
    <w:p>
      <w:pPr>
        <w:pStyle w:val="ListParagraph"/>
        <w:numPr>
          <w:ilvl w:val="0"/>
          <w:numId w:val="2"/>
        </w:numPr>
        <w:spacing w:before="60" w:after="60"/>
      </w:pPr>
      <w:r>
        <w:rPr>
          <w:rFonts w:ascii="Arial" w:cs="Arial" w:eastAsia="Arial" w:hAnsi="Arial"/>
          <w:sz w:val="22"/>
          <w:szCs w:val="22"/>
        </w:rPr>
        <w:t xml:space="preserve">Monte Carlo savings confidence intervals</w:t>
      </w:r>
    </w:p>
    <w:p>
      <w:pPr>
        <w:pStyle w:val="ListParagraph"/>
        <w:numPr>
          <w:ilvl w:val="0"/>
          <w:numId w:val="2"/>
        </w:numPr>
        <w:spacing w:before="60" w:after="60"/>
      </w:pPr>
      <w:r>
        <w:rPr>
          <w:rFonts w:ascii="Arial" w:cs="Arial" w:eastAsia="Arial" w:hAnsi="Arial"/>
          <w:sz w:val="22"/>
          <w:szCs w:val="22"/>
        </w:rPr>
        <w:t xml:space="preserve">Fairness audit across income deciles</w:t>
      </w:r>
    </w:p>
    <w:p>
      <w:pPr>
        <w:pStyle w:val="ListParagraph"/>
        <w:numPr>
          <w:ilvl w:val="0"/>
          <w:numId w:val="2"/>
        </w:numPr>
        <w:spacing w:before="60" w:after="60"/>
      </w:pPr>
      <w:r>
        <w:rPr>
          <w:rFonts w:ascii="Arial" w:cs="Arial" w:eastAsia="Arial" w:hAnsi="Arial"/>
          <w:sz w:val="22"/>
          <w:szCs w:val="22"/>
        </w:rPr>
        <w:t xml:space="preserve">PSI-based drift monitoring stub on temporal holdout</w:t>
      </w:r>
    </w:p>
    <w:p>
      <w:pPr>
        <w:pStyle w:val="ListParagraph"/>
        <w:numPr>
          <w:ilvl w:val="0"/>
          <w:numId w:val="2"/>
        </w:numPr>
        <w:spacing w:before="60" w:after="60"/>
      </w:pPr>
      <w:r>
        <w:rPr>
          <w:rFonts w:ascii="Arial" w:cs="Arial" w:eastAsia="Arial" w:hAnsi="Arial"/>
          <w:sz w:val="22"/>
          <w:szCs w:val="22"/>
        </w:rPr>
        <w:t xml:space="preserve">Five-tab Streamlit application deployed on Hugging Face Spaces</w:t>
      </w:r>
    </w:p>
    <w:p>
      <w:pPr>
        <w:pStyle w:val="ListParagraph"/>
        <w:numPr>
          <w:ilvl w:val="0"/>
          <w:numId w:val="2"/>
        </w:numPr>
        <w:spacing w:before="60" w:after="60"/>
      </w:pPr>
      <w:r>
        <w:rPr>
          <w:rFonts w:ascii="Arial" w:cs="Arial" w:eastAsia="Arial" w:hAnsi="Arial"/>
          <w:sz w:val="22"/>
          <w:szCs w:val="22"/>
        </w:rPr>
        <w:t xml:space="preserve">Technical Jupyter notebook and non-technical final report</w:t>
      </w:r>
    </w:p>
    <w:p>
      <w:pPr>
        <w:spacing w:before="0" w:after="0"/>
      </w:pPr>
      <w:r>
        <w:rPr>
          <w:sz w:val="22"/>
          <w:szCs w:val="22"/>
        </w:rPr>
        <w:t xml:space="preserve"/>
      </w:r>
    </w:p>
    <w:p>
      <w:pPr>
        <w:spacing w:before="180" w:after="80"/>
      </w:pPr>
      <w:r>
        <w:rPr>
          <w:rFonts w:ascii="Arial" w:cs="Arial" w:eastAsia="Arial" w:hAnsi="Arial"/>
          <w:b/>
          <w:bCs/>
          <w:color w:val="1F3864"/>
          <w:sz w:val="22"/>
          <w:szCs w:val="22"/>
        </w:rPr>
        <w:t xml:space="preserve">Explicitly Out of Scope</w:t>
      </w:r>
    </w:p>
    <w:p>
      <w:pPr>
        <w:pStyle w:val="ListParagraph"/>
        <w:numPr>
          <w:ilvl w:val="0"/>
          <w:numId w:val="2"/>
        </w:numPr>
        <w:spacing w:before="60" w:after="60"/>
      </w:pPr>
      <w:r>
        <w:rPr>
          <w:rFonts w:ascii="Arial" w:cs="Arial" w:eastAsia="Arial" w:hAnsi="Arial"/>
          <w:sz w:val="22"/>
          <w:szCs w:val="22"/>
        </w:rPr>
        <w:t xml:space="preserve">Home loan refinancing (deferred to Future Extensions)</w:t>
      </w:r>
    </w:p>
    <w:p>
      <w:pPr>
        <w:pStyle w:val="ListParagraph"/>
        <w:numPr>
          <w:ilvl w:val="0"/>
          <w:numId w:val="2"/>
        </w:numPr>
        <w:spacing w:before="60" w:after="60"/>
      </w:pPr>
      <w:r>
        <w:rPr>
          <w:rFonts w:ascii="Arial" w:cs="Arial" w:eastAsia="Arial" w:hAnsi="Arial"/>
          <w:sz w:val="22"/>
          <w:szCs w:val="22"/>
        </w:rPr>
        <w:t xml:space="preserve">Live bureau API integration (CIBIL / Experian India) — datasets are used as structural analogs</w:t>
      </w:r>
    </w:p>
    <w:p>
      <w:pPr>
        <w:pStyle w:val="ListParagraph"/>
        <w:numPr>
          <w:ilvl w:val="0"/>
          <w:numId w:val="2"/>
        </w:numPr>
        <w:spacing w:before="60" w:after="60"/>
      </w:pPr>
      <w:r>
        <w:rPr>
          <w:rFonts w:ascii="Arial" w:cs="Arial" w:eastAsia="Arial" w:hAnsi="Arial"/>
          <w:sz w:val="22"/>
          <w:szCs w:val="22"/>
        </w:rPr>
        <w:t xml:space="preserve">Real lender rate feed integration — model-predicted rates used throughout</w:t>
      </w:r>
    </w:p>
    <w:p>
      <w:pPr>
        <w:pStyle w:val="ListParagraph"/>
        <w:numPr>
          <w:ilvl w:val="0"/>
          <w:numId w:val="2"/>
        </w:numPr>
        <w:spacing w:before="60" w:after="60"/>
      </w:pPr>
      <w:r>
        <w:rPr>
          <w:rFonts w:ascii="Arial" w:cs="Arial" w:eastAsia="Arial" w:hAnsi="Arial"/>
          <w:sz w:val="22"/>
          <w:szCs w:val="22"/>
        </w:rPr>
        <w:t xml:space="preserve">Production infrastructure beyond Hugging Face Spaces deployment (no Kubernetes, no CI/CD pipelines)</w:t>
      </w:r>
    </w:p>
    <w:p>
      <w:pPr>
        <w:pStyle w:val="ListParagraph"/>
        <w:numPr>
          <w:ilvl w:val="0"/>
          <w:numId w:val="2"/>
        </w:numPr>
        <w:spacing w:before="60" w:after="60"/>
      </w:pPr>
      <w:r>
        <w:rPr>
          <w:rFonts w:ascii="Arial" w:cs="Arial" w:eastAsia="Arial" w:hAnsi="Arial"/>
          <w:sz w:val="22"/>
          <w:szCs w:val="22"/>
        </w:rPr>
        <w:t xml:space="preserve">Reinforcement learning for dynamic product ranking (deferred to post-capstone)</w:t>
      </w:r>
    </w:p>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9. Refined Timeline and Milestones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Module / Week</w:t>
            </w:r>
          </w:p>
        </w:tc>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Milestone</w:t>
            </w:r>
          </w:p>
        </w:tc>
        <w:tc>
          <w:tcPr>
            <w:tcW w:type="dxa" w:w="53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pPr>
              <w:jc w:val="left"/>
            </w:pPr>
            <w:r>
              <w:rPr>
                <w:rFonts w:ascii="Arial" w:cs="Arial" w:eastAsia="Arial" w:hAnsi="Arial"/>
                <w:b/>
                <w:bCs/>
                <w:color w:val="FFFFFF"/>
                <w:sz w:val="18"/>
                <w:szCs w:val="18"/>
              </w:rPr>
              <w:t xml:space="preserve">Deliverable / Success Criterion</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Module 16
(This document)</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Formal Problem Proposal submitted</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Approved research question, confirmed dataset, data schema, expected benchmarks, technique inventory</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1-2 post-M16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Data pipeline + EDA</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Clean dataset: nulls handled, types cast, cohort filters applied; EDA notebook with 10+ visualization cells; baseline feature distributions documented</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3-4</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Feature engineering + baseline models</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All engineered features computed and unit-tested; Logistic Regression baseline with ROC-AUC, KS, Gini, Brier score logged in MLflow</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5-6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Intermediate models + HPO</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Random Forest with SMOTE; XGBoost with Optuna 200-trial search; LightGBM challenger; all runs in MLflow; champion selected</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7</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Probability calibration + savings model</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Platt scaling + isotonic regression calibrated; reliability diagram; XGBoost Regressor for rate prediction; Monte Carlo CI on savings</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Clustering + recommendation engine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K-Means personas with silhouette selection; decision matrix implementation; risk-adjusted savings score; end-to-end pipeline tested</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9</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SHAP + LIME + fairness audit</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Global SHAP summary plots; per-borrower waterfall; LIME integration; disparate impact report; fairness constraint verified</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Module 20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Initial Report + EDA Notebook</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Complete Jupyter notebook with all pipeline layers, evaluation tables, SHAP plots, and fairness report</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Week 10-11</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Streamlit app development + deployment</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All 5 tabs functional; deployed on HF Spaces with shareable URL; sub-2-second inference confirmed</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Module 21-23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Second 1-on-1 with Program Leader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Review findings; close any metric gaps; finalize non-technical report structure</w:t>
            </w:r>
          </w:p>
        </w:tc>
      </w:tr>
      <w:tr>
        <w:trPr>
          <w:tblHeader w:val="false"/>
        </w:trPr>
        <w:tc>
          <w:tcPr>
            <w:tcW w:type="dxa" w:w="16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pPr>
              <w:jc w:val="left"/>
            </w:pPr>
            <w:r>
              <w:rPr>
                <w:rFonts w:ascii="Arial" w:cs="Arial" w:eastAsia="Arial" w:hAnsi="Arial"/>
                <w:b/>
                <w:bCs/>
                <w:color w:val="222222"/>
                <w:sz w:val="18"/>
                <w:szCs w:val="18"/>
              </w:rPr>
              <w:t xml:space="preserve">Module 24</w:t>
            </w:r>
          </w:p>
        </w:tc>
        <w:tc>
          <w:tcPr>
            <w:tcW w:type="dxa" w:w="240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Final submission</w:t>
            </w:r>
          </w:p>
        </w:tc>
        <w:tc>
          <w:tcPr>
            <w:tcW w:type="dxa" w:w="536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pPr>
              <w:jc w:val="left"/>
            </w:pPr>
            <w:r>
              <w:rPr>
                <w:rFonts w:ascii="Arial" w:cs="Arial" w:eastAsia="Arial" w:hAnsi="Arial"/>
                <w:b w:val="false"/>
                <w:bCs w:val="false"/>
                <w:color w:val="222222"/>
                <w:sz w:val="18"/>
                <w:szCs w:val="18"/>
              </w:rPr>
              <w:t xml:space="preserve">Polished notebook + non-technical report + deployed Streamlit app URL</w:t>
            </w:r>
          </w:p>
        </w:tc>
      </w:tr>
    </w:tbl>
    <w:p>
      <w:pPr>
        <w:spacing w:before="0" w:after="0"/>
      </w:pPr>
      <w:r>
        <w:rPr>
          <w:sz w:val="22"/>
          <w:szCs w:val="22"/>
        </w:rPr>
        <w:t xml:space="preserve"/>
      </w:r>
    </w:p>
    <w:p>
      <w:pPr>
        <w:pStyle w:val="Heading1"/>
        <w:pBdr>
          <w:bottom w:val="single" w:color="2E75B6" w:sz="6" w:space="6"/>
        </w:pBdr>
        <w:spacing w:before="360" w:after="160"/>
      </w:pPr>
      <w:r>
        <w:rPr>
          <w:rFonts w:ascii="Arial" w:cs="Arial" w:eastAsia="Arial" w:hAnsi="Arial"/>
          <w:b/>
          <w:bCs/>
          <w:color w:val="1F3864"/>
          <w:sz w:val="34"/>
          <w:szCs w:val="34"/>
        </w:rPr>
        <w:t xml:space="preserve">References</w:t>
      </w:r>
    </w:p>
    <w:p>
      <w:pPr>
        <w:pStyle w:val="ListParagraph"/>
        <w:numPr>
          <w:ilvl w:val="0"/>
          <w:numId w:val="2"/>
        </w:numPr>
        <w:spacing w:before="60" w:after="60"/>
      </w:pPr>
      <w:r>
        <w:rPr>
          <w:rFonts w:ascii="Arial" w:cs="Arial" w:eastAsia="Arial" w:hAnsi="Arial"/>
          <w:sz w:val="22"/>
          <w:szCs w:val="22"/>
        </w:rPr>
        <w:t xml:space="preserve">LendingClub Loan Dataset (2007-2018) -- https://www.kaggle.com/datasets/wordsforthewise/lending-club</w:t>
      </w:r>
    </w:p>
    <w:p>
      <w:pPr>
        <w:pStyle w:val="ListParagraph"/>
        <w:numPr>
          <w:ilvl w:val="0"/>
          <w:numId w:val="2"/>
        </w:numPr>
        <w:spacing w:before="60" w:after="60"/>
      </w:pPr>
      <w:r>
        <w:rPr>
          <w:rFonts w:ascii="Arial" w:cs="Arial" w:eastAsia="Arial" w:hAnsi="Arial"/>
          <w:sz w:val="22"/>
          <w:szCs w:val="22"/>
        </w:rPr>
        <w:t xml:space="preserve">Home Credit Default Risk -- https://www.kaggle.com/competitions/home-credit-default-risk</w:t>
      </w:r>
    </w:p>
    <w:p>
      <w:pPr>
        <w:pStyle w:val="ListParagraph"/>
        <w:numPr>
          <w:ilvl w:val="0"/>
          <w:numId w:val="2"/>
        </w:numPr>
        <w:spacing w:before="60" w:after="60"/>
      </w:pPr>
      <w:r>
        <w:rPr>
          <w:rFonts w:ascii="Arial" w:cs="Arial" w:eastAsia="Arial" w:hAnsi="Arial"/>
          <w:sz w:val="22"/>
          <w:szCs w:val="22"/>
        </w:rPr>
        <w:t xml:space="preserve">RBI Digital Lending Guidelines (2022) -- https://rbi.org.in/Scripts/NotificationUser.aspx?Id=12382</w:t>
      </w:r>
    </w:p>
    <w:p>
      <w:pPr>
        <w:pStyle w:val="ListParagraph"/>
        <w:numPr>
          <w:ilvl w:val="0"/>
          <w:numId w:val="2"/>
        </w:numPr>
        <w:spacing w:before="60" w:after="60"/>
      </w:pPr>
      <w:r>
        <w:rPr>
          <w:rFonts w:ascii="Arial" w:cs="Arial" w:eastAsia="Arial" w:hAnsi="Arial"/>
          <w:sz w:val="22"/>
          <w:szCs w:val="22"/>
        </w:rPr>
        <w:t xml:space="preserve">Lundberg, S. M. &amp; Lee, S. (2017). A Unified Approach to Interpreting Model Predictions. NeurIPS 2017.</w:t>
      </w:r>
    </w:p>
    <w:p>
      <w:pPr>
        <w:pStyle w:val="ListParagraph"/>
        <w:numPr>
          <w:ilvl w:val="0"/>
          <w:numId w:val="2"/>
        </w:numPr>
        <w:spacing w:before="60" w:after="60"/>
      </w:pPr>
      <w:r>
        <w:rPr>
          <w:rFonts w:ascii="Arial" w:cs="Arial" w:eastAsia="Arial" w:hAnsi="Arial"/>
          <w:sz w:val="22"/>
          <w:szCs w:val="22"/>
        </w:rPr>
        <w:t xml:space="preserve">Ribeiro, M. T., Singh, S. &amp; Guestrin, C. (2016). Why Should I Trust You? SIGKDD 2016.</w:t>
      </w:r>
    </w:p>
    <w:p>
      <w:pPr>
        <w:pStyle w:val="ListParagraph"/>
        <w:numPr>
          <w:ilvl w:val="0"/>
          <w:numId w:val="2"/>
        </w:numPr>
        <w:spacing w:before="60" w:after="60"/>
      </w:pPr>
      <w:r>
        <w:rPr>
          <w:rFonts w:ascii="Arial" w:cs="Arial" w:eastAsia="Arial" w:hAnsi="Arial"/>
          <w:sz w:val="22"/>
          <w:szCs w:val="22"/>
        </w:rPr>
        <w:t xml:space="preserve">Chen, T. &amp; Guestrin, C. (2016). XGBoost: A Scalable Tree Boosting System. KDD 2016.</w:t>
      </w:r>
    </w:p>
    <w:p>
      <w:pPr>
        <w:pStyle w:val="ListParagraph"/>
        <w:numPr>
          <w:ilvl w:val="0"/>
          <w:numId w:val="2"/>
        </w:numPr>
        <w:spacing w:before="60" w:after="60"/>
      </w:pPr>
      <w:r>
        <w:rPr>
          <w:rFonts w:ascii="Arial" w:cs="Arial" w:eastAsia="Arial" w:hAnsi="Arial"/>
          <w:sz w:val="22"/>
          <w:szCs w:val="22"/>
        </w:rPr>
        <w:t xml:space="preserve">Ke, G. et al. (2017). LightGBM: A Highly Efficient Gradient Boosting Decision Tree. NeurIPS 2017.</w:t>
      </w:r>
    </w:p>
    <w:p>
      <w:pPr>
        <w:pStyle w:val="ListParagraph"/>
        <w:numPr>
          <w:ilvl w:val="0"/>
          <w:numId w:val="2"/>
        </w:numPr>
        <w:spacing w:before="60" w:after="60"/>
      </w:pPr>
      <w:r>
        <w:rPr>
          <w:rFonts w:ascii="Arial" w:cs="Arial" w:eastAsia="Arial" w:hAnsi="Arial"/>
          <w:sz w:val="22"/>
          <w:szCs w:val="22"/>
        </w:rPr>
        <w:t xml:space="preserve">Akiba, T. et al. (2019). Optuna: A Next-Generation Hyperparameter Optimization Framework. KDD 2019.</w:t>
      </w:r>
    </w:p>
    <w:p>
      <w:pPr>
        <w:pStyle w:val="ListParagraph"/>
        <w:numPr>
          <w:ilvl w:val="0"/>
          <w:numId w:val="2"/>
        </w:numPr>
        <w:spacing w:before="60" w:after="60"/>
      </w:pPr>
      <w:r>
        <w:rPr>
          <w:rFonts w:ascii="Arial" w:cs="Arial" w:eastAsia="Arial" w:hAnsi="Arial"/>
          <w:sz w:val="22"/>
          <w:szCs w:val="22"/>
        </w:rPr>
        <w:t xml:space="preserve">Thomas, L. C., Edelman, D. B. &amp; Crook, J. N. (2002). Credit Scoring and Its Applications. SIAM.</w:t>
      </w:r>
    </w:p>
    <w:p>
      <w:pPr>
        <w:pStyle w:val="ListParagraph"/>
        <w:numPr>
          <w:ilvl w:val="0"/>
          <w:numId w:val="2"/>
        </w:numPr>
        <w:spacing w:before="60" w:after="60"/>
      </w:pPr>
      <w:r>
        <w:rPr>
          <w:rFonts w:ascii="Arial" w:cs="Arial" w:eastAsia="Arial" w:hAnsi="Arial"/>
          <w:sz w:val="22"/>
          <w:szCs w:val="22"/>
        </w:rPr>
        <w:t xml:space="preserve">Lessmann, S. et al. (2015). Benchmarking state-of-the-art classification algorithms for credit scoring. European Journal of Operational Research.</w:t>
      </w:r>
    </w:p>
    <w:p>
      <w:pPr>
        <w:pStyle w:val="ListParagraph"/>
        <w:numPr>
          <w:ilvl w:val="0"/>
          <w:numId w:val="2"/>
        </w:numPr>
        <w:spacing w:before="60" w:after="60"/>
      </w:pPr>
      <w:r>
        <w:rPr>
          <w:rFonts w:ascii="Arial" w:cs="Arial" w:eastAsia="Arial" w:hAnsi="Arial"/>
          <w:sz w:val="22"/>
          <w:szCs w:val="22"/>
        </w:rPr>
        <w:t xml:space="preserve">MLflow Documentation -- https://mlflow.org/docs/latest/index.html</w:t>
      </w:r>
    </w:p>
    <w:p>
      <w:pPr>
        <w:pStyle w:val="ListParagraph"/>
        <w:numPr>
          <w:ilvl w:val="0"/>
          <w:numId w:val="2"/>
        </w:numPr>
        <w:spacing w:before="60" w:after="60"/>
      </w:pPr>
      <w:r>
        <w:rPr>
          <w:rFonts w:ascii="Arial" w:cs="Arial" w:eastAsia="Arial" w:hAnsi="Arial"/>
          <w:sz w:val="22"/>
          <w:szCs w:val="22"/>
        </w:rPr>
        <w:t xml:space="preserve">Streamlit Documentation -- https://docs.streamlit.io</w:t>
      </w:r>
    </w:p>
    <w:p>
      <w:pPr>
        <w:pStyle w:val="ListParagraph"/>
        <w:numPr>
          <w:ilvl w:val="0"/>
          <w:numId w:val="2"/>
        </w:numPr>
        <w:spacing w:before="60" w:after="60"/>
      </w:pPr>
      <w:r>
        <w:rPr>
          <w:rFonts w:ascii="Arial" w:cs="Arial" w:eastAsia="Arial" w:hAnsi="Arial"/>
          <w:sz w:val="22"/>
          <w:szCs w:val="22"/>
        </w:rPr>
        <w:t xml:space="preserve">Hugging Face Spaces -- https://huggingface.co/docs/hub/spaces-sdks-streamlit</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center"/>
    </w:pPr>
    <w:r>
      <w:rPr>
        <w:rFonts w:ascii="Arial" w:cs="Arial" w:eastAsia="Arial" w:hAnsi="Arial"/>
        <w:color w:val="888888"/>
        <w:sz w:val="17"/>
        <w:szCs w:val="17"/>
      </w:rPr>
      <w:t xml:space="preserve">AI-Driven Loan Refinancing Recommendation System  |  Module 16 Formal Proposal  |  UC Berkeley ML &amp; AI Certificate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2026-02-21T09:28:01.502Z</dcterms:created>
  <dcterms:modified xsi:type="dcterms:W3CDTF">2026-02-21T09:28:01.503Z</dcterms:modified>
</cp:coreProperties>
</file>

<file path=docProps/custom.xml><?xml version="1.0" encoding="utf-8"?>
<Properties xmlns="http://schemas.openxmlformats.org/officeDocument/2006/custom-properties" xmlns:vt="http://schemas.openxmlformats.org/officeDocument/2006/docPropsVTypes"/>
</file>