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6395" w:rsidRDefault="00766033" w:rsidP="00766033">
      <w:pPr>
        <w:pStyle w:val="Nzev"/>
      </w:pPr>
      <w:r>
        <w:rPr>
          <w:lang w:val="en-US"/>
        </w:rPr>
        <w:t xml:space="preserve">6. </w:t>
      </w:r>
      <w:r w:rsidR="009C6523">
        <w:rPr>
          <w:lang w:val="en-US"/>
        </w:rPr>
        <w:t xml:space="preserve">I/O - </w:t>
      </w:r>
      <w:r w:rsidR="004B65C0">
        <w:rPr>
          <w:lang w:val="en-US"/>
        </w:rPr>
        <w:t>Zobrazovac</w:t>
      </w:r>
      <w:r w:rsidR="004B65C0">
        <w:t>í jednotky</w:t>
      </w:r>
    </w:p>
    <w:p w:rsidR="004B65C0" w:rsidRDefault="004B65C0" w:rsidP="004B65C0">
      <w:pPr>
        <w:pStyle w:val="Odstavecseseznamem"/>
        <w:numPr>
          <w:ilvl w:val="0"/>
          <w:numId w:val="10"/>
        </w:numPr>
      </w:pPr>
      <w:r>
        <w:t>Pro připojení se používá grafická karta nebo video adaptér</w:t>
      </w:r>
    </w:p>
    <w:p w:rsidR="004B65C0" w:rsidRPr="004B65C0" w:rsidRDefault="004B65C0" w:rsidP="004B65C0">
      <w:pPr>
        <w:pStyle w:val="Odstavecseseznamem"/>
        <w:numPr>
          <w:ilvl w:val="0"/>
          <w:numId w:val="10"/>
        </w:numPr>
      </w:pPr>
      <w:r>
        <w:rPr>
          <w:lang w:val="en-US"/>
        </w:rPr>
        <w:t>Úkolem grafické karty je vypočítat jednotlivé objekty k zobrazení a poté je vhodně přenést na zobrazovací jednotku</w:t>
      </w:r>
    </w:p>
    <w:p w:rsidR="004B65C0" w:rsidRPr="004B65C0" w:rsidRDefault="004B65C0" w:rsidP="004B65C0">
      <w:pPr>
        <w:pStyle w:val="Odstavecseseznamem"/>
        <w:numPr>
          <w:ilvl w:val="0"/>
          <w:numId w:val="10"/>
        </w:numPr>
      </w:pPr>
      <w:r>
        <w:rPr>
          <w:noProof/>
          <w:lang w:eastAsia="cs-CZ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5514975</wp:posOffset>
            </wp:positionH>
            <wp:positionV relativeFrom="paragraph">
              <wp:posOffset>12700</wp:posOffset>
            </wp:positionV>
            <wp:extent cx="790575" cy="754380"/>
            <wp:effectExtent l="0" t="0" r="9525" b="7620"/>
            <wp:wrapSquare wrapText="bothSides"/>
            <wp:docPr id="1" name="Picture 1" descr="https://upload.wikimedia.org/wikipedia/commons/thumb/e/e8/AdditiveColorMixiing.svg/220px-AdditiveColorMixiing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upload.wikimedia.org/wikipedia/commons/thumb/e/e8/AdditiveColorMixiing.svg/220px-AdditiveColorMixiing.svg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Základní princip pro vytváření barevných odstínů je </w:t>
      </w:r>
      <w:r w:rsidRPr="004B65C0">
        <w:rPr>
          <w:b/>
          <w:lang w:val="en-US"/>
        </w:rPr>
        <w:t>Aditivní míchání barev</w:t>
      </w:r>
      <w:r>
        <w:rPr>
          <w:lang w:val="en-US"/>
        </w:rPr>
        <w:t xml:space="preserve"> (barvy se sčítají)</w:t>
      </w:r>
    </w:p>
    <w:p w:rsidR="004B65C0" w:rsidRDefault="004B65C0" w:rsidP="004B65C0">
      <w:pPr>
        <w:pStyle w:val="Nadpis1"/>
      </w:pPr>
      <w:r>
        <w:t>Parametry</w:t>
      </w:r>
    </w:p>
    <w:p w:rsidR="004B65C0" w:rsidRDefault="004B65C0" w:rsidP="004B65C0">
      <w:pPr>
        <w:pStyle w:val="Point"/>
      </w:pPr>
      <w:r>
        <w:rPr>
          <w:noProof/>
          <w:lang w:eastAsia="cs-CZ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5057775</wp:posOffset>
            </wp:positionH>
            <wp:positionV relativeFrom="paragraph">
              <wp:posOffset>36195</wp:posOffset>
            </wp:positionV>
            <wp:extent cx="1362075" cy="1362075"/>
            <wp:effectExtent l="0" t="0" r="9525" b="9525"/>
            <wp:wrapSquare wrapText="bothSides"/>
            <wp:docPr id="2" name="Picture 2" descr="https://upload.wikimedia.org/wikipedia/commons/thumb/f/fa/Gamut-sRGB.png/220px-Gamut-sRG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upload.wikimedia.org/wikipedia/commons/thumb/f/fa/Gamut-sRGB.png/220px-Gamut-sRGB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Gamut</w:t>
      </w:r>
    </w:p>
    <w:p w:rsidR="004B65C0" w:rsidRDefault="004B65C0" w:rsidP="004B65C0">
      <w:r>
        <w:t xml:space="preserve">Dosažitelná oblast barev v barevném prostoru. Barvy mimo tuto oblast lze v daném barevném prostoru zobrazit jen přibližně. </w:t>
      </w:r>
    </w:p>
    <w:p w:rsidR="004B65C0" w:rsidRDefault="004B65C0" w:rsidP="004B65C0"/>
    <w:p w:rsidR="004B65C0" w:rsidRDefault="004B65C0" w:rsidP="004B65C0">
      <w:pPr>
        <w:pStyle w:val="Point"/>
      </w:pPr>
      <w:r>
        <w:t>Pozorovací úhel</w:t>
      </w:r>
    </w:p>
    <w:p w:rsidR="004B65C0" w:rsidRDefault="004B3C73" w:rsidP="004B65C0">
      <w:r>
        <w:t>Pozorovací úhel nám říká, do jakého úhlu je monitor pozorovatelný = neblednou barvy, neztrácí se kontrast. Většinou je to 160 – 170 stupnu.</w:t>
      </w:r>
    </w:p>
    <w:p w:rsidR="004B3C73" w:rsidRDefault="004B3C73" w:rsidP="004B65C0"/>
    <w:p w:rsidR="004B3C73" w:rsidRDefault="004B3C73" w:rsidP="004B3C73">
      <w:pPr>
        <w:pStyle w:val="Point"/>
      </w:pPr>
      <w:r>
        <w:t>Obnovovací frekvence</w:t>
      </w:r>
    </w:p>
    <w:p w:rsidR="004B3C73" w:rsidRDefault="004B3C73" w:rsidP="004B3C73">
      <w:r>
        <w:t>Jedná se o rychlost, kterou se obnovuje obraz na monitoru. Starší standardy byly 60 Hz, dnešní ale 75 Hz. Při nízké frekvenci může docházet k bolení hlavy a snížení pracovního výkonu.</w:t>
      </w:r>
    </w:p>
    <w:p w:rsidR="004B3C73" w:rsidRDefault="00C758CC" w:rsidP="004B3C73">
      <w:pPr>
        <w:pStyle w:val="Nadpis1"/>
      </w:pPr>
      <w:r>
        <w:rPr>
          <w:noProof/>
          <w:lang w:eastAsia="cs-CZ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5229225</wp:posOffset>
            </wp:positionH>
            <wp:positionV relativeFrom="paragraph">
              <wp:posOffset>287020</wp:posOffset>
            </wp:positionV>
            <wp:extent cx="1637030" cy="1819275"/>
            <wp:effectExtent l="0" t="0" r="1270" b="9525"/>
            <wp:wrapSquare wrapText="bothSides"/>
            <wp:docPr id="3" name="Picture 3" descr="http://www.kingvideocamera.estranky.cz/img/picture/77/crt_princip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www.kingvideocamera.estranky.cz/img/picture/77/crt_princip.gif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703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B3C73">
        <w:t>Typy monitoru</w:t>
      </w:r>
    </w:p>
    <w:p w:rsidR="004B3C73" w:rsidRDefault="004B3C73" w:rsidP="004B3C73">
      <w:pPr>
        <w:pStyle w:val="Point"/>
      </w:pPr>
      <w:r>
        <w:t>CRT (cathode ray tube)</w:t>
      </w:r>
    </w:p>
    <w:p w:rsidR="004B3C73" w:rsidRDefault="00C758CC" w:rsidP="004B3C73">
      <w:r>
        <w:t xml:space="preserve">Obraz se vytváří na stínítku </w:t>
      </w:r>
      <w:r w:rsidR="004B3C73">
        <w:t>pomocí proudu elektronů</w:t>
      </w:r>
      <w:r>
        <w:t xml:space="preserve"> ze tří katodových děl</w:t>
      </w:r>
      <w:r w:rsidR="004B3C73">
        <w:t xml:space="preserve">. Uvnitř skleněné </w:t>
      </w:r>
      <w:r>
        <w:t>nádoby</w:t>
      </w:r>
      <w:r w:rsidR="004B3C73">
        <w:t xml:space="preserve"> je vakuum a na stínítku je nanesena vrstva luminoforu (látka, která při dodání energie vyzařuje světlo), která vytváří světlo. Luminofor je tří barev </w:t>
      </w:r>
      <w:r>
        <w:t>(RGB) a výsledný pixel je tvořen kombinací intenzity těchto tří luminoforů.</w:t>
      </w:r>
      <w:r w:rsidRPr="00C758CC">
        <w:t xml:space="preserve"> </w:t>
      </w:r>
    </w:p>
    <w:p w:rsidR="00C758CC" w:rsidRDefault="00C758CC" w:rsidP="004B3C73"/>
    <w:p w:rsidR="00C758CC" w:rsidRDefault="00C758CC" w:rsidP="004B3C73">
      <w:r>
        <w:t>Výhody</w:t>
      </w:r>
    </w:p>
    <w:p w:rsidR="00C758CC" w:rsidRDefault="00C758CC" w:rsidP="00C758CC">
      <w:pPr>
        <w:pStyle w:val="Odstavecseseznamem"/>
        <w:numPr>
          <w:ilvl w:val="0"/>
          <w:numId w:val="11"/>
        </w:numPr>
      </w:pPr>
      <w:r>
        <w:t>Vysoký kontrast</w:t>
      </w:r>
    </w:p>
    <w:p w:rsidR="00C758CC" w:rsidRDefault="00C758CC" w:rsidP="00C758CC">
      <w:pPr>
        <w:pStyle w:val="Odstavecseseznamem"/>
        <w:numPr>
          <w:ilvl w:val="0"/>
          <w:numId w:val="11"/>
        </w:numPr>
      </w:pPr>
      <w:r>
        <w:t>Výsoká životnost</w:t>
      </w:r>
    </w:p>
    <w:p w:rsidR="00C758CC" w:rsidRDefault="00C758CC" w:rsidP="00C758CC">
      <w:pPr>
        <w:pStyle w:val="Odstavecseseznamem"/>
        <w:numPr>
          <w:ilvl w:val="0"/>
          <w:numId w:val="11"/>
        </w:numPr>
      </w:pPr>
      <w:r>
        <w:t>Věrnost barev</w:t>
      </w:r>
    </w:p>
    <w:p w:rsidR="00C758CC" w:rsidRDefault="00C758CC" w:rsidP="00C758CC">
      <w:r>
        <w:t>Nevýhody</w:t>
      </w:r>
    </w:p>
    <w:p w:rsidR="00C758CC" w:rsidRDefault="00C758CC" w:rsidP="00C758CC">
      <w:pPr>
        <w:pStyle w:val="Odstavecseseznamem"/>
        <w:numPr>
          <w:ilvl w:val="0"/>
          <w:numId w:val="12"/>
        </w:numPr>
      </w:pPr>
      <w:r>
        <w:lastRenderedPageBreak/>
        <w:t>Vyzařování nebezpečného záření</w:t>
      </w:r>
    </w:p>
    <w:p w:rsidR="00C758CC" w:rsidRDefault="00C758CC" w:rsidP="00C758CC">
      <w:pPr>
        <w:pStyle w:val="Odstavecseseznamem"/>
        <w:numPr>
          <w:ilvl w:val="0"/>
          <w:numId w:val="12"/>
        </w:numPr>
      </w:pPr>
      <w:r>
        <w:t>Vysoká hmotnost a velikost</w:t>
      </w:r>
    </w:p>
    <w:p w:rsidR="00C758CC" w:rsidRPr="004B3C73" w:rsidRDefault="00C758CC" w:rsidP="00A4225A">
      <w:pPr>
        <w:pStyle w:val="Odstavecseseznamem"/>
        <w:numPr>
          <w:ilvl w:val="0"/>
          <w:numId w:val="12"/>
        </w:numPr>
      </w:pPr>
      <w:r>
        <w:t>Vysoká spotřeba energie</w:t>
      </w:r>
    </w:p>
    <w:p w:rsidR="004B3C73" w:rsidRDefault="006730E8" w:rsidP="00C758CC">
      <w:pPr>
        <w:pStyle w:val="Point"/>
      </w:pPr>
      <w:r>
        <w:rPr>
          <w:noProof/>
          <w:lang w:eastAsia="cs-CZ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2733675</wp:posOffset>
            </wp:positionH>
            <wp:positionV relativeFrom="paragraph">
              <wp:posOffset>10795</wp:posOffset>
            </wp:positionV>
            <wp:extent cx="3867150" cy="2888615"/>
            <wp:effectExtent l="0" t="0" r="0" b="6985"/>
            <wp:wrapSquare wrapText="bothSides"/>
            <wp:docPr id="4" name="Picture 4" descr="https://www.banan.cz/userFiles/serialy/banan/img/coloured-lcd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www.banan.cz/userFiles/serialy/banan/img/coloured-lcd.gif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288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758CC">
        <w:t>LCD</w:t>
      </w:r>
    </w:p>
    <w:p w:rsidR="00CD603F" w:rsidRPr="00CD603F" w:rsidRDefault="00CD603F" w:rsidP="00CD603F">
      <w:r>
        <w:t>Tekutý krystal – látka, která stojí na pomezí pevného a tekutého stavu.</w:t>
      </w:r>
      <w:r w:rsidR="006730E8">
        <w:t xml:space="preserve"> V</w:t>
      </w:r>
      <w:r w:rsidR="006730E8" w:rsidRPr="006730E8">
        <w:t>livem elektrického napětí mění svoji molekulární strukturu.</w:t>
      </w:r>
    </w:p>
    <w:p w:rsidR="00C758CC" w:rsidRDefault="00C758CC" w:rsidP="00C758CC">
      <w:r>
        <w:t xml:space="preserve">V zadní </w:t>
      </w:r>
      <w:r w:rsidR="00CD603F">
        <w:t>části</w:t>
      </w:r>
      <w:r>
        <w:t xml:space="preserve"> je výbojka, která emituje světlo nutné pro osvětlení panelu. To pak</w:t>
      </w:r>
      <w:r w:rsidR="00CD603F">
        <w:t xml:space="preserve"> prochází dvěma polarizačními filtry z tekutých krystalů. První zajišťuje, aby světlo procházelo tím správným směrem, a druhý o intenzitu. Barvu zajištuje průchod světla přes barevné filtry, které obsahují pro každý bod 3 základní barvy (RGB). Výsledná barva je složením jasů těchto tří barev.</w:t>
      </w:r>
    </w:p>
    <w:p w:rsidR="00CD603F" w:rsidRDefault="00CD603F" w:rsidP="00C758CC">
      <w:r>
        <w:t>Výhody</w:t>
      </w:r>
    </w:p>
    <w:p w:rsidR="00CD603F" w:rsidRDefault="00CD603F" w:rsidP="00CD603F">
      <w:pPr>
        <w:pStyle w:val="Odstavecseseznamem"/>
        <w:numPr>
          <w:ilvl w:val="0"/>
          <w:numId w:val="13"/>
        </w:numPr>
      </w:pPr>
      <w:r>
        <w:t>Ostrost – díky přesnému uspořádán jednotlivých pixelů</w:t>
      </w:r>
    </w:p>
    <w:p w:rsidR="00CD603F" w:rsidRDefault="00CD603F" w:rsidP="00CD603F">
      <w:pPr>
        <w:pStyle w:val="Odstavecseseznamem"/>
        <w:numPr>
          <w:ilvl w:val="0"/>
          <w:numId w:val="13"/>
        </w:numPr>
      </w:pPr>
      <w:r>
        <w:t>Jas – díky katodám je podsvětlení displeje jasné</w:t>
      </w:r>
    </w:p>
    <w:p w:rsidR="00CD603F" w:rsidRDefault="00CD603F" w:rsidP="00CD603F">
      <w:pPr>
        <w:pStyle w:val="Odstavecseseznamem"/>
        <w:numPr>
          <w:ilvl w:val="0"/>
          <w:numId w:val="13"/>
        </w:numPr>
      </w:pPr>
      <w:r>
        <w:t>Spotřeba – oproti CRT poloviční</w:t>
      </w:r>
    </w:p>
    <w:p w:rsidR="00CD603F" w:rsidRDefault="00CD603F" w:rsidP="00CD603F">
      <w:r>
        <w:t>Nevýhody</w:t>
      </w:r>
    </w:p>
    <w:p w:rsidR="00CD603F" w:rsidRDefault="00CD603F" w:rsidP="00CD603F">
      <w:pPr>
        <w:pStyle w:val="Odstavecseseznamem"/>
        <w:numPr>
          <w:ilvl w:val="0"/>
          <w:numId w:val="14"/>
        </w:numPr>
      </w:pPr>
      <w:r>
        <w:t>Doba odezvy – tekuté krystaly nejsou tak rychlé</w:t>
      </w:r>
    </w:p>
    <w:p w:rsidR="00CD603F" w:rsidRDefault="00CD603F" w:rsidP="00CD603F">
      <w:pPr>
        <w:pStyle w:val="Odstavecseseznamem"/>
        <w:numPr>
          <w:ilvl w:val="0"/>
          <w:numId w:val="14"/>
        </w:numPr>
      </w:pPr>
      <w:r>
        <w:t xml:space="preserve">Pozorovací úhly </w:t>
      </w:r>
    </w:p>
    <w:p w:rsidR="00CD603F" w:rsidRDefault="00CD603F" w:rsidP="00CD603F">
      <w:pPr>
        <w:pStyle w:val="Odstavecseseznamem"/>
        <w:numPr>
          <w:ilvl w:val="0"/>
          <w:numId w:val="14"/>
        </w:numPr>
      </w:pPr>
      <w:r>
        <w:t>Vadný pixel – v případě poruchy zůstane buď zhasnutý, nebo rozsvícený.</w:t>
      </w:r>
    </w:p>
    <w:p w:rsidR="00CD603F" w:rsidRDefault="00CD603F" w:rsidP="00CD603F">
      <w:pPr>
        <w:pStyle w:val="Point"/>
      </w:pPr>
      <w:r>
        <w:t>Plazma</w:t>
      </w:r>
    </w:p>
    <w:p w:rsidR="00CD603F" w:rsidRDefault="00AB5084" w:rsidP="00CD603F">
      <w:r>
        <w:t>Plazma je skupenstvím složeným z iontů a elementárních částic</w:t>
      </w:r>
    </w:p>
    <w:p w:rsidR="00AB5084" w:rsidRDefault="00AB5084" w:rsidP="00CD603F">
      <w:r>
        <w:t>Plazma emituje UV záření, které dopadá na scintilátor</w:t>
      </w:r>
      <w:r w:rsidR="007530AB">
        <w:t xml:space="preserve"> (zařízení pro detekci ionizujícího záření)</w:t>
      </w:r>
      <w:r>
        <w:t xml:space="preserve"> a ten se vlivem ionizujícího záření rozsvítí.</w:t>
      </w:r>
      <w:r w:rsidRPr="00AB5084">
        <w:t xml:space="preserve"> </w:t>
      </w:r>
      <w:r>
        <w:t>Díky odděleným buňkám pro každou ze tří základních barev, pak přes poslední vrstvu plazmového displeje vidíme danou barvu.</w:t>
      </w:r>
      <w:r w:rsidRPr="00AB5084">
        <w:t xml:space="preserve"> </w:t>
      </w:r>
      <w:r>
        <w:t xml:space="preserve">Každý scintilátor (odvozeno od scilantace = záblesk) je naplněn jinou směsí plynu, a proto při dopadu UV záření je produkováno produkováno světlo o jiné vlnové délce a tedy i jiná barva. </w:t>
      </w:r>
    </w:p>
    <w:p w:rsidR="00AB5084" w:rsidRDefault="00AB5084" w:rsidP="00CD603F">
      <w:r>
        <w:t>Výhody</w:t>
      </w:r>
    </w:p>
    <w:p w:rsidR="00AB5084" w:rsidRDefault="00AB5084" w:rsidP="00AB5084">
      <w:pPr>
        <w:pStyle w:val="Odstavecseseznamem"/>
        <w:numPr>
          <w:ilvl w:val="0"/>
          <w:numId w:val="16"/>
        </w:numPr>
      </w:pPr>
      <w:r>
        <w:t>Jas a kontrast – důkladné potlačení emisi (vypouštění) světla</w:t>
      </w:r>
    </w:p>
    <w:p w:rsidR="00AB5084" w:rsidRDefault="00AB5084" w:rsidP="00AB5084">
      <w:pPr>
        <w:pStyle w:val="Odstavecseseznamem"/>
        <w:numPr>
          <w:ilvl w:val="0"/>
          <w:numId w:val="16"/>
        </w:numPr>
      </w:pPr>
      <w:r>
        <w:t>Barvy – kvalitní podání ve světlých i tmavých scénách</w:t>
      </w:r>
    </w:p>
    <w:p w:rsidR="00AB5084" w:rsidRDefault="00AB5084" w:rsidP="00AB5084">
      <w:r>
        <w:t>Nevýhody</w:t>
      </w:r>
    </w:p>
    <w:p w:rsidR="00AB5084" w:rsidRDefault="00AB5084" w:rsidP="00AB5084">
      <w:pPr>
        <w:pStyle w:val="Odstavecseseznamem"/>
        <w:numPr>
          <w:ilvl w:val="0"/>
          <w:numId w:val="17"/>
        </w:numPr>
      </w:pPr>
      <w:r>
        <w:t>Minimální velikost – je omezena technologií</w:t>
      </w:r>
    </w:p>
    <w:p w:rsidR="00AB5084" w:rsidRDefault="00AB5084" w:rsidP="00AB5084">
      <w:pPr>
        <w:pStyle w:val="Odstavecseseznamem"/>
        <w:numPr>
          <w:ilvl w:val="0"/>
          <w:numId w:val="17"/>
        </w:numPr>
      </w:pPr>
      <w:r>
        <w:t>Spotřeba – nevhodné do IT</w:t>
      </w:r>
    </w:p>
    <w:p w:rsidR="00AB5084" w:rsidRDefault="00FF3AB5" w:rsidP="00AB5084">
      <w:pPr>
        <w:pStyle w:val="Point"/>
      </w:pPr>
      <w:r>
        <w:rPr>
          <w:noProof/>
          <w:lang w:eastAsia="cs-CZ"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3559810</wp:posOffset>
            </wp:positionH>
            <wp:positionV relativeFrom="paragraph">
              <wp:posOffset>9525</wp:posOffset>
            </wp:positionV>
            <wp:extent cx="2771775" cy="2383155"/>
            <wp:effectExtent l="0" t="0" r="9525" b="0"/>
            <wp:wrapSquare wrapText="bothSides"/>
            <wp:docPr id="5" name="Picture 5" descr="http://www.svethardware.cz/technologie-oled-tak-kde-vezi/15239/img/body-0.FE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www.svethardware.cz/technologie-oled-tak-kde-vezi/15239/img/body-0.FEE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238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B5084">
        <w:t>Oled (Organic light-emitting diode)</w:t>
      </w:r>
    </w:p>
    <w:p w:rsidR="00FF3AB5" w:rsidRDefault="00FF3AB5" w:rsidP="00AB5084">
      <w:r>
        <w:t>T</w:t>
      </w:r>
      <w:r w:rsidRPr="00FF3AB5">
        <w:t>yp displeje využívající technologii organických elektroluminiscenčních diod</w:t>
      </w:r>
      <w:r>
        <w:t xml:space="preserve"> (př</w:t>
      </w:r>
      <w:r w:rsidR="00FF5840">
        <w:t>eměna elektrické energie na svě</w:t>
      </w:r>
      <w:r>
        <w:t>tlo). Mezi průhlednou anodou a kovovou katodou je několik vrstev organické lá</w:t>
      </w:r>
      <w:bookmarkStart w:id="0" w:name="_GoBack"/>
      <w:bookmarkEnd w:id="0"/>
      <w:r>
        <w:t>tky.</w:t>
      </w:r>
    </w:p>
    <w:p w:rsidR="00FF3AB5" w:rsidRDefault="00FF3AB5" w:rsidP="00AB5084">
      <w:r>
        <w:t xml:space="preserve"> V momentě, když je do některého políčka přivedeno napětí, jsou vyvolány vyvolány kladné a záporné záporné náboje, které se spojují ve vyzařovací vrstvě, a tím produkují světelné záření.</w:t>
      </w:r>
    </w:p>
    <w:p w:rsidR="00FF3AB5" w:rsidRDefault="00FF3AB5" w:rsidP="00AB5084">
      <w:r>
        <w:t>Výhody</w:t>
      </w:r>
    </w:p>
    <w:p w:rsidR="00FF3AB5" w:rsidRDefault="00FF3AB5" w:rsidP="00FF3AB5">
      <w:pPr>
        <w:pStyle w:val="Odstavecseseznamem"/>
        <w:numPr>
          <w:ilvl w:val="0"/>
          <w:numId w:val="19"/>
        </w:numPr>
      </w:pPr>
      <w:r>
        <w:t>Dokonalá homogenita obrazu</w:t>
      </w:r>
    </w:p>
    <w:p w:rsidR="00FF3AB5" w:rsidRDefault="00FF3AB5" w:rsidP="00FF3AB5">
      <w:pPr>
        <w:pStyle w:val="Odstavecseseznamem"/>
        <w:numPr>
          <w:ilvl w:val="0"/>
          <w:numId w:val="19"/>
        </w:numPr>
      </w:pPr>
      <w:r>
        <w:t>Pozorovací úhly prakticky neexistují</w:t>
      </w:r>
    </w:p>
    <w:p w:rsidR="00FF3AB5" w:rsidRDefault="00FF3AB5" w:rsidP="00FF3AB5">
      <w:r>
        <w:t>Nevýhody</w:t>
      </w:r>
    </w:p>
    <w:p w:rsidR="00FF3AB5" w:rsidRDefault="00FF3AB5" w:rsidP="00FF3AB5">
      <w:pPr>
        <w:pStyle w:val="Odstavecseseznamem"/>
        <w:numPr>
          <w:ilvl w:val="0"/>
          <w:numId w:val="20"/>
        </w:numPr>
      </w:pPr>
      <w:r>
        <w:t>Nemožnost hardwarově regulovat jas</w:t>
      </w:r>
    </w:p>
    <w:p w:rsidR="00D608BF" w:rsidRDefault="00D608BF" w:rsidP="00D608BF">
      <w:pPr>
        <w:pStyle w:val="Point"/>
      </w:pPr>
      <w:r>
        <w:t>E-Papír</w:t>
      </w:r>
    </w:p>
    <w:p w:rsidR="00D608BF" w:rsidRDefault="00D608BF" w:rsidP="00D608BF">
      <w:pPr>
        <w:pStyle w:val="Nadpis1"/>
      </w:pPr>
      <w:r>
        <w:t>Dataprojektory</w:t>
      </w:r>
    </w:p>
    <w:p w:rsidR="00D608BF" w:rsidRDefault="00D608BF" w:rsidP="00D608BF">
      <w:r>
        <w:t>Jsou používány převážně pro prezentace, protože umožňuje zobrazovat na velkou plochu.</w:t>
      </w:r>
    </w:p>
    <w:p w:rsidR="00F3303D" w:rsidRDefault="00F3303D" w:rsidP="00F3303D">
      <w:pPr>
        <w:pStyle w:val="Point"/>
      </w:pPr>
      <w:r>
        <w:t>Dataprojektory LCD</w:t>
      </w:r>
    </w:p>
    <w:p w:rsidR="00F3303D" w:rsidRDefault="00F3303D" w:rsidP="00F3303D">
      <w:r>
        <w:t>Obsahuje tři LCD displeje, každý pro jednu ze základních barev (RGB).</w:t>
      </w:r>
    </w:p>
    <w:p w:rsidR="00F3303D" w:rsidRDefault="00F3303D" w:rsidP="00F3303D">
      <w:pPr>
        <w:pStyle w:val="Odstavecseseznamem"/>
        <w:numPr>
          <w:ilvl w:val="0"/>
          <w:numId w:val="20"/>
        </w:numPr>
      </w:pPr>
      <w:r>
        <w:t>Pomocí optické optické soustavy soustavy je k těmto displej displejům přivedeno světlo od projekční lampy.</w:t>
      </w:r>
    </w:p>
    <w:p w:rsidR="00F3303D" w:rsidRDefault="00F3303D" w:rsidP="00F3303D">
      <w:pPr>
        <w:pStyle w:val="Odstavecseseznamem"/>
        <w:numPr>
          <w:ilvl w:val="0"/>
          <w:numId w:val="20"/>
        </w:numPr>
      </w:pPr>
      <w:r>
        <w:t>Každý displej z procházejícího světla propustí jednu barevnou složku</w:t>
      </w:r>
    </w:p>
    <w:p w:rsidR="00F3303D" w:rsidRDefault="00F3303D" w:rsidP="00F3303D">
      <w:pPr>
        <w:pStyle w:val="Odstavecseseznamem"/>
        <w:numPr>
          <w:ilvl w:val="0"/>
          <w:numId w:val="20"/>
        </w:numPr>
      </w:pPr>
      <w:r>
        <w:t>Poté pomocí optického hranolu jsou tři světelné paprky opět spojeny do jednoho, který je poté objektivem směrován na projekční plochu.</w:t>
      </w:r>
    </w:p>
    <w:p w:rsidR="00F3303D" w:rsidRDefault="00F3303D" w:rsidP="00F3303D">
      <w:pPr>
        <w:pStyle w:val="Point"/>
      </w:pPr>
      <w:r>
        <w:t>Dataprojektory DLP</w:t>
      </w:r>
    </w:p>
    <w:p w:rsidR="00F3303D" w:rsidRDefault="00F3303D" w:rsidP="00F3303D">
      <w:pPr>
        <w:pStyle w:val="Odstavecseseznamem"/>
        <w:numPr>
          <w:ilvl w:val="0"/>
          <w:numId w:val="21"/>
        </w:numPr>
      </w:pPr>
      <w:r>
        <w:t>Uvnitř je DMD (digital micromirror device) čip, který obsahuje tisíce zrcátek mikroskopických rozměrů, kde každé ze zrcátek zastupuje jed</w:t>
      </w:r>
      <w:r w:rsidR="002D4CA2">
        <w:t>e</w:t>
      </w:r>
      <w:r>
        <w:t xml:space="preserve">n obrazový bod.  </w:t>
      </w:r>
    </w:p>
    <w:p w:rsidR="002D4CA2" w:rsidRDefault="002D4CA2" w:rsidP="002D4CA2">
      <w:pPr>
        <w:pStyle w:val="Point"/>
      </w:pPr>
      <w:r>
        <w:t>Dataprojektory CRT</w:t>
      </w:r>
    </w:p>
    <w:p w:rsidR="002D4CA2" w:rsidRDefault="002D4CA2" w:rsidP="002D4CA2">
      <w:pPr>
        <w:pStyle w:val="Odstavecseseznamem"/>
        <w:numPr>
          <w:ilvl w:val="0"/>
          <w:numId w:val="21"/>
        </w:numPr>
      </w:pPr>
      <w:r>
        <w:t>Tentor projektor je založen na principu tří nezávislých CRT s vysokým jasem, které generují obraz a skrze optickou soustavu jej promítají na plátno.</w:t>
      </w:r>
    </w:p>
    <w:p w:rsidR="00F3303D" w:rsidRDefault="00F3303D" w:rsidP="00F3303D">
      <w:pPr>
        <w:pStyle w:val="Nadpis1"/>
      </w:pPr>
      <w:r>
        <w:t>3D zobrazení</w:t>
      </w:r>
    </w:p>
    <w:p w:rsidR="00F3303D" w:rsidRPr="00F3303D" w:rsidRDefault="00F3303D" w:rsidP="00F3303D">
      <w:r>
        <w:t>Je založeno na br</w:t>
      </w:r>
      <w:r w:rsidR="00F67900">
        <w:t xml:space="preserve">ýlích, které mají v očnicích polarizační filtry. Jedna očnice propouští světlo kmitající v horizontální poloze, druhá má o 90 stupnu otočený filtr. Dvojice obrazů (pravé a levé oko) se </w:t>
      </w:r>
      <w:r w:rsidR="00F67900">
        <w:lastRenderedPageBreak/>
        <w:t>následné promítá na jednu projekční plochu. Odražený obraz od projekční plochy se dostaví k divákovi, ale do každého oka se promítne příslušný obraz.</w:t>
      </w:r>
    </w:p>
    <w:p w:rsidR="00F3303D" w:rsidRPr="00F3303D" w:rsidRDefault="00F3303D" w:rsidP="00F3303D"/>
    <w:p w:rsidR="00D608BF" w:rsidRPr="00AB5084" w:rsidRDefault="00D608BF" w:rsidP="00D608BF"/>
    <w:p w:rsidR="00AB5084" w:rsidRPr="00AB5084" w:rsidRDefault="00AB5084" w:rsidP="00AB5084"/>
    <w:sectPr w:rsidR="00AB5084" w:rsidRPr="00AB5084" w:rsidSect="00E175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05079"/>
    <w:multiLevelType w:val="hybridMultilevel"/>
    <w:tmpl w:val="D5CEFCF8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4656E6"/>
    <w:multiLevelType w:val="hybridMultilevel"/>
    <w:tmpl w:val="61C89CF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95039E"/>
    <w:multiLevelType w:val="hybridMultilevel"/>
    <w:tmpl w:val="EC60E09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9D4DEE"/>
    <w:multiLevelType w:val="hybridMultilevel"/>
    <w:tmpl w:val="04744FD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5D040E"/>
    <w:multiLevelType w:val="hybridMultilevel"/>
    <w:tmpl w:val="5FD041C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83B4FBD"/>
    <w:multiLevelType w:val="hybridMultilevel"/>
    <w:tmpl w:val="051C794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B4734C2"/>
    <w:multiLevelType w:val="hybridMultilevel"/>
    <w:tmpl w:val="7B4216D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BFC3CBA"/>
    <w:multiLevelType w:val="hybridMultilevel"/>
    <w:tmpl w:val="C8982B6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E893374"/>
    <w:multiLevelType w:val="hybridMultilevel"/>
    <w:tmpl w:val="41D01FE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3CC1202"/>
    <w:multiLevelType w:val="hybridMultilevel"/>
    <w:tmpl w:val="1D9676FE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8084F31"/>
    <w:multiLevelType w:val="hybridMultilevel"/>
    <w:tmpl w:val="7C148284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1162460"/>
    <w:multiLevelType w:val="hybridMultilevel"/>
    <w:tmpl w:val="4EC09B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82577CB"/>
    <w:multiLevelType w:val="hybridMultilevel"/>
    <w:tmpl w:val="DC08B02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DE63939"/>
    <w:multiLevelType w:val="hybridMultilevel"/>
    <w:tmpl w:val="FB86CF4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BEB1DD4"/>
    <w:multiLevelType w:val="hybridMultilevel"/>
    <w:tmpl w:val="27B0E90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03255E"/>
    <w:multiLevelType w:val="hybridMultilevel"/>
    <w:tmpl w:val="1090BA4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58E4791"/>
    <w:multiLevelType w:val="hybridMultilevel"/>
    <w:tmpl w:val="9794B54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9C20EFF"/>
    <w:multiLevelType w:val="hybridMultilevel"/>
    <w:tmpl w:val="F3C0B6D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5FC04CB"/>
    <w:multiLevelType w:val="hybridMultilevel"/>
    <w:tmpl w:val="09EACD9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75008B6"/>
    <w:multiLevelType w:val="hybridMultilevel"/>
    <w:tmpl w:val="A3B836C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E1C5B65"/>
    <w:multiLevelType w:val="hybridMultilevel"/>
    <w:tmpl w:val="223834A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10"/>
  </w:num>
  <w:num w:numId="4">
    <w:abstractNumId w:val="0"/>
  </w:num>
  <w:num w:numId="5">
    <w:abstractNumId w:val="9"/>
  </w:num>
  <w:num w:numId="6">
    <w:abstractNumId w:val="3"/>
  </w:num>
  <w:num w:numId="7">
    <w:abstractNumId w:val="5"/>
  </w:num>
  <w:num w:numId="8">
    <w:abstractNumId w:val="12"/>
  </w:num>
  <w:num w:numId="9">
    <w:abstractNumId w:val="16"/>
  </w:num>
  <w:num w:numId="10">
    <w:abstractNumId w:val="7"/>
  </w:num>
  <w:num w:numId="11">
    <w:abstractNumId w:val="11"/>
  </w:num>
  <w:num w:numId="12">
    <w:abstractNumId w:val="2"/>
  </w:num>
  <w:num w:numId="13">
    <w:abstractNumId w:val="6"/>
  </w:num>
  <w:num w:numId="14">
    <w:abstractNumId w:val="13"/>
  </w:num>
  <w:num w:numId="15">
    <w:abstractNumId w:val="4"/>
  </w:num>
  <w:num w:numId="16">
    <w:abstractNumId w:val="17"/>
  </w:num>
  <w:num w:numId="17">
    <w:abstractNumId w:val="14"/>
  </w:num>
  <w:num w:numId="18">
    <w:abstractNumId w:val="18"/>
  </w:num>
  <w:num w:numId="19">
    <w:abstractNumId w:val="19"/>
  </w:num>
  <w:num w:numId="20">
    <w:abstractNumId w:val="20"/>
  </w:num>
  <w:num w:numId="21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ttachedTemplate r:id="rId1"/>
  <w:defaultTabStop w:val="708"/>
  <w:hyphenationZone w:val="425"/>
  <w:characterSpacingControl w:val="doNotCompress"/>
  <w:compat/>
  <w:rsids>
    <w:rsidRoot w:val="00941C00"/>
    <w:rsid w:val="00054921"/>
    <w:rsid w:val="000C7A0F"/>
    <w:rsid w:val="00136FE5"/>
    <w:rsid w:val="00174ED3"/>
    <w:rsid w:val="001912EB"/>
    <w:rsid w:val="001C13A5"/>
    <w:rsid w:val="002C2ED5"/>
    <w:rsid w:val="002D4CA2"/>
    <w:rsid w:val="00327DC3"/>
    <w:rsid w:val="00376B78"/>
    <w:rsid w:val="004A6395"/>
    <w:rsid w:val="004B3C73"/>
    <w:rsid w:val="004B65C0"/>
    <w:rsid w:val="00553E4E"/>
    <w:rsid w:val="006730E8"/>
    <w:rsid w:val="00695084"/>
    <w:rsid w:val="006C43B5"/>
    <w:rsid w:val="0072455E"/>
    <w:rsid w:val="007530AB"/>
    <w:rsid w:val="00766033"/>
    <w:rsid w:val="007D01E2"/>
    <w:rsid w:val="00827F86"/>
    <w:rsid w:val="00912256"/>
    <w:rsid w:val="00941C00"/>
    <w:rsid w:val="009C6523"/>
    <w:rsid w:val="00A55163"/>
    <w:rsid w:val="00AB5084"/>
    <w:rsid w:val="00AE5ABF"/>
    <w:rsid w:val="00BC2E8F"/>
    <w:rsid w:val="00BF37D7"/>
    <w:rsid w:val="00C758CC"/>
    <w:rsid w:val="00C83515"/>
    <w:rsid w:val="00CD603F"/>
    <w:rsid w:val="00D608BF"/>
    <w:rsid w:val="00E1753D"/>
    <w:rsid w:val="00ED2BAB"/>
    <w:rsid w:val="00F1785F"/>
    <w:rsid w:val="00F3303D"/>
    <w:rsid w:val="00F512E7"/>
    <w:rsid w:val="00F61C54"/>
    <w:rsid w:val="00F67900"/>
    <w:rsid w:val="00FF3AB5"/>
    <w:rsid w:val="00FF58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E1753D"/>
  </w:style>
  <w:style w:type="paragraph" w:styleId="Nadpis1">
    <w:name w:val="heading 1"/>
    <w:aliases w:val="Topic"/>
    <w:basedOn w:val="Normln"/>
    <w:next w:val="Normln"/>
    <w:link w:val="Nadpis1Char"/>
    <w:uiPriority w:val="9"/>
    <w:qFormat/>
    <w:rsid w:val="00C83515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b/>
      <w:color w:val="2E74B5" w:themeColor="accent1" w:themeShade="BF"/>
      <w:sz w:val="40"/>
      <w:szCs w:val="3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ED2BAB"/>
    <w:pPr>
      <w:ind w:left="720"/>
      <w:contextualSpacing/>
    </w:pPr>
  </w:style>
  <w:style w:type="paragraph" w:customStyle="1" w:styleId="Point">
    <w:name w:val="Point"/>
    <w:basedOn w:val="Normln"/>
    <w:next w:val="Normln"/>
    <w:link w:val="PointChar"/>
    <w:qFormat/>
    <w:rsid w:val="00C83515"/>
    <w:rPr>
      <w:b/>
      <w:color w:val="C45911" w:themeColor="accent2" w:themeShade="BF"/>
      <w:sz w:val="28"/>
    </w:rPr>
  </w:style>
  <w:style w:type="character" w:customStyle="1" w:styleId="Nadpis1Char">
    <w:name w:val="Nadpis 1 Char"/>
    <w:aliases w:val="Topic Char"/>
    <w:basedOn w:val="Standardnpsmoodstavce"/>
    <w:link w:val="Nadpis1"/>
    <w:uiPriority w:val="9"/>
    <w:rsid w:val="00C83515"/>
    <w:rPr>
      <w:rFonts w:asciiTheme="majorHAnsi" w:eastAsiaTheme="majorEastAsia" w:hAnsiTheme="majorHAnsi" w:cstheme="majorBidi"/>
      <w:b/>
      <w:color w:val="2E74B5" w:themeColor="accent1" w:themeShade="BF"/>
      <w:sz w:val="40"/>
      <w:szCs w:val="32"/>
    </w:rPr>
  </w:style>
  <w:style w:type="character" w:customStyle="1" w:styleId="PointChar">
    <w:name w:val="Point Char"/>
    <w:basedOn w:val="Standardnpsmoodstavce"/>
    <w:link w:val="Point"/>
    <w:rsid w:val="00C83515"/>
    <w:rPr>
      <w:b/>
      <w:color w:val="C45911" w:themeColor="accent2" w:themeShade="BF"/>
      <w:sz w:val="28"/>
    </w:rPr>
  </w:style>
  <w:style w:type="paragraph" w:styleId="Nzev">
    <w:name w:val="Title"/>
    <w:basedOn w:val="Normln"/>
    <w:next w:val="Normln"/>
    <w:link w:val="NzevChar"/>
    <w:uiPriority w:val="10"/>
    <w:qFormat/>
    <w:rsid w:val="00766033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766033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school\maturita\me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98</TotalTime>
  <Pages>4</Pages>
  <Words>665</Words>
  <Characters>3925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</dc:creator>
  <cp:keywords/>
  <dc:description/>
  <cp:lastModifiedBy>Vondracek</cp:lastModifiedBy>
  <cp:revision>11</cp:revision>
  <dcterms:created xsi:type="dcterms:W3CDTF">2016-05-20T01:37:00Z</dcterms:created>
  <dcterms:modified xsi:type="dcterms:W3CDTF">2016-05-27T10:52:00Z</dcterms:modified>
</cp:coreProperties>
</file>