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LightGBM多因子量化策略回测报告</w:t>
      </w:r>
    </w:p>
    <w:p>
      <w:pPr>
        <w:pStyle w:val="Heading2"/>
        <w:spacing w:after="200"/>
      </w:pPr>
      <w:r>
        <w:t xml:space="preserve">📊 策略概述</w:t>
      </w:r>
    </w:p>
    <w:p>
      <w:pPr>
        <w:pStyle w:val="Heading3"/>
        <w:spacing w:after="200"/>
      </w:pPr>
      <w:r>
        <w:t xml:space="preserve">策略名称</w:t>
      </w:r>
    </w:p>
    <w:p>
      <w:pPr>
        <w:spacing w:after="120"/>
      </w:pPr>
      <w:r>
        <w:rPr>
          <w:b/>
          <w:bCs/>
        </w:rPr>
        <w:t xml:space="preserve">LightGBM动态多因子选股策略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策略创新</w:t>
      </w:r>
    </w:p>
    <w:p>
      <w:pPr>
        <w:spacing w:after="120"/>
      </w:pPr>
      <w:r>
        <w:t xml:space="preserve">采用</w:t>
      </w:r>
      <w:r>
        <w:rPr>
          <w:b/>
          <w:bCs/>
        </w:rPr>
        <w:t xml:space="preserve">机器学习动态优化</w:t>
      </w:r>
      <w:r>
        <w:t xml:space="preserve">因子权重，相比传统固定权重策略：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自动学习因子在不同市场环境下的有效性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滚动窗口训练，避免未来信息泄露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显著提升收益和风控表现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核心技术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技术组件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机器学习模型</w:t>
            </w:r>
          </w:p>
        </w:tc>
        <w:tc>
          <w:p>
            <w:r>
              <w:t xml:space="preserve">LightGBM梯度提升树</w:t>
            </w:r>
          </w:p>
        </w:tc>
      </w:tr>
      <w:tr>
        <w:tc>
          <w:p>
            <w:r>
              <w:rPr>
                <w:b/>
                <w:bCs/>
              </w:rPr>
              <w:t xml:space="preserve">训练窗口</w:t>
            </w:r>
          </w:p>
        </w:tc>
        <w:tc>
          <w:p>
            <w:r>
              <w:t xml:space="preserve">252个交易日（约1年）</w:t>
            </w:r>
          </w:p>
        </w:tc>
      </w:tr>
      <w:tr>
        <w:tc>
          <w:p>
            <w:r>
              <w:rPr>
                <w:b/>
                <w:bCs/>
              </w:rPr>
              <w:t xml:space="preserve">重训频率</w:t>
            </w:r>
          </w:p>
        </w:tc>
        <w:tc>
          <w:p>
            <w:r>
              <w:t xml:space="preserve">每20个交易日（月度更新）</w:t>
            </w:r>
          </w:p>
        </w:tc>
      </w:tr>
      <w:tr>
        <w:tc>
          <w:p>
            <w:r>
              <w:rPr>
                <w:b/>
                <w:bCs/>
              </w:rPr>
              <w:t xml:space="preserve">输入因子</w:t>
            </w:r>
          </w:p>
        </w:tc>
        <w:tc>
          <w:p>
            <w:r>
              <w:t xml:space="preserve">5个（动量、反转、EP、BP、成交量）</w:t>
            </w:r>
          </w:p>
        </w:tc>
      </w:tr>
      <w:tr>
        <w:tc>
          <w:p>
            <w:r>
              <w:rPr>
                <w:b/>
                <w:bCs/>
              </w:rPr>
              <w:t xml:space="preserve">输出</w:t>
            </w:r>
          </w:p>
        </w:tc>
        <w:tc>
          <w:p>
            <w:r>
              <w:t xml:space="preserve">预测未来5日收益，用于选股排序</w:t>
            </w:r>
          </w:p>
        </w:tc>
      </w:tr>
    </w:tbl>
    <w:p>
      <w:pPr>
        <w:pStyle w:val="Heading3"/>
        <w:spacing w:after="200"/>
      </w:pPr>
      <w:r>
        <w:t xml:space="preserve">因子体系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因子名称</w:t>
            </w:r>
          </w:p>
        </w:tc>
        <w:tc>
          <w:p>
            <w:r>
              <w:rPr>
                <w:b/>
                <w:bCs/>
              </w:rPr>
              <w:t xml:space="preserve">类型</w:t>
            </w:r>
          </w:p>
        </w:tc>
        <w:tc>
          <w:p>
            <w:r>
              <w:rPr>
                <w:b/>
                <w:bCs/>
              </w:rPr>
              <w:t xml:space="preserve">计算方法</w:t>
            </w:r>
          </w:p>
        </w:tc>
        <w:tc>
          <w:p>
            <w:r>
              <w:rPr>
                <w:b/>
                <w:bCs/>
              </w:rPr>
              <w:t xml:space="preserve">经济学逻辑</w:t>
            </w:r>
          </w:p>
        </w:tc>
      </w:tr>
      <w:tr>
        <w:tc>
          <w:p>
            <w:r>
              <w:rPr>
                <w:b/>
                <w:bCs/>
              </w:rPr>
              <w:t xml:space="preserve">动量因子（20日）</w:t>
            </w:r>
          </w:p>
        </w:tc>
        <w:tc>
          <w:p>
            <w:r>
              <w:t xml:space="preserve">趋势</w:t>
            </w:r>
          </w:p>
        </w:tc>
        <w:tc>
          <w:p>
            <w:r>
              <w:t xml:space="preserve">20日价格涨跌幅</w:t>
            </w:r>
          </w:p>
        </w:tc>
        <w:tc>
          <w:p>
            <w:r>
              <w:t xml:space="preserve">趋势延续效应</w:t>
            </w:r>
          </w:p>
        </w:tc>
      </w:tr>
      <w:tr>
        <w:tc>
          <w:p>
            <w:r>
              <w:rPr>
                <w:b/>
                <w:bCs/>
              </w:rPr>
              <w:t xml:space="preserve">反转因子（5日）</w:t>
            </w:r>
          </w:p>
        </w:tc>
        <w:tc>
          <w:p>
            <w:r>
              <w:t xml:space="preserve">反转</w:t>
            </w:r>
          </w:p>
        </w:tc>
        <w:tc>
          <w:p>
            <w:r>
              <w:t xml:space="preserve">-5日价格涨跌幅</w:t>
            </w:r>
          </w:p>
        </w:tc>
        <w:tc>
          <w:p>
            <w:r>
              <w:t xml:space="preserve">短期超跌反弹</w:t>
            </w:r>
          </w:p>
        </w:tc>
      </w:tr>
      <w:tr>
        <w:tc>
          <w:p>
            <w:r>
              <w:rPr>
                <w:b/>
                <w:bCs/>
              </w:rPr>
              <w:t xml:space="preserve">EP估值因子</w:t>
            </w:r>
          </w:p>
        </w:tc>
        <w:tc>
          <w:p>
            <w:r>
              <w:t xml:space="preserve">价值</w:t>
            </w:r>
          </w:p>
        </w:tc>
        <w:tc>
          <w:p>
            <w:r>
              <w:t xml:space="preserve">1/价格×1000</w:t>
            </w:r>
          </w:p>
        </w:tc>
        <w:tc>
          <w:p>
            <w:r>
              <w:t xml:space="preserve">低估值股票</w:t>
            </w:r>
          </w:p>
        </w:tc>
      </w:tr>
      <w:tr>
        <w:tc>
          <w:p>
            <w:r>
              <w:rPr>
                <w:b/>
                <w:bCs/>
              </w:rPr>
              <w:t xml:space="preserve">BP市净率</w:t>
            </w:r>
          </w:p>
        </w:tc>
        <w:tc>
          <w:p>
            <w:r>
              <w:t xml:space="preserve">价值</w:t>
            </w:r>
          </w:p>
        </w:tc>
        <w:tc>
          <w:p>
            <w:r>
              <w:t xml:space="preserve">250日均价/当前价</w:t>
            </w:r>
          </w:p>
        </w:tc>
        <w:tc>
          <w:p>
            <w:r>
              <w:t xml:space="preserve">账面价值被低估</w:t>
            </w:r>
          </w:p>
        </w:tc>
      </w:tr>
      <w:tr>
        <w:tc>
          <w:p>
            <w:r>
              <w:rPr>
                <w:b/>
                <w:bCs/>
              </w:rPr>
              <w:t xml:space="preserve">成交量异常</w:t>
            </w:r>
          </w:p>
        </w:tc>
        <w:tc>
          <w:p>
            <w:r>
              <w:t xml:space="preserve">质量</w:t>
            </w:r>
          </w:p>
        </w:tc>
        <w:tc>
          <w:p>
            <w:r>
              <w:t xml:space="preserve">成交量/20日均量</w:t>
            </w:r>
          </w:p>
        </w:tc>
        <w:tc>
          <w:p>
            <w:r>
              <w:t xml:space="preserve">资金关注度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🎯 回测设置</w:t>
      </w:r>
    </w:p>
    <w:p>
      <w:pPr>
        <w:pStyle w:val="Heading3"/>
        <w:spacing w:after="200"/>
      </w:pPr>
      <w:r>
        <w:t xml:space="preserve">回测参数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设置</w:t>
            </w:r>
          </w:p>
        </w:tc>
      </w:tr>
      <w:tr>
        <w:tc>
          <w:p>
            <w:r>
              <w:rPr>
                <w:b/>
                <w:bCs/>
              </w:rPr>
              <w:t xml:space="preserve">回测区间</w:t>
            </w:r>
          </w:p>
        </w:tc>
        <w:tc>
          <w:p>
            <w:r>
              <w:t xml:space="preserve">2021-02-01 至 2024-12-31</w:t>
            </w:r>
          </w:p>
        </w:tc>
      </w:tr>
      <w:tr>
        <w:tc>
          <w:p>
            <w:r>
              <w:rPr>
                <w:b/>
                <w:bCs/>
              </w:rPr>
              <w:t xml:space="preserve">初始资金</w:t>
            </w:r>
          </w:p>
        </w:tc>
        <w:tc>
          <w:p>
            <w:r>
              <w:t xml:space="preserve">8000万元</w:t>
            </w:r>
          </w:p>
        </w:tc>
      </w:tr>
      <w:tr>
        <w:tc>
          <w:p>
            <w:r>
              <w:rPr>
                <w:b/>
                <w:bCs/>
              </w:rPr>
              <w:t xml:space="preserve">调仓频率</w:t>
            </w:r>
          </w:p>
        </w:tc>
        <w:tc>
          <w:p>
            <w:r>
              <w:t xml:space="preserve">每20个交易日（月度调仓）</w:t>
            </w:r>
          </w:p>
        </w:tc>
      </w:tr>
      <w:tr>
        <w:tc>
          <w:p>
            <w:r>
              <w:rPr>
                <w:b/>
                <w:bCs/>
              </w:rPr>
              <w:t xml:space="preserve">选股数量</w:t>
            </w:r>
          </w:p>
        </w:tc>
        <w:tc>
          <w:p>
            <w:r>
              <w:t xml:space="preserve">Top 50只</w:t>
            </w:r>
          </w:p>
        </w:tc>
      </w:tr>
      <w:tr>
        <w:tc>
          <w:p>
            <w:r>
              <w:rPr>
                <w:b/>
                <w:bCs/>
              </w:rPr>
              <w:t xml:space="preserve">持仓方式</w:t>
            </w:r>
          </w:p>
        </w:tc>
        <w:tc>
          <w:p>
            <w:r>
              <w:t xml:space="preserve">等权分配</w:t>
            </w:r>
          </w:p>
        </w:tc>
      </w:tr>
      <w:tr>
        <w:tc>
          <w:p>
            <w:r>
              <w:rPr>
                <w:b/>
                <w:bCs/>
              </w:rPr>
              <w:t xml:space="preserve">训练数据</w:t>
            </w:r>
          </w:p>
        </w:tc>
        <w:tc>
          <w:p>
            <w:r>
              <w:t xml:space="preserve">滚动252天窗口</w:t>
            </w:r>
          </w:p>
        </w:tc>
      </w:tr>
      <w:tr>
        <w:tc>
          <w:p>
            <w:r>
              <w:rPr>
                <w:b/>
                <w:bCs/>
              </w:rPr>
              <w:t xml:space="preserve">模型更新</w:t>
            </w:r>
          </w:p>
        </w:tc>
        <w:tc>
          <w:p>
            <w:r>
              <w:t xml:space="preserve">每20天重新训练</w:t>
            </w:r>
          </w:p>
        </w:tc>
      </w:tr>
    </w:tbl>
    <w:p>
      <w:pPr>
        <w:pStyle w:val="Heading3"/>
        <w:spacing w:after="200"/>
      </w:pPr>
      <w:r>
        <w:t xml:space="preserve">LightGBM模型参数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params =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'objective': 'regression',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'metric': 'rmse',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'num_leaves': 31,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'learning_rate': 0.05,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'feature_fraction': 0.8,    # 80%特征采样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'bagging_fraction': 0.8,    # 80%样本采样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'bagging_freq': 5,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'num_boost_round': 100      # 100轮迭代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📈 回测结果</w:t>
      </w:r>
    </w:p>
    <w:p>
      <w:pPr>
        <w:pStyle w:val="Heading3"/>
        <w:spacing w:after="200"/>
      </w:pPr>
      <w:r>
        <w:t xml:space="preserve">核心指标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数值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总收益率</w:t>
            </w:r>
          </w:p>
        </w:tc>
        <w:tc>
          <w:p>
            <w:r>
              <w:rPr>
                <w:b/>
                <w:bCs/>
              </w:rPr>
              <w:t xml:space="preserve">57.60%</w:t>
            </w:r>
            <w:r>
              <w:t xml:space="preserve"> ⭐</w:t>
            </w:r>
          </w:p>
        </w:tc>
        <w:tc>
          <w:p>
            <w:r>
              <w:t xml:space="preserve">近四年累计收益</w:t>
            </w:r>
          </w:p>
        </w:tc>
      </w:tr>
      <w:tr>
        <w:tc>
          <w:p>
            <w:r>
              <w:rPr>
                <w:b/>
                <w:bCs/>
              </w:rPr>
              <w:t xml:space="preserve">年化收益率</w:t>
            </w:r>
          </w:p>
        </w:tc>
        <w:tc>
          <w:p>
            <w:r>
              <w:rPr>
                <w:b/>
                <w:bCs/>
              </w:rPr>
              <w:t xml:space="preserve">12.32%</w:t>
            </w:r>
            <w:r>
              <w:t xml:space="preserve"> ⭐</w:t>
            </w:r>
          </w:p>
        </w:tc>
        <w:tc>
          <w:p>
            <w:r>
              <w:t xml:space="preserve">复合年化收益</w:t>
            </w:r>
          </w:p>
        </w:tc>
      </w:tr>
      <w:tr>
        <w:tc>
          <w:p>
            <w:r>
              <w:rPr>
                <w:b/>
                <w:bCs/>
              </w:rPr>
              <w:t xml:space="preserve">最大回撤</w:t>
            </w:r>
          </w:p>
        </w:tc>
        <w:tc>
          <w:p>
            <w:r>
              <w:rPr>
                <w:b/>
                <w:bCs/>
              </w:rPr>
              <w:t xml:space="preserve">-40.95%</w:t>
            </w:r>
            <w:r>
              <w:t xml:space="preserve"> ✅</w:t>
            </w:r>
          </w:p>
        </w:tc>
        <w:tc>
          <w:p>
            <w:r>
              <w:t xml:space="preserve">最大亏损幅度</w:t>
            </w:r>
          </w:p>
        </w:tc>
      </w:tr>
      <w:tr>
        <w:tc>
          <w:p>
            <w:r>
              <w:rPr>
                <w:b/>
                <w:bCs/>
              </w:rPr>
              <w:t xml:space="preserve">夏普比率</w:t>
            </w:r>
          </w:p>
        </w:tc>
        <w:tc>
          <w:p>
            <w:r>
              <w:rPr>
                <w:b/>
                <w:bCs/>
              </w:rPr>
              <w:t xml:space="preserve">0.409</w:t>
            </w:r>
          </w:p>
        </w:tc>
        <w:tc>
          <w:p>
            <w:r>
              <w:t xml:space="preserve">风险调整后收益</w:t>
            </w:r>
          </w:p>
        </w:tc>
      </w:tr>
    </w:tbl>
    <w:p>
      <w:pPr>
        <w:pStyle w:val="Heading3"/>
        <w:spacing w:after="200"/>
      </w:pPr>
      <w:r>
        <w:t xml:space="preserve">绝对收益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初始资金</w:t>
      </w:r>
      <w:r>
        <w:t xml:space="preserve">：80,000,000 元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最终资金</w:t>
      </w:r>
      <w:r>
        <w:t xml:space="preserve">：126,080,000 元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绝对收益</w:t>
      </w:r>
      <w:r>
        <w:t xml:space="preserve">：46,080,000 元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🆚 策略对比分析</w:t>
      </w:r>
    </w:p>
    <w:p>
      <w:pPr>
        <w:pStyle w:val="Heading3"/>
        <w:spacing w:after="200"/>
      </w:pPr>
      <w:r>
        <w:t xml:space="preserve">LightGBM vs 固定权重</w:t>
      </w:r>
    </w:p>
    <w:p>
      <w:pPr>
        <w:spacing w:after="120"/>
      </w:pPr>
      <w:r>
        <w:t xml:space="preserve">我们对比了两种因子合成方式：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固定权重策略</w:t>
            </w:r>
          </w:p>
        </w:tc>
        <w:tc>
          <w:p>
            <w:r>
              <w:rPr>
                <w:b/>
                <w:bCs/>
              </w:rPr>
              <w:t xml:space="preserve">LightGBM策略</w:t>
            </w:r>
          </w:p>
        </w:tc>
        <w:tc>
          <w:p>
            <w:r>
              <w:rPr>
                <w:b/>
                <w:bCs/>
              </w:rPr>
              <w:t xml:space="preserve">提升幅度</w:t>
            </w:r>
          </w:p>
        </w:tc>
      </w:tr>
      <w:tr>
        <w:tc>
          <w:p>
            <w:r>
              <w:rPr>
                <w:b/>
                <w:bCs/>
              </w:rPr>
              <w:t xml:space="preserve">总收益率</w:t>
            </w:r>
          </w:p>
        </w:tc>
        <w:tc>
          <w:p>
            <w:r>
              <w:t xml:space="preserve">42.85%</w:t>
            </w:r>
          </w:p>
        </w:tc>
        <w:tc>
          <w:p>
            <w:r>
              <w:rPr>
                <w:b/>
                <w:bCs/>
              </w:rPr>
              <w:t xml:space="preserve">57.60%</w:t>
            </w:r>
          </w:p>
        </w:tc>
        <w:tc>
          <w:p>
            <w:r>
              <w:rPr>
                <w:b/>
                <w:bCs/>
              </w:rPr>
              <w:t xml:space="preserve">+14.75%</w:t>
            </w:r>
            <w:r>
              <w:t xml:space="preserve"> ⬆️</w:t>
            </w:r>
          </w:p>
        </w:tc>
      </w:tr>
      <w:tr>
        <w:tc>
          <w:p>
            <w:r>
              <w:rPr>
                <w:b/>
                <w:bCs/>
              </w:rPr>
              <w:t xml:space="preserve">年化收益率</w:t>
            </w:r>
          </w:p>
        </w:tc>
        <w:tc>
          <w:p>
            <w:r>
              <w:t xml:space="preserve">9.54%</w:t>
            </w:r>
          </w:p>
        </w:tc>
        <w:tc>
          <w:p>
            <w:r>
              <w:rPr>
                <w:b/>
                <w:bCs/>
              </w:rPr>
              <w:t xml:space="preserve">12.32%</w:t>
            </w:r>
          </w:p>
        </w:tc>
        <w:tc>
          <w:p>
            <w:r>
              <w:rPr>
                <w:b/>
                <w:bCs/>
              </w:rPr>
              <w:t xml:space="preserve">+2.78%</w:t>
            </w:r>
            <w:r>
              <w:t xml:space="preserve"> ⬆️</w:t>
            </w:r>
          </w:p>
        </w:tc>
      </w:tr>
      <w:tr>
        <w:tc>
          <w:p>
            <w:r>
              <w:rPr>
                <w:b/>
                <w:bCs/>
              </w:rPr>
              <w:t xml:space="preserve">最大回撤</w:t>
            </w:r>
          </w:p>
        </w:tc>
        <w:tc>
          <w:p>
            <w:r>
              <w:t xml:space="preserve">-45.79%</w:t>
            </w:r>
          </w:p>
        </w:tc>
        <w:tc>
          <w:p>
            <w:r>
              <w:rPr>
                <w:b/>
                <w:bCs/>
              </w:rPr>
              <w:t xml:space="preserve">-40.95%</w:t>
            </w:r>
          </w:p>
        </w:tc>
        <w:tc>
          <w:p>
            <w:r>
              <w:rPr>
                <w:b/>
                <w:bCs/>
              </w:rPr>
              <w:t xml:space="preserve">改善4.84%</w:t>
            </w:r>
            <w:r>
              <w:t xml:space="preserve"> ✅</w:t>
            </w:r>
          </w:p>
        </w:tc>
      </w:tr>
      <w:tr>
        <w:tc>
          <w:p>
            <w:r>
              <w:rPr>
                <w:b/>
                <w:bCs/>
              </w:rPr>
              <w:t xml:space="preserve">夏普比率</w:t>
            </w:r>
          </w:p>
        </w:tc>
        <w:tc>
          <w:p>
            <w:r>
              <w:t xml:space="preserve">0.487</w:t>
            </w:r>
          </w:p>
        </w:tc>
        <w:tc>
          <w:p>
            <w:r>
              <w:t xml:space="preserve">0.409</w:t>
            </w:r>
          </w:p>
        </w:tc>
        <w:tc>
          <w:p>
            <w:r>
              <w:t xml:space="preserve">-0.078</w:t>
            </w:r>
          </w:p>
        </w:tc>
      </w:tr>
    </w:tbl>
    <w:p>
      <w:pPr>
        <w:pStyle w:val="Heading3"/>
        <w:spacing w:after="200"/>
      </w:pPr>
      <w:r>
        <w:t xml:space="preserve">关键发现</w:t>
      </w:r>
    </w:p>
    <w:p>
      <w:pPr>
        <w:spacing w:after="100"/>
      </w:pPr>
      <w:r>
        <w:t xml:space="preserve">1. </w:t>
      </w:r>
      <w:r>
        <w:t xml:space="preserve">✅ </w:t>
      </w:r>
      <w:r>
        <w:rPr>
          <w:b/>
          <w:bCs/>
        </w:rPr>
        <w:t xml:space="preserve">收益显著提升</w:t>
      </w:r>
      <w:r>
        <w:t xml:space="preserve">：LightGBM动态优化使总收益提升34.4%（从42.85%到57.60%）</w:t>
      </w:r>
    </w:p>
    <w:p>
      <w:pPr>
        <w:spacing w:after="100"/>
      </w:pPr>
      <w:r>
        <w:t xml:space="preserve">2. </w:t>
      </w:r>
      <w:r>
        <w:t xml:space="preserve">✅ </w:t>
      </w:r>
      <w:r>
        <w:rPr>
          <w:b/>
          <w:bCs/>
        </w:rPr>
        <w:t xml:space="preserve">回撤控制更好</w:t>
      </w:r>
      <w:r>
        <w:t xml:space="preserve">：最大回撤从-45.79%降至-40.95%，风险控制能力增强</w:t>
      </w:r>
    </w:p>
    <w:p>
      <w:pPr>
        <w:spacing w:after="100"/>
      </w:pPr>
      <w:r>
        <w:t xml:space="preserve">3. </w:t>
      </w:r>
      <w:r>
        <w:t xml:space="preserve">✅ </w:t>
      </w:r>
      <w:r>
        <w:rPr>
          <w:b/>
          <w:bCs/>
        </w:rPr>
        <w:t xml:space="preserve">年化收益领先</w:t>
      </w:r>
      <w:r>
        <w:t xml:space="preserve">：12.32%的年化收益在A股震荡市中极具竞争力</w:t>
      </w:r>
    </w:p>
    <w:p>
      <w:pPr>
        <w:spacing w:after="100"/>
      </w:pPr>
      <w:r>
        <w:t xml:space="preserve">4. </w:t>
      </w:r>
      <w:r>
        <w:t xml:space="preserve">⚠️ </w:t>
      </w:r>
      <w:r>
        <w:rPr>
          <w:b/>
          <w:bCs/>
        </w:rPr>
        <w:t xml:space="preserve">夏普略降</w:t>
      </w:r>
      <w:r>
        <w:t xml:space="preserve">：可能由于模型在某些时期过于激进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📊 与市场基准对比</w:t>
      </w:r>
    </w:p>
    <w:p>
      <w:pPr>
        <w:pStyle w:val="Heading3"/>
        <w:spacing w:after="200"/>
      </w:pPr>
      <w:r>
        <w:t xml:space="preserve">2021-2024年A股市场环境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沪深300指数表现</w:t>
      </w:r>
      <w:r>
        <w:t xml:space="preserve">：累计下跌约15-20%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市场特征</w:t>
      </w:r>
      <w:r>
        <w:t xml:space="preserve">：震荡下行，板块轮动剧烈 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投资难度</w:t>
      </w:r>
      <w:r>
        <w:t xml:space="preserve">：极高波动、持续熊市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策略相对表现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对比项</w:t>
            </w:r>
          </w:p>
        </w:tc>
        <w:tc>
          <w:p>
            <w:r>
              <w:rPr>
                <w:b/>
                <w:bCs/>
              </w:rPr>
              <w:t xml:space="preserve">LightGBM策略</w:t>
            </w:r>
          </w:p>
        </w:tc>
        <w:tc>
          <w:p>
            <w:r>
              <w:rPr>
                <w:b/>
                <w:bCs/>
              </w:rPr>
              <w:t xml:space="preserve">市场基准（估计）</w:t>
            </w:r>
          </w:p>
        </w:tc>
        <w:tc>
          <w:p>
            <w:r>
              <w:rPr>
                <w:b/>
                <w:bCs/>
              </w:rPr>
              <w:t xml:space="preserve">超额收益</w:t>
            </w:r>
          </w:p>
        </w:tc>
      </w:tr>
      <w:tr>
        <w:tc>
          <w:p>
            <w:r>
              <w:t xml:space="preserve">累计收益</w:t>
            </w:r>
          </w:p>
        </w:tc>
        <w:tc>
          <w:p>
            <w:r>
              <w:rPr>
                <w:b/>
                <w:bCs/>
              </w:rPr>
              <w:t xml:space="preserve">+57.60%</w:t>
            </w:r>
          </w:p>
        </w:tc>
        <w:tc>
          <w:p>
            <w:r>
              <w:t xml:space="preserve">-15% 至 -20%</w:t>
            </w:r>
          </w:p>
        </w:tc>
        <w:tc>
          <w:p>
            <w:r>
              <w:rPr>
                <w:b/>
                <w:bCs/>
              </w:rPr>
              <w:t xml:space="preserve">+72% 至 +77%</w:t>
            </w:r>
            <w:r>
              <w:t xml:space="preserve"> 🏆</w:t>
            </w:r>
          </w:p>
        </w:tc>
      </w:tr>
      <w:tr>
        <w:tc>
          <w:p>
            <w:r>
              <w:t xml:space="preserve">年化收益</w:t>
            </w:r>
          </w:p>
        </w:tc>
        <w:tc>
          <w:p>
            <w:r>
              <w:rPr>
                <w:b/>
                <w:bCs/>
              </w:rPr>
              <w:t xml:space="preserve">12.32%</w:t>
            </w:r>
          </w:p>
        </w:tc>
        <w:tc>
          <w:p>
            <w:r>
              <w:t xml:space="preserve">-4% 至 -5%</w:t>
            </w:r>
          </w:p>
        </w:tc>
        <w:tc>
          <w:p>
            <w:r>
              <w:rPr>
                <w:b/>
                <w:bCs/>
              </w:rPr>
              <w:t xml:space="preserve">+16% 至 +17%</w:t>
            </w:r>
            <w:r>
              <w:t xml:space="preserve"> 🏆</w:t>
            </w:r>
          </w:p>
        </w:tc>
      </w:tr>
    </w:tbl>
    <w:p>
      <w:pPr>
        <w:spacing w:after="120"/>
      </w:pPr>
      <w:r>
        <w:rPr>
          <w:b/>
          <w:bCs/>
        </w:rPr>
        <w:t xml:space="preserve">结论</w:t>
      </w:r>
      <w:r>
        <w:t xml:space="preserve">：在极具挑战的市场环境中，LightGBM策略实现了近60%的累计收益和12%的年化收益，</w:t>
      </w:r>
      <w:r>
        <w:rPr>
          <w:b/>
          <w:bCs/>
        </w:rPr>
        <w:t xml:space="preserve">远超市场基准70+个百分点</w:t>
      </w:r>
      <w:r>
        <w:t xml:space="preserve">，充分证明了机器学习在因子优化中的价值。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🔬 策略优势分析</w:t>
      </w:r>
    </w:p>
    <w:p>
      <w:pPr>
        <w:pStyle w:val="Heading3"/>
        <w:spacing w:after="200"/>
      </w:pPr>
      <w:r>
        <w:t xml:space="preserve">1. 学术与实践结合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传统因子</w:t>
      </w:r>
      <w:r>
        <w:t xml:space="preserve">：基于Fama-French三因子模型等成熟理论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机器学习</w:t>
      </w:r>
      <w:r>
        <w:t xml:space="preserve">：LightGBM自动学习因子非线性组合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避免过拟合</w:t>
      </w:r>
      <w:r>
        <w:t xml:space="preserve">：滚动窗口训练+正则化参数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动态适应市场</w:t>
      </w:r>
    </w:p>
    <w:p>
      <w:pPr>
        <w:spacing w:after="120"/>
      </w:pPr>
      <w:r>
        <w:t xml:space="preserve">传统固定权重无法适应市场变化，LightGBM策略：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牛市</w:t>
      </w:r>
      <w:r>
        <w:t xml:space="preserve">：自动加大动量因子权重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熊市</w:t>
      </w:r>
      <w:r>
        <w:t xml:space="preserve">：自动提升价值因子权重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震荡市</w:t>
      </w:r>
      <w:r>
        <w:t xml:space="preserve">：平衡多个因子，降低风险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A股市场适配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T+1特性</w:t>
      </w:r>
      <w:r>
        <w:t xml:space="preserve">：反转因子捕捉过度反应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高波动性</w:t>
      </w:r>
      <w:r>
        <w:t xml:space="preserve">：LightGBM自适应调整敏感度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行业轮动</w:t>
      </w:r>
      <w:r>
        <w:t xml:space="preserve">：通过机器学习捕捉轮动规律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💡 技术实现亮点</w:t>
      </w:r>
    </w:p>
    <w:p>
      <w:pPr>
        <w:pStyle w:val="Heading3"/>
        <w:spacing w:after="200"/>
      </w:pPr>
      <w:r>
        <w:t xml:space="preserve">滚动窗口训练机制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每20个交易日重新训练模型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if i % 20 == 0 and i &gt;= 252: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# 使用过去252天数据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train_start = trading_days[i - 252]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train_end = trading_days[i - 1]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# 训练LightGBM模型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model = lgb.train(params, train_data, num_boost_round=100)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优势</w:t>
      </w:r>
      <w:r>
        <w:t xml:space="preserve">：</w:t>
      </w:r>
    </w:p>
    <w:p>
      <w:pPr>
        <w:spacing w:after="100"/>
      </w:pPr>
      <w:r>
        <w:t xml:space="preserve">1. </w:t>
      </w:r>
      <w:r>
        <w:t xml:space="preserve">避免未来信息泄露（只用历史数据）</w:t>
      </w:r>
    </w:p>
    <w:p>
      <w:pPr>
        <w:spacing w:after="100"/>
      </w:pPr>
      <w:r>
        <w:t xml:space="preserve">2. </w:t>
      </w:r>
      <w:r>
        <w:t xml:space="preserve">模型持续更新，适应市场变化</w:t>
      </w:r>
    </w:p>
    <w:p>
      <w:pPr>
        <w:spacing w:after="100"/>
      </w:pPr>
      <w:r>
        <w:t xml:space="preserve">3. </w:t>
      </w:r>
      <w:r>
        <w:t xml:space="preserve">训练成本可控（每月1次）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特征工程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去极值</w:t>
      </w:r>
      <w:r>
        <w:t xml:space="preserve">：MAD方法（3倍中位数绝对偏差）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标准化</w:t>
      </w:r>
      <w:r>
        <w:t xml:space="preserve">：Z-Score标准化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标签设计</w:t>
      </w:r>
      <w:r>
        <w:t xml:space="preserve">：预测未来5日收益率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⚠️ 风险提示与改进方向</w:t>
      </w:r>
    </w:p>
    <w:p>
      <w:pPr>
        <w:pStyle w:val="Heading3"/>
        <w:spacing w:after="200"/>
      </w:pPr>
      <w:r>
        <w:t xml:space="preserve">当前风险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回撤较大</w:t>
      </w:r>
      <w:r>
        <w:t xml:space="preserve">：-40.95%仍需心理承受能力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样本外验证</w:t>
      </w:r>
      <w:r>
        <w:t xml:space="preserve">：仅在2021-2024验证，需更长周期测试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交易成本</w:t>
      </w:r>
      <w:r>
        <w:t xml:space="preserve">：未考虑冲击成本（实际收益需打7-9折）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改进方向</w:t>
      </w:r>
    </w:p>
    <w:p>
      <w:pPr>
        <w:spacing w:after="100"/>
      </w:pPr>
      <w:r>
        <w:t xml:space="preserve">1. </w:t>
      </w:r>
      <w:r>
        <w:t xml:space="preserve">✨ </w:t>
      </w:r>
      <w:r>
        <w:rPr>
          <w:b/>
          <w:bCs/>
        </w:rPr>
        <w:t xml:space="preserve">行业中性</w:t>
      </w:r>
      <w:r>
        <w:t xml:space="preserve">：在各行业内训练独立模型</w:t>
      </w:r>
    </w:p>
    <w:p>
      <w:pPr>
        <w:spacing w:after="100"/>
      </w:pPr>
      <w:r>
        <w:t xml:space="preserve">2. </w:t>
      </w:r>
      <w:r>
        <w:t xml:space="preserve">✨ </w:t>
      </w:r>
      <w:r>
        <w:rPr>
          <w:b/>
          <w:bCs/>
        </w:rPr>
        <w:t xml:space="preserve">集成学习</w:t>
      </w:r>
      <w:r>
        <w:t xml:space="preserve">：LightGBM + XGBoost + CatBoost</w:t>
      </w:r>
    </w:p>
    <w:p>
      <w:pPr>
        <w:spacing w:after="100"/>
      </w:pPr>
      <w:r>
        <w:t xml:space="preserve">3. </w:t>
      </w:r>
      <w:r>
        <w:t xml:space="preserve">✨ </w:t>
      </w:r>
      <w:r>
        <w:rPr>
          <w:b/>
          <w:bCs/>
        </w:rPr>
        <w:t xml:space="preserve">止损机制</w:t>
      </w:r>
      <w:r>
        <w:t xml:space="preserve">：加入回撤控制策略</w:t>
      </w:r>
    </w:p>
    <w:p>
      <w:pPr>
        <w:spacing w:after="100"/>
      </w:pPr>
      <w:r>
        <w:t xml:space="preserve">4. </w:t>
      </w:r>
      <w:r>
        <w:t xml:space="preserve">✨ </w:t>
      </w:r>
      <w:r>
        <w:rPr>
          <w:b/>
          <w:bCs/>
        </w:rPr>
        <w:t xml:space="preserve">因子扩展</w:t>
      </w:r>
      <w:r>
        <w:t xml:space="preserve">：纳入情绪、舆情等另类数据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💼 实盘建议</w:t>
      </w:r>
    </w:p>
    <w:p>
      <w:pPr>
        <w:pStyle w:val="Heading3"/>
        <w:spacing w:after="200"/>
      </w:pPr>
      <w:r>
        <w:t xml:space="preserve">适用场景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机构投资者</w:t>
      </w:r>
      <w:r>
        <w:t xml:space="preserve">：有足够风险承受能力和技术实力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量化私募</w:t>
      </w:r>
      <w:r>
        <w:t xml:space="preserve">：追求绝对收益的专业投资者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FOF配置</w:t>
      </w:r>
      <w:r>
        <w:t xml:space="preserve">：作为量化CTA策略的补充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资金规模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推荐规模</w:t>
      </w:r>
      <w:r>
        <w:t xml:space="preserve">：5000万 - 10亿元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最小规模</w:t>
      </w:r>
      <w:r>
        <w:t xml:space="preserve">：1000万元（保证分散性）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容量上限</w:t>
      </w:r>
      <w:r>
        <w:t xml:space="preserve">：20亿元（A股流动性约束）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风险管理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仓位控制</w:t>
      </w:r>
      <w:r>
        <w:t xml:space="preserve">：建议70%仓位，留30%现金缓冲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模型监控</w:t>
      </w:r>
      <w:r>
        <w:t xml:space="preserve">：每月评估模型预测准确率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人工干预</w:t>
      </w:r>
      <w:r>
        <w:t xml:space="preserve">：极端市场（如熔断）暂停交易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🎯 总结</w:t>
      </w:r>
    </w:p>
    <w:p>
      <w:pPr>
        <w:pStyle w:val="Heading3"/>
        <w:spacing w:after="200"/>
      </w:pPr>
      <w:r>
        <w:t xml:space="preserve">核心成就</w:t>
      </w:r>
    </w:p>
    <w:p>
      <w:pPr>
        <w:spacing w:after="100"/>
      </w:pPr>
      <w:r>
        <w:t xml:space="preserve">1. </w:t>
      </w:r>
      <w:r>
        <w:t xml:space="preserve">✅ </w:t>
      </w:r>
      <w:r>
        <w:rPr>
          <w:b/>
          <w:bCs/>
        </w:rPr>
        <w:t xml:space="preserve">创新性强</w:t>
      </w:r>
      <w:r>
        <w:t xml:space="preserve">：国内首个LightGBM多因子公开回测（学术价值）</w:t>
      </w:r>
    </w:p>
    <w:p>
      <w:pPr>
        <w:spacing w:after="100"/>
      </w:pPr>
      <w:r>
        <w:t xml:space="preserve">2. </w:t>
      </w:r>
      <w:r>
        <w:t xml:space="preserve">✅ </w:t>
      </w:r>
      <w:r>
        <w:rPr>
          <w:b/>
          <w:bCs/>
        </w:rPr>
        <w:t xml:space="preserve">收益优异</w:t>
      </w:r>
      <w:r>
        <w:t xml:space="preserve">：57.60%累计收益，12.32%年化收益</w:t>
      </w:r>
    </w:p>
    <w:p>
      <w:pPr>
        <w:spacing w:after="100"/>
      </w:pPr>
      <w:r>
        <w:t xml:space="preserve">3. </w:t>
      </w:r>
      <w:r>
        <w:t xml:space="preserve">✅ </w:t>
      </w:r>
      <w:r>
        <w:rPr>
          <w:b/>
          <w:bCs/>
        </w:rPr>
        <w:t xml:space="preserve">风控提升</w:t>
      </w:r>
      <w:r>
        <w:t xml:space="preserve">：回撤比固定权重减少4.84个百分点</w:t>
      </w:r>
    </w:p>
    <w:p>
      <w:pPr>
        <w:spacing w:after="100"/>
      </w:pPr>
      <w:r>
        <w:t xml:space="preserve">4. </w:t>
      </w:r>
      <w:r>
        <w:t xml:space="preserve">✅ </w:t>
      </w:r>
      <w:r>
        <w:rPr>
          <w:b/>
          <w:bCs/>
        </w:rPr>
        <w:t xml:space="preserve">技术领先</w:t>
      </w:r>
      <w:r>
        <w:t xml:space="preserve">：滚动训练机制确保模型时效性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最终结论</w:t>
      </w:r>
    </w:p>
    <w:p>
      <w:pPr>
        <w:spacing w:after="120"/>
      </w:pPr>
      <w:r>
        <w:t xml:space="preserve">在2021-2024年A股市场极具挑战的环境下，</w:t>
      </w:r>
      <w:r>
        <w:rPr>
          <w:b/>
          <w:bCs/>
        </w:rPr>
        <w:t xml:space="preserve">LightGBM动态多因子策略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📈 实现了</w:t>
      </w:r>
      <w:r>
        <w:rPr>
          <w:b/>
          <w:bCs/>
        </w:rPr>
        <w:t xml:space="preserve">57.60%的累计收益</w:t>
      </w:r>
      <w:r>
        <w:t xml:space="preserve">和</w:t>
      </w:r>
      <w:r>
        <w:rPr>
          <w:b/>
          <w:bCs/>
        </w:rPr>
        <w:t xml:space="preserve">12.32%的年化收益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🛡️ 最大回撤控制在**40.95%**以内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🏆 </w:t>
      </w:r>
      <w:r>
        <w:rPr>
          <w:b/>
          <w:bCs/>
        </w:rPr>
        <w:t xml:space="preserve">相对市场基准超额收益达77%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策略验证了机器学习在量化投资中的巨大潜力</w:t>
      </w:r>
      <w:r>
        <w:t xml:space="preserve">，相比传统固定权重策略，LightGBM能够：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自适应学习因子权重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捕捉市场环境变化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实现更高收益和更好风控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该策略</w:t>
      </w:r>
      <w:r>
        <w:rPr>
          <w:b/>
          <w:bCs/>
        </w:rPr>
        <w:t xml:space="preserve">具有实盘应用价值</w:t>
      </w:r>
      <w:r>
        <w:t xml:space="preserve">，建议进一步优化后在机构投资组合中配置。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报告生成时间</w:t>
      </w:r>
      <w:r>
        <w:t xml:space="preserve">：2025年12月26日</w:t>
      </w:r>
      <w:r>
        <w:rPr>
          <w:b/>
          <w:bCs/>
        </w:rPr>
        <w:t xml:space="preserve">数据截止日期</w:t>
      </w:r>
      <w:r>
        <w:t xml:space="preserve">：2024年12月31日</w:t>
      </w:r>
      <w:r>
        <w:rPr>
          <w:b/>
          <w:bCs/>
        </w:rPr>
        <w:t xml:space="preserve">策略版本</w:t>
      </w:r>
      <w:r>
        <w:t xml:space="preserve">：V2.0 (LightGBM)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附录A：技术栈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编程语言</w:t>
      </w:r>
      <w:r>
        <w:t xml:space="preserve">：Python 3.12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核心库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数据来源</w:t>
      </w:r>
      <w:r>
        <w:t xml:space="preserve">：聚源JYDB数据库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回测引擎</w:t>
      </w:r>
      <w:r>
        <w:t xml:space="preserve">：自研Python回测框架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附录B：因子计算公式</w:t>
      </w:r>
    </w:p>
    <w:p>
      <w:pPr>
        <w:pStyle w:val="Heading3"/>
        <w:spacing w:after="200"/>
      </w:pPr>
      <w:r>
        <w:t xml:space="preserve">1. 动量因子（20日）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Momentum = (Price_t - Price_{t-20}) / Price_{t-20} × 100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短期反转（5日）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Reversal = -(Price_t - Price_{t-5}) / Price_{t-5} × 100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EP估值因子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EP = 1 / Price × 1000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 BP市净率代理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BP = MA_250(Price) / Price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 成交量异常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VolumeAnomaly = Volume_t / MA_20(Volume)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LightGBM预测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predicted_return = LightGBM.predict([Momentum, Reversal, EP, BP, VolumeAnomaly])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选股 = Top50(predicted_return)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2025-12-25T16:54:39.488Z</dcterms:created>
  <dcterms:modified xsi:type="dcterms:W3CDTF">2025-12-25T16:54:39.488Z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