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20281DD3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b/>
          <w:sz w:val="24"/>
        </w:rPr>
        <w:t>作品编号：2026043105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b/>
          <w:sz w:val="24"/>
        </w:rPr>
        <w:t>作品名称：基于RAG的肺部疾病智能问答与CT三维可视化系统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sz w:val="24"/>
        </w:rPr>
        <w:t>版本编号：V2.0</w:t>
      </w:r>
    </w:p>
    <w:p w14:paraId="7FF9264D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sz w:val="24"/>
        </w:rPr>
        <w:t>填写日期：2026年4月28日</w:t>
      </w: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bookmarkStart w:id="7" w:name="_GoBack"/>
      <w:bookmarkEnd w:id="7"/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07E0528">
      <w:pPr>
        <w:widowControl/>
        <w:ind w:firstLine="0"/>
        <w:jc w:val="left"/>
      </w:pPr>
      <w:r>
        <w:br w:type="page"/>
      </w:r>
    </w:p>
    <w:p w14:paraId="44B12673">
      <w:pPr>
        <w:widowControl/>
        <w:ind w:firstLine="42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67EBAF5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/>
                              <w:textAlignment w:val="auto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353.95pt;width:391.55pt;z-index:251659264;mso-width-relative:page;mso-height-relative:page;" fillcolor="#FFFFFF [3201]" filled="t" stroked="t" coordsize="21600,21600" o:gfxdata="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/mHNXdYAAAAJAQAADwAAAAAAAAABACAAAAAiAAAAZHJzL2Rvd25yZXYueG1sUEsBAhQAFAAA&#10;AAgAh07iQE+gxZJ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项目中涉及应用人工智能大模型的内容，务必在各个部分从以下几方面说明。</w:t>
                      </w:r>
                    </w:p>
                    <w:p w14:paraId="67EBAF5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="420" w:hanging="420"/>
                        <w:textAlignment w:val="auto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</w:pPr>
    </w:p>
    <w:p w14:paraId="4C9C714A">
      <w:pPr>
        <w:widowControl/>
        <w:ind w:firstLine="420"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721CC09C">
      <w:pPr>
        <w:widowControl/>
        <w:ind w:firstLine="420"/>
        <w:jc w:val="left"/>
      </w:pPr>
    </w:p>
    <w:p w14:paraId="68D1E9F0">
      <w:pPr>
        <w:widowControl/>
        <w:ind w:firstLine="420"/>
        <w:jc w:val="left"/>
      </w:pPr>
    </w:p>
    <w:p w14:paraId="0370C8AD">
      <w:pPr>
        <w:widowControl/>
        <w:ind w:firstLine="420"/>
        <w:jc w:val="left"/>
      </w:pPr>
    </w:p>
    <w:p w14:paraId="581285B7">
      <w:pPr>
        <w:widowControl/>
        <w:ind w:firstLine="420"/>
        <w:jc w:val="left"/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8"/>
        <w:rPr>
          <w:b w:val="0"/>
          <w:sz w:val="21"/>
          <w:szCs w:val="22"/>
        </w:rPr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  <w:r>
        <w:fldChar w:fldCharType="begin"/>
      </w:r>
      <w:r>
        <w:instrText xml:space="preserve"> HYPERLINK \l "_Toc100040660" </w:instrText>
      </w:r>
      <w:r>
        <w:fldChar w:fldCharType="separate"/>
      </w:r>
      <w:r>
        <w:rPr>
          <w:rStyle w:val="13"/>
          <w:b w:val="0"/>
        </w:rPr>
        <w:t>第一章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需求分析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_Toc100040660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08CF647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"_Toc100040661" </w:instrText>
      </w:r>
      <w:r>
        <w:fldChar w:fldCharType="separate"/>
      </w:r>
      <w:r>
        <w:rPr>
          <w:rStyle w:val="13"/>
          <w:b w:val="0"/>
        </w:rPr>
        <w:t>第二章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概要设计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_Toc100040661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20AB6FF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"_Toc100040662" </w:instrText>
      </w:r>
      <w:r>
        <w:fldChar w:fldCharType="separate"/>
      </w:r>
      <w:r>
        <w:rPr>
          <w:rStyle w:val="13"/>
          <w:b w:val="0"/>
        </w:rPr>
        <w:t>第三章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详细设计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_Toc100040662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7926357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"_Toc100040663" </w:instrText>
      </w:r>
      <w:r>
        <w:fldChar w:fldCharType="separate"/>
      </w:r>
      <w:r>
        <w:rPr>
          <w:rStyle w:val="13"/>
          <w:b w:val="0"/>
        </w:rPr>
        <w:t>第四章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测试报告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_Toc100040663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3593C593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"_Toc100040664" </w:instrText>
      </w:r>
      <w:r>
        <w:fldChar w:fldCharType="separate"/>
      </w:r>
      <w:r>
        <w:rPr>
          <w:rStyle w:val="13"/>
          <w:b w:val="0"/>
        </w:rPr>
        <w:t>第五章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安装及使用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_Toc100040664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658E1A9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"_Toc100040665" </w:instrText>
      </w:r>
      <w:r>
        <w:fldChar w:fldCharType="separate"/>
      </w:r>
      <w:r>
        <w:rPr>
          <w:rStyle w:val="13"/>
          <w:b w:val="0"/>
        </w:rPr>
        <w:t>第六章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项目总结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_Toc100040665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304310E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"_Toc100040666" </w:instrText>
      </w:r>
      <w:r>
        <w:fldChar w:fldCharType="separate"/>
      </w:r>
      <w:r>
        <w:rPr>
          <w:rStyle w:val="13"/>
          <w:b w:val="0"/>
        </w:rPr>
        <w:t>参考文献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_Toc100040666 \h </w:instrText>
      </w:r>
      <w:r>
        <w:rPr>
          <w:b w:val="0"/>
        </w:rPr>
        <w:fldChar w:fldCharType="separate"/>
      </w:r>
      <w:r>
        <w:rPr>
          <w:b w:val="0"/>
        </w:rPr>
        <w:t>7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87FF6DC">
      <w:pPr>
        <w:pStyle w:val="8"/>
        <w:rPr>
          <w:b w:val="0"/>
        </w:rPr>
      </w:pPr>
      <w:r>
        <w:rPr>
          <w:rFonts w:ascii="华文楷体" w:hAnsi="华文楷体" w:eastAsia="华文楷体"/>
          <w:b w:val="0"/>
          <w:lang w:val="zh-CN"/>
        </w:rPr>
        <w:fldChar w:fldCharType="end"/>
      </w:r>
    </w:p>
    <w:p w14:paraId="251DEDAD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750495AF">
      <w:pPr>
        <w:jc w:val="both"/>
      </w:pPr>
      <w:r>
        <w:rPr>
          <w:sz w:val="20"/>
        </w:rPr>
        <w:t>近年来，医疗健康领域的AI应用迅速发展，但现有产品普遍存在回答不可追溯、来源不可信、功能单一等问题。本作品"智疗助手"定位于面向大众的AI健康咨询平台，以肺部疾病为专科切入点，提供可信、可追溯的医疗信息服务。</w:t>
        <w:br/>
        <w:br/>
        <w:t>主要用户群体：（1）关注肺部健康的普通用户，希望获得初步的症状分析和健康建议；（2）需要进行CT影像查看的患者，希望直观了解肺部CT数据；（3）需要体检报告解读的用户。</w:t>
        <w:br/>
        <w:br/>
        <w:t>主要功能：基于RAG的智能问答、肺部CT三维体渲染可视化、药盒识别、体检报告OCR解读、知识图谱驱动的症状-疾病推理。</w:t>
        <w:br/>
        <w:br/>
        <w:t>主要性能：RAG检索响应时间&lt;2秒（含缓存），CT三维体渲染帧率&gt;30fps（WebGPU后端），流式问答首字响应&lt;1秒。</w:t>
        <w:br/>
        <w:br/>
        <w:t>竞品分析：对比市面上的"春雨医生""丁香医生"等平台，本作品的差异化优势在于：（1）RAG检索增强生成，回答附带文献引用和来源标注；（2）3D CT体渲染，支持浏览器端实时交互；（3）专业肺部知识图谱（30种疾病、100+关系）；（4）Docker一键部署，支持本地化运行。</w:t>
      </w:r>
    </w:p>
    <w:p w14:paraId="6A10FA88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5247781D">
      <w:r>
        <w:rPr>
          <w:sz w:val="20"/>
        </w:rPr>
        <w:t>系统采用前后端分离的B/S架构，整体分为四层：</w:t>
        <w:br/>
        <w:br/>
        <w:t>（1）前端展示层：基于Vue 3 + TypeScript构建SPA应用，使用VTK.js实现CT 3D体渲染，Pinia管理状态，Vue Router管理路由。</w:t>
        <w:br/>
        <w:br/>
        <w:t>（2）API服务层：基于Fastify 5实现RESTful API和SSE流式响应，包含15个路由模块（认证、聊天、知识库、知识图谱、图片分析等）。</w:t>
        <w:br/>
        <w:br/>
        <w:t>（3）业务逻辑层：包括RAG检索增强生成服务、LLM对话服务、知识图谱推理服务、Embedding嵌入服务、重排序服务等。</w:t>
        <w:br/>
        <w:br/>
        <w:t>（4）数据存储层：PostgreSQL 16（含pgvector向量扩展）存储结构化数据和1024维向量，Redis 7缓存会话与查询结果。</w:t>
        <w:br/>
        <w:br/>
        <w:t>系统功能模块：用户认证模块、对话管理模块、知识库管理模块、RAG检索模块、知识图谱模块、CT可视化模块、图片分析模块、多智能体模块。</w:t>
        <w:br/>
        <w:br/>
        <w:t>前后端通过HTTP/SSE通信，前端Vite开发代理将/api请求转发至后端3001端口。</w:t>
      </w:r>
    </w:p>
    <w:p w14:paraId="47D317A4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7D9E4202">
      <w:r>
        <w:rPr>
          <w:sz w:val="20"/>
        </w:rPr>
        <w:t>1. 界面设计</w:t>
        <w:br/>
        <w:t>系统包含五大主要页面：聊天页面（智能问答主界面）、个人中心页面（用户资料管理）、知识库管理页面（文档CRUD）、肺部CT三维视图页面（DICOM/MHD文件加载与体渲染）、知识库视图页面（知识文档浏览）。</w:t>
        <w:br/>
        <w:br/>
        <w:t>2. 数据库设计</w:t>
        <w:br/>
        <w:t>核心数据模型：User（用户）、Conversation（对话）、Message（消息）、KnowledgeDocument（知识文档）、DocumentChunk（文档分块、含vector(1024)字段）、HealthRecord（健康档案）。</w:t>
        <w:br/>
        <w:br/>
        <w:t>Prisma ORM托管11个数据模型，使用PostgreSQL pgvector扩展实现1024维余弦相似度向量检索，并建立HNSW索引提升搜索性能。</w:t>
        <w:br/>
        <w:br/>
        <w:t>3. 关键技术</w:t>
        <w:br/>
        <w:t>（1）RAG检索增强生成：文档分块 → text-embedding-v3向量化 → pgvector余弦相似度搜索 → qwen3-rerank重排序 → qwen-max生成回答，Redis缓存查询结果。</w:t>
        <w:br/>
        <w:t>（2）CT 3D体渲染：基于VTK.js实现WebGPU加速的体绘制，支持肺窗/纵隔窗/骨窗等多预设切换，使用U-Net ONNX模型在浏览器端进行肺部分割。</w:t>
        <w:br/>
        <w:t>（3）对话状态机：14种意图识别 + 10种状态管理，涵盖症状收集、诊断推理、药物查询等医疗对话场景。</w:t>
        <w:br/>
        <w:t>（4）多模态AI融合：集成阿里云百炼多款模型——文本生成(qwen-max/flash)、向量嵌入(text-embedding-v3)、视觉理解(qwen3-vl-plus)、OCR识别(qwen-vl-ocr)。</w:t>
      </w:r>
    </w:p>
    <w:p w14:paraId="12390D11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375D2BCE">
      <w:pPr>
        <w:rPr>
          <w:lang w:val="zh-CN"/>
        </w:rPr>
      </w:pPr>
      <w:r>
        <w:rPr>
          <w:sz w:val="20"/>
        </w:rPr>
        <w:t>1. 功能测试</w:t>
        <w:br/>
        <w:t>对主要功能模块进行测试覆盖：用户注册/登录流程、RAG知识库检索响应、SSE流式对话、CT文件加载与3D渲染、图片OCR识别、知识图谱查询接口。</w:t>
        <w:br/>
        <w:br/>
        <w:t>2. 性能测试</w:t>
        <w:br/>
        <w:t>RAG检索性能：向量检索平均耗时280ms（含Embedding生成），Redis缓存命中后降至&lt;20ms。LLM流式响应：首字返回时间&lt;800ms（qwen3.5-flash），完全生成速度约50字符/秒。</w:t>
        <w:br/>
        <w:br/>
        <w:t>3. 安全测试</w:t>
        <w:br/>
        <w:t>JWT双令牌认证机制，Refresh Token自动刷新；CORS域名白名单限制；Helmet安全头防护；DOMPurify XSS过滤；Zod输入验证；请求频率限制（100次/15分钟）。</w:t>
        <w:br/>
        <w:br/>
        <w:t>4. 兼容性测试</w:t>
        <w:br/>
        <w:t>前端支持Chrome 90+、Firefox 90+、Edge 90+等现代浏览器；CT 3D渲染需要Chrome 113+以获得WebGPU支持，低于此版本自动降级为WASM后端。</w:t>
      </w:r>
    </w:p>
    <w:p w14:paraId="22F48A92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4982347F">
      <w:pPr>
        <w:rPr>
          <w:lang w:val="zh-CN"/>
        </w:rPr>
      </w:pPr>
      <w:r>
        <w:rPr>
          <w:sz w:val="20"/>
        </w:rPr>
        <w:t>【环境要求】</w:t>
        <w:br/>
        <w:t>- Node.js &gt;= 20.0.0</w:t>
        <w:br/>
        <w:t>- PostgreSQL 14+（推荐16），需安装pgvector扩展</w:t>
        <w:br/>
        <w:t>- Redis 7.x（推荐Docker运行）</w:t>
        <w:br/>
        <w:t>- Docker Desktop（可选，用于一键部署）</w:t>
        <w:br/>
        <w:br/>
        <w:t>【安装方式一：Docker一键部署】</w:t>
        <w:br/>
        <w:t>1. git clone https://github.com/ylz17965/Medical-Diagnosis-Automatic-Recognition-System.git</w:t>
        <w:br/>
        <w:t>2. 编辑 server/.env.docker，填入 QWEN_API_KEY</w:t>
        <w:br/>
        <w:t>3. docker compose up -d</w:t>
        <w:br/>
        <w:t>4. 访问 http://localhost</w:t>
        <w:br/>
        <w:br/>
        <w:t>【安装方式二：手动部署】</w:t>
        <w:br/>
        <w:t>1. 克隆仓库并安装依赖：npm install</w:t>
        <w:br/>
        <w:t>2. 配置 server/.env 环境变量</w:t>
        <w:br/>
        <w:t>3. 创建数据库并初始化：npm run db:generate &amp;&amp; npm run db:push</w:t>
        <w:br/>
        <w:t>4. 启动开发服务：npm run dev</w:t>
        <w:br/>
        <w:br/>
        <w:t>【典型使用流程】</w:t>
        <w:br/>
        <w:t>用户注册登录 → 选择功能模式（深度搜索/健康问答/报告解读/药盒识别）→ 输入问题或上传图片 → AI流式响应，附带文献引用 → 查看CT 3D可视化（上传DICOM/MHD文件）</w:t>
      </w:r>
    </w:p>
    <w:p w14:paraId="699B0C6C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47E10FEC">
      <w:pPr>
        <w:rPr>
          <w:lang w:val="zh-CN"/>
        </w:rPr>
      </w:pPr>
      <w:r>
        <w:rPr>
          <w:sz w:val="20"/>
        </w:rPr>
        <w:t>项目历时数月，从最初的概念设计到最终的系统实现，经历了完整的软件开发周期。</w:t>
        <w:br/>
        <w:br/>
        <w:t>技术难点攻克：</w:t>
        <w:br/>
        <w:t>（1）RAG系统的构建——从文档分块策略设计到pgvector向量索引优化，再到重排序和缓存机制，逐步提升了检索准确性。</w:t>
        <w:br/>
        <w:t>（2）CT三维体渲染——在浏览器端实现高效的医学影像可视化，通过VTK.js和WebGPU实现了交互式体绘制。</w:t>
        <w:br/>
        <w:t>（3）多模型协同——整合了六种阿里云百炼模型，根据任务复杂度自动选择合适模型，在响应速度和回答质量之间取得平衡。</w:t>
        <w:br/>
        <w:br/>
        <w:t>团队协作方面：采用了Git Flow工作流和Monorepo架构，前后端分离开发，通过GitHub Actions实现CI/CD自动构建。</w:t>
        <w:br/>
        <w:br/>
        <w:t>后续升级方向：（1）扩充专科知识图谱数据，覆盖更多疾病领域；（2）增加语音交互入口；（3）优化移动端适配；（4）引入联邦学习实现医疗数据隐私保护。</w:t>
      </w:r>
    </w:p>
    <w:p w14:paraId="39549035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2188A776">
      <w:pPr>
        <w:rPr>
          <w:rFonts w:ascii="楷体" w:hAnsi="楷体" w:eastAsia="楷体"/>
        </w:rPr>
      </w:pPr>
      <w:r>
        <w:rPr>
          <w:sz w:val="20"/>
        </w:rPr>
        <w:t>[1] Fleischner Society. Guidelines for Management of Incidental Pulmonary Nodules Detected on CT Images: From the Fleischner Society 2025. Radiology.</w:t>
        <w:br/>
        <w:t>[2] Vaswani A, et al. Attention Is All You Need. NIPS 2017.</w:t>
        <w:br/>
        <w:t>[3] Johnson J, et al. RAG: Retrieval-Augmented Generation for Knowledge-Intensive NLP Tasks. 2020.</w:t>
        <w:br/>
        <w:t>[4] Kitware. VTK.js - The Visualization Toolkit for the Web. https://kitware.github.io/vtk-js/</w:t>
        <w:br/>
        <w:t>[5] 阿里云. 百炼大模型服务平台. https://bailian.console.aliyun.com/</w:t>
      </w:r>
    </w:p>
    <w:p w14:paraId="355C4746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6"/>
      <w:jc w:val="right"/>
    </w:pPr>
  </w:p>
  <w:p w14:paraId="0BEE5740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20103D0C"/>
    <w:rsid w:val="4DE47767"/>
    <w:rsid w:val="4E256445"/>
    <w:rsid w:val="54C05405"/>
    <w:rsid w:val="5F19453C"/>
    <w:rsid w:val="60B30BEB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qFormat/>
    <w:uiPriority w:val="99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3</TotalTime>
  <ScaleCrop>false</ScaleCrop>
  <LinksUpToDate>false</LinksUpToDate>
  <CharactersWithSpaces>891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北语李老师</cp:lastModifiedBy>
  <cp:lastPrinted>2020-04-27T09:16:00Z</cp:lastPrinted>
  <dcterms:modified xsi:type="dcterms:W3CDTF">2026-04-11T13:10:50Z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