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0F2C8">
      <w:pPr>
        <w:jc w:val="center"/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中国大学生计算机设计大赛</w:t>
      </w:r>
    </w:p>
    <w:p w14:paraId="4D0FCE79">
      <w:pPr>
        <w:jc w:val="center"/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工具使用说明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(2</w:t>
      </w:r>
      <w:r>
        <w:rPr>
          <w:rFonts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黑体" w:hAnsi="黑体" w:eastAsia="黑体"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6年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版)</w:t>
      </w:r>
    </w:p>
    <w:p w14:paraId="19BD0303">
      <w:pPr>
        <w:rPr>
          <w:rFonts w:hint="eastAsia" w:ascii="Arial" w:hAnsi="Arial" w:eastAsia="宋体" w:cs="Arial"/>
          <w:color w:val="333333"/>
          <w:kern w:val="0"/>
          <w:szCs w:val="21"/>
        </w:rPr>
      </w:pPr>
      <w:r>
        <w:rPr>
          <w:sz w:val="22"/>
        </w:rPr>
        <w:t>作品编号：2026043105        作品名称：基于RAG的肺部疾病智能问答与CT三维可视化系统</w:t>
      </w:r>
    </w:p>
    <w:tbl>
      <w:tblPr>
        <w:tblStyle w:val="6"/>
        <w:tblW w:w="13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"/>
        <w:gridCol w:w="2106"/>
        <w:gridCol w:w="2741"/>
        <w:gridCol w:w="2727"/>
        <w:gridCol w:w="1849"/>
        <w:gridCol w:w="1895"/>
        <w:gridCol w:w="1646"/>
      </w:tblGrid>
      <w:tr w14:paraId="6799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4241F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2106" w:type="dxa"/>
            <w:vAlign w:val="center"/>
          </w:tcPr>
          <w:p w14:paraId="2DBA0B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AI工具的名称、版本、访问方式（网页、API或客户端），使用时间</w:t>
            </w:r>
          </w:p>
        </w:tc>
        <w:tc>
          <w:tcPr>
            <w:tcW w:w="2741" w:type="dxa"/>
            <w:vAlign w:val="center"/>
          </w:tcPr>
          <w:p w14:paraId="35BAEF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使用AI工具的环节与目的（立项构思、文献综述、语言润色、内容生成、图表优化、代码编程、数据分析等）</w:t>
            </w:r>
          </w:p>
        </w:tc>
        <w:tc>
          <w:tcPr>
            <w:tcW w:w="2727" w:type="dxa"/>
            <w:vAlign w:val="center"/>
          </w:tcPr>
          <w:p w14:paraId="4ABFE6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关键提示词</w:t>
            </w:r>
          </w:p>
        </w:tc>
        <w:tc>
          <w:tcPr>
            <w:tcW w:w="1849" w:type="dxa"/>
            <w:vAlign w:val="center"/>
          </w:tcPr>
          <w:p w14:paraId="4B983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AI回复的关键内容（在此简要说明，并在附录中给出佐证）</w:t>
            </w:r>
          </w:p>
        </w:tc>
        <w:tc>
          <w:tcPr>
            <w:tcW w:w="1895" w:type="dxa"/>
            <w:vAlign w:val="center"/>
          </w:tcPr>
          <w:p w14:paraId="0DB4FE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</w:t>
            </w:r>
          </w:p>
          <w:p w14:paraId="56A636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人工修改说明</w:t>
            </w:r>
          </w:p>
        </w:tc>
        <w:tc>
          <w:tcPr>
            <w:tcW w:w="1646" w:type="dxa"/>
            <w:vAlign w:val="center"/>
          </w:tcPr>
          <w:p w14:paraId="387363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采纳比例</w:t>
            </w:r>
          </w:p>
          <w:p w14:paraId="2D4D11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与说明</w:t>
            </w:r>
          </w:p>
        </w:tc>
      </w:tr>
      <w:tr w14:paraId="20BC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1</w:t>
            </w:r>
          </w:p>
        </w:tc>
        <w:tc>
          <w:tcPr>
            <w:tcW w:w="2106" w:type="dxa"/>
            <w:vAlign w:val="center"/>
          </w:tcPr>
          <w:p>
            <w:r>
              <w:t>阿里云百炼 - qwen-max(通义千问Max)</w:t>
            </w:r>
          </w:p>
        </w:tc>
        <w:tc>
          <w:tcPr>
            <w:tcW w:w="2741" w:type="dxa"/>
            <w:vAlign w:val="center"/>
          </w:tcPr>
          <w:p>
            <w:r>
              <w:t>智能问答内容生成：在用户提问后，调用qwen-max模型生成医疗健康回答，包括症状分析、健康建议、报告解读等。使用模型类型为复杂推理。</w:t>
            </w:r>
          </w:p>
        </w:tc>
        <w:tc>
          <w:tcPr>
            <w:tcW w:w="2727" w:type="dxa"/>
            <w:vAlign w:val="center"/>
          </w:tcPr>
          <w:p>
            <w:r>
              <w:t>系统提示词（简化）：你是一个专业的AI健康助手，回答需基于医学知识库。用户问题经RAG检索后，将检索结果作为参考资料拼入系统提示，引导模型生成带引用的回答。</w:t>
            </w:r>
          </w:p>
        </w:tc>
        <w:tc>
          <w:tcPr>
            <w:tcW w:w="1849" w:type="dxa"/>
            <w:vAlign w:val="center"/>
          </w:tcPr>
          <w:p>
            <w:r>
              <w:t>模型基于系统提示+检索资料+对话历史，生成结构化医疗回答，包含分析、建议和文献引用。</w:t>
            </w:r>
          </w:p>
        </w:tc>
        <w:tc>
          <w:tcPr>
            <w:tcW w:w="1895" w:type="dxa"/>
            <w:vAlign w:val="center"/>
          </w:tcPr>
          <w:p>
            <w:r>
              <w:t>对回答进行格式调整（Markdown渲染），添加免责声明，校验引用编号的正确性，过滤不准确的医学表述。</w:t>
            </w:r>
          </w:p>
        </w:tc>
        <w:tc>
          <w:tcPr>
            <w:tcW w:w="1646" w:type="dxa"/>
            <w:vAlign w:val="center"/>
          </w:tcPr>
          <w:p>
            <w:r>
              <w:t>AI生成内容占最终回答约70%，经人工校验后采纳率约85%</w:t>
            </w:r>
          </w:p>
        </w:tc>
      </w:tr>
      <w:tr w14:paraId="31D7C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2</w:t>
            </w:r>
          </w:p>
        </w:tc>
        <w:tc>
          <w:tcPr>
            <w:tcW w:w="2106" w:type="dxa"/>
            <w:vAlign w:val="center"/>
          </w:tcPr>
          <w:p>
            <w:r>
              <w:t>阿里云百炼 - qwen3.5-flash(通义千问Flash)</w:t>
            </w:r>
          </w:p>
        </w:tc>
        <w:tc>
          <w:tcPr>
            <w:tcW w:w="2741" w:type="dxa"/>
            <w:vAlign w:val="center"/>
          </w:tcPr>
          <w:p>
            <w:r>
              <w:t>简单快速问答：处理日常健康问答、药品说明书查询等低复杂度任务。自动选择（auto模式）下，系统根据问题长度和关键词自动判断使用flash模型。</w:t>
            </w:r>
          </w:p>
        </w:tc>
        <w:tc>
          <w:tcPr>
            <w:tcW w:w="2727" w:type="dxa"/>
            <w:vAlign w:val="center"/>
          </w:tcPr>
          <w:p>
            <w:r>
              <w:t>同上，但模型选择为simple类型。用户短问题如"感冒吃什么药"自动路由到flash模型。</w:t>
            </w:r>
          </w:p>
        </w:tc>
        <w:tc>
          <w:tcPr>
            <w:tcW w:w="1849" w:type="dxa"/>
            <w:vAlign w:val="center"/>
          </w:tcPr>
          <w:p>
            <w:r>
              <w:t>简短、直接的回答，响应速度约为qwen-max的3-5倍。</w:t>
            </w:r>
          </w:p>
        </w:tc>
        <w:tc>
          <w:tcPr>
            <w:tcW w:w="1895" w:type="dxa"/>
            <w:vAlign w:val="center"/>
          </w:tcPr>
          <w:p>
            <w:r>
              <w:t>简洁回答通常无需大幅修改，仅补充免责声明。</w:t>
            </w:r>
          </w:p>
        </w:tc>
        <w:tc>
          <w:tcPr>
            <w:tcW w:w="1646" w:type="dxa"/>
            <w:vAlign w:val="center"/>
          </w:tcPr>
          <w:p>
            <w:r>
              <w:t>AI生成内容占最终回答约90%，采纳率约95%</w:t>
            </w:r>
          </w:p>
        </w:tc>
      </w:tr>
      <w:tr w14:paraId="06A97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3</w:t>
            </w:r>
          </w:p>
        </w:tc>
        <w:tc>
          <w:tcPr>
            <w:tcW w:w="2106" w:type="dxa"/>
            <w:vAlign w:val="center"/>
          </w:tcPr>
          <w:p>
            <w:r>
              <w:t>阿里云百炼 - text-embedding-v3</w:t>
            </w:r>
          </w:p>
        </w:tc>
        <w:tc>
          <w:tcPr>
            <w:tcW w:w="2741" w:type="dxa"/>
            <w:vAlign w:val="center"/>
          </w:tcPr>
          <w:p>
            <w:r>
              <w:t>文本向量化：将知识库文档分块后逐块生成1024维向量，存入PostgreSQL pgvector。用户提问时同样向量化，用于RAG语义检索。</w:t>
            </w:r>
          </w:p>
        </w:tc>
        <w:tc>
          <w:tcPr>
            <w:tcW w:w="2727" w:type="dxa"/>
            <w:vAlign w:val="center"/>
          </w:tcPr>
          <w:p>
            <w:r>
              <w:t>无提示词，直接调用API传入纯文本，返回embedding向量数组。</w:t>
            </w:r>
          </w:p>
        </w:tc>
        <w:tc>
          <w:tcPr>
            <w:tcW w:w="1849" w:type="dxa"/>
            <w:vAlign w:val="center"/>
          </w:tcPr>
          <w:p>
            <w:r>
              <w:t>返回1024维浮点数向量，用于余弦相似度计算。</w:t>
            </w:r>
          </w:p>
        </w:tc>
        <w:tc>
          <w:tcPr>
            <w:tcW w:w="1895" w:type="dxa"/>
            <w:vAlign w:val="center"/>
          </w:tcPr>
          <w:p>
            <w:r>
              <w:t>无需修改。Embedding结果被Redis缓存，避免重复调用。</w:t>
            </w:r>
          </w:p>
        </w:tc>
        <w:tc>
          <w:tcPr>
            <w:tcW w:w="1646" w:type="dxa"/>
            <w:vAlign w:val="center"/>
          </w:tcPr>
          <w:p>
            <w:r>
              <w:t>100%采纳，完全自动化的管道流程</w:t>
            </w:r>
          </w:p>
        </w:tc>
      </w:tr>
      <w:tr w14:paraId="3518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4</w:t>
            </w:r>
          </w:p>
        </w:tc>
        <w:tc>
          <w:tcPr>
            <w:tcW w:w="2106" w:type="dxa"/>
            <w:vAlign w:val="center"/>
          </w:tcPr>
          <w:p>
            <w:r>
              <w:t>阿里云百炼 - qwen3-rerank</w:t>
            </w:r>
          </w:p>
        </w:tc>
        <w:tc>
          <w:tcPr>
            <w:tcW w:w="2741" w:type="dxa"/>
            <w:vAlign w:val="center"/>
          </w:tcPr>
          <w:p>
            <w:r>
              <w:t>检索结果重排序：向量搜索返回候选文档后，调用rerank模型对候选结果与查询进行语义相关性评分，提升最终返回结果的准确性。</w:t>
            </w:r>
          </w:p>
        </w:tc>
        <w:tc>
          <w:tcPr>
            <w:tcW w:w="2727" w:type="dxa"/>
            <w:vAlign w:val="center"/>
          </w:tcPr>
          <w:p>
            <w:r>
              <w:t>无提示词，传入query和候选文档列表，API直接返回排序后的索引和相关性分数。</w:t>
            </w:r>
          </w:p>
        </w:tc>
        <w:tc>
          <w:tcPr>
            <w:tcW w:w="1849" w:type="dxa"/>
            <w:vAlign w:val="center"/>
          </w:tcPr>
          <w:p>
            <w:r>
              <w:t>返回按相关性排序的结果索引列表，附带relevance_score。</w:t>
            </w:r>
          </w:p>
        </w:tc>
        <w:tc>
          <w:tcPr>
            <w:tcW w:w="1895" w:type="dxa"/>
            <w:vAlign w:val="center"/>
          </w:tcPr>
          <w:p>
            <w:r>
              <w:t>无需修改。重排序结果被Redis缓存。</w:t>
            </w:r>
          </w:p>
        </w:tc>
        <w:tc>
          <w:tcPr>
            <w:tcW w:w="1646" w:type="dxa"/>
            <w:vAlign w:val="center"/>
          </w:tcPr>
          <w:p>
            <w:r>
              <w:t>100%采纳，完全自动化</w:t>
            </w:r>
          </w:p>
        </w:tc>
      </w:tr>
      <w:tr w14:paraId="79E18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5</w:t>
            </w:r>
          </w:p>
        </w:tc>
        <w:tc>
          <w:tcPr>
            <w:tcW w:w="2106" w:type="dxa"/>
            <w:vAlign w:val="center"/>
          </w:tcPr>
          <w:p>
            <w:r>
              <w:t>阿里云百炼 - qwen3-vl-plus</w:t>
            </w:r>
          </w:p>
        </w:tc>
        <w:tc>
          <w:tcPr>
            <w:tcW w:w="2741" w:type="dxa"/>
            <w:vAlign w:val="center"/>
          </w:tcPr>
          <w:p>
            <w:r>
              <w:t>视觉理解：用户上传药盒照片后，调用VL模型识别药品名称、包装信息，结合prompt生成结构化药品识别结果。</w:t>
            </w:r>
          </w:p>
        </w:tc>
        <w:tc>
          <w:tcPr>
            <w:tcW w:w="2727" w:type="dxa"/>
            <w:vAlign w:val="center"/>
          </w:tcPr>
          <w:p>
            <w:r>
              <w:t>"请识别图片中的药品信息，包括药品名称、通用名、生产厂家、规格、适应症等。"</w:t>
            </w:r>
          </w:p>
        </w:tc>
        <w:tc>
          <w:tcPr>
            <w:tcW w:w="1849" w:type="dxa"/>
            <w:vAlign w:val="center"/>
          </w:tcPr>
          <w:p>
            <w:r>
              <w:t>返回结构化药品信息JSON，包含名称、成分、适应症等字段。</w:t>
            </w:r>
          </w:p>
        </w:tc>
        <w:tc>
          <w:tcPr>
            <w:tcW w:w="1895" w:type="dxa"/>
            <w:vAlign w:val="center"/>
          </w:tcPr>
          <w:p>
            <w:r>
              <w:t>提取API返回的结构化数据，格式化为用户友好的Markdown文本。</w:t>
            </w:r>
          </w:p>
        </w:tc>
        <w:tc>
          <w:tcPr>
            <w:tcW w:w="1646" w:type="dxa"/>
            <w:vAlign w:val="center"/>
          </w:tcPr>
          <w:p>
            <w:r>
              <w:t>AI识别内容占最终结果约80%，采纳率约90%</w:t>
            </w:r>
          </w:p>
        </w:tc>
      </w:tr>
      <w:tr w14:paraId="33617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>
              <w:t>6</w:t>
            </w:r>
          </w:p>
        </w:tc>
        <w:tc>
          <w:tcPr>
            <w:tcW w:w="2106" w:type="dxa"/>
            <w:vAlign w:val="center"/>
          </w:tcPr>
          <w:p>
            <w:r>
              <w:t>阿里云百炼 - qwen-vl-ocr</w:t>
            </w:r>
          </w:p>
        </w:tc>
        <w:tc>
          <w:tcPr>
            <w:tcW w:w="2741" w:type="dxa"/>
            <w:vAlign w:val="center"/>
          </w:tcPr>
          <w:p>
            <w:r>
              <w:t>OCR文字识别：用户上传体检报告图片后，调用OCR模型提取图片中的文字内容，包括检查项目名称、数值、单位等。</w:t>
            </w:r>
          </w:p>
        </w:tc>
        <w:tc>
          <w:tcPr>
            <w:tcW w:w="2727" w:type="dxa"/>
            <w:vAlign w:val="center"/>
          </w:tcPr>
          <w:p>
            <w:r>
              <w:t>无特殊prompt，直接调用OCR API提取图片文字。</w:t>
            </w:r>
          </w:p>
        </w:tc>
        <w:tc>
          <w:tcPr>
            <w:tcW w:w="1849" w:type="dxa"/>
            <w:vAlign w:val="center"/>
          </w:tcPr>
          <w:p>
            <w:r>
              <w:t>返回图片中的文字内容，包含检测框坐标和识别文本。</w:t>
            </w:r>
          </w:p>
        </w:tc>
        <w:tc>
          <w:tcPr>
            <w:tcW w:w="1895" w:type="dxa"/>
            <w:vAlign w:val="center"/>
          </w:tcPr>
          <w:p>
            <w:r>
              <w:t>将OCR结果解析为结构化指标列表，与正常参考范围对比，标注异常项。</w:t>
            </w:r>
          </w:p>
        </w:tc>
        <w:tc>
          <w:tcPr>
            <w:tcW w:w="1646" w:type="dxa"/>
            <w:vAlign w:val="center"/>
          </w:tcPr>
          <w:p>
            <w:r>
              <w:t>OCR文字提取100%采纳，后续分析解读约70%采纳</w:t>
            </w:r>
          </w:p>
        </w:tc>
      </w:tr>
      <w:tr w14:paraId="360A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/>
          </w:p>
        </w:tc>
        <w:tc>
          <w:tcPr>
            <w:tcW w:w="2106" w:type="dxa"/>
            <w:vAlign w:val="center"/>
          </w:tcPr>
          <w:p>
            <w:r/>
          </w:p>
        </w:tc>
        <w:tc>
          <w:tcPr>
            <w:tcW w:w="2741" w:type="dxa"/>
            <w:vAlign w:val="center"/>
          </w:tcPr>
          <w:p>
            <w:r/>
          </w:p>
        </w:tc>
        <w:tc>
          <w:tcPr>
            <w:tcW w:w="2727" w:type="dxa"/>
            <w:vAlign w:val="center"/>
          </w:tcPr>
          <w:p>
            <w:r/>
          </w:p>
        </w:tc>
        <w:tc>
          <w:tcPr>
            <w:tcW w:w="1849" w:type="dxa"/>
            <w:vAlign w:val="center"/>
          </w:tcPr>
          <w:p>
            <w:r/>
          </w:p>
        </w:tc>
        <w:tc>
          <w:tcPr>
            <w:tcW w:w="1895" w:type="dxa"/>
            <w:vAlign w:val="center"/>
          </w:tcPr>
          <w:p>
            <w:r/>
          </w:p>
        </w:tc>
        <w:tc>
          <w:tcPr>
            <w:tcW w:w="1646" w:type="dxa"/>
            <w:vAlign w:val="center"/>
          </w:tcPr>
          <w:p>
            <w:r/>
          </w:p>
        </w:tc>
      </w:tr>
      <w:tr w14:paraId="1DD60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/>
          </w:p>
        </w:tc>
        <w:tc>
          <w:tcPr>
            <w:tcW w:w="2106" w:type="dxa"/>
            <w:vAlign w:val="center"/>
          </w:tcPr>
          <w:p>
            <w:r/>
          </w:p>
        </w:tc>
        <w:tc>
          <w:tcPr>
            <w:tcW w:w="2741" w:type="dxa"/>
            <w:vAlign w:val="center"/>
          </w:tcPr>
          <w:p>
            <w:r/>
          </w:p>
        </w:tc>
        <w:tc>
          <w:tcPr>
            <w:tcW w:w="2727" w:type="dxa"/>
            <w:vAlign w:val="center"/>
          </w:tcPr>
          <w:p>
            <w:r/>
          </w:p>
        </w:tc>
        <w:tc>
          <w:tcPr>
            <w:tcW w:w="1849" w:type="dxa"/>
            <w:vAlign w:val="center"/>
          </w:tcPr>
          <w:p>
            <w:r/>
          </w:p>
        </w:tc>
        <w:tc>
          <w:tcPr>
            <w:tcW w:w="1895" w:type="dxa"/>
            <w:vAlign w:val="center"/>
          </w:tcPr>
          <w:p>
            <w:r/>
          </w:p>
        </w:tc>
        <w:tc>
          <w:tcPr>
            <w:tcW w:w="1646" w:type="dxa"/>
            <w:vAlign w:val="center"/>
          </w:tcPr>
          <w:p>
            <w:r/>
          </w:p>
        </w:tc>
      </w:tr>
      <w:tr w14:paraId="5A63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/>
          </w:p>
        </w:tc>
        <w:tc>
          <w:tcPr>
            <w:tcW w:w="2106" w:type="dxa"/>
            <w:vAlign w:val="center"/>
          </w:tcPr>
          <w:p>
            <w:r/>
          </w:p>
        </w:tc>
        <w:tc>
          <w:tcPr>
            <w:tcW w:w="2741" w:type="dxa"/>
            <w:vAlign w:val="center"/>
          </w:tcPr>
          <w:p>
            <w:r/>
          </w:p>
        </w:tc>
        <w:tc>
          <w:tcPr>
            <w:tcW w:w="2727" w:type="dxa"/>
            <w:vAlign w:val="center"/>
          </w:tcPr>
          <w:p>
            <w:r/>
          </w:p>
        </w:tc>
        <w:tc>
          <w:tcPr>
            <w:tcW w:w="1849" w:type="dxa"/>
            <w:vAlign w:val="center"/>
          </w:tcPr>
          <w:p>
            <w:r/>
          </w:p>
        </w:tc>
        <w:tc>
          <w:tcPr>
            <w:tcW w:w="1895" w:type="dxa"/>
            <w:vAlign w:val="center"/>
          </w:tcPr>
          <w:p>
            <w:r/>
          </w:p>
        </w:tc>
        <w:tc>
          <w:tcPr>
            <w:tcW w:w="1646" w:type="dxa"/>
            <w:vAlign w:val="center"/>
          </w:tcPr>
          <w:p>
            <w:r/>
          </w:p>
        </w:tc>
      </w:tr>
      <w:tr w14:paraId="4C3F7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543D3A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106" w:type="dxa"/>
            <w:vAlign w:val="center"/>
          </w:tcPr>
          <w:p w14:paraId="2BF2D0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228682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67BFE4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00E943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3A3C35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63FC5E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26E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>
            <w:r/>
          </w:p>
        </w:tc>
        <w:tc>
          <w:tcPr>
            <w:tcW w:w="2106" w:type="dxa"/>
            <w:vAlign w:val="center"/>
          </w:tcPr>
          <w:p>
            <w:r/>
          </w:p>
        </w:tc>
        <w:tc>
          <w:tcPr>
            <w:tcW w:w="2741" w:type="dxa"/>
            <w:vAlign w:val="center"/>
          </w:tcPr>
          <w:p>
            <w:r/>
          </w:p>
        </w:tc>
        <w:tc>
          <w:tcPr>
            <w:tcW w:w="2727" w:type="dxa"/>
            <w:vAlign w:val="center"/>
          </w:tcPr>
          <w:p>
            <w:r/>
          </w:p>
        </w:tc>
        <w:tc>
          <w:tcPr>
            <w:tcW w:w="1849" w:type="dxa"/>
            <w:vAlign w:val="center"/>
          </w:tcPr>
          <w:p>
            <w:r/>
          </w:p>
        </w:tc>
        <w:tc>
          <w:tcPr>
            <w:tcW w:w="1895" w:type="dxa"/>
            <w:vAlign w:val="center"/>
          </w:tcPr>
          <w:p>
            <w:r/>
          </w:p>
        </w:tc>
        <w:tc>
          <w:tcPr>
            <w:tcW w:w="1646" w:type="dxa"/>
            <w:vAlign w:val="center"/>
          </w:tcPr>
          <w:p>
            <w:r/>
          </w:p>
        </w:tc>
      </w:tr>
    </w:tbl>
    <w:p w14:paraId="002A452D">
      <w:pPr>
        <w:rPr>
          <w:rFonts w:hint="eastAsia" w:ascii="Arial" w:hAnsi="Arial" w:eastAsia="宋体" w:cs="Arial"/>
          <w:color w:val="333333"/>
          <w:kern w:val="0"/>
          <w:szCs w:val="21"/>
        </w:rPr>
      </w:pPr>
    </w:p>
    <w:p w14:paraId="3A70F04C">
      <w:pPr>
        <w:rPr>
          <w:rFonts w:hint="eastAsia" w:ascii="Arial" w:hAnsi="Arial" w:eastAsia="宋体" w:cs="Arial"/>
          <w:color w:val="333333"/>
          <w:kern w:val="0"/>
          <w:szCs w:val="21"/>
        </w:rPr>
      </w:pPr>
      <w:bookmarkStart w:id="0" w:name="_GoBack"/>
      <w:bookmarkEnd w:id="0"/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inline distT="0" distB="0" distL="114300" distR="114300">
                <wp:extent cx="8491855" cy="2081530"/>
                <wp:effectExtent l="4445" t="4445" r="9525" b="952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1855" cy="2081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E368A3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32EE442D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本文档适用于所有涉及AI工具使用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参赛作品，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  <w:lang w:val="en-US" w:eastAsia="zh-CN"/>
                              </w:rPr>
                              <w:t>表格可另加行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。</w:t>
                            </w:r>
                          </w:p>
                          <w:p w14:paraId="2731A4B6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参赛作品的作者，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根据实际的使用情况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简明扼要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地列出本作品所使用的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  <w:lang w:val="en-US" w:eastAsia="zh-CN"/>
                              </w:rPr>
                              <w:t>全部AI工具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 w:val="0"/>
                                <w:bCs w:val="0"/>
                                <w:lang w:val="en-US" w:eastAsia="zh-CN"/>
                              </w:rPr>
                              <w:t>的名称、版本、访问方式、使用时间、使用环节与目的、关键提示词、AI回复的关键内容、采纳和人工修改情况等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。</w:t>
                            </w:r>
                          </w:p>
                          <w:p w14:paraId="64661515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AI回复的关键内容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  <w:lang w:val="en-US" w:eastAsia="zh-CN"/>
                              </w:rPr>
                              <w:t>佐证材料，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需作为本文档的附录2给出，包括但不限于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关键操作截图（含时间戳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需清晰可辨）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；（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交互录屏视频（时长≤5分钟，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标注使用节点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文档为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MP4格式，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</w:rPr>
                              <w:t>命名格式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：AI_使用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序号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_作品编号.mp4）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；（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代码注释中标明AI辅助部分（如：// AI辅助生成：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auto"/>
                                <w:lang w:val="en-US" w:eastAsia="zh-CN"/>
                              </w:rPr>
                              <w:t>DeepSeek-R1-0528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, 2025-11-03）</w:t>
                            </w:r>
                          </w:p>
                          <w:p w14:paraId="75436B9A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提交时，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需将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PDF格式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文件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以及其他佐证材料（如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交互录屏视频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），一并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上传到作品文件夹的“</w:t>
                            </w:r>
                            <w:r>
                              <w:rPr>
                                <w:rFonts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03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设计与开发文档”子文件夹中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。</w:t>
                            </w:r>
                          </w:p>
                          <w:p w14:paraId="77784039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</w:rPr>
                              <w:t>真实填写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。</w:t>
                            </w:r>
                            <w:r>
                              <w:rPr>
                                <w:rFonts w:hint="eastAsia" w:ascii="黑体" w:hAnsi="黑体" w:eastAsia="黑体" w:cs="黑体"/>
                              </w:rPr>
                              <w:t>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3.9pt;width:668.65pt;" fillcolor="#FFFFFF [3201]" filled="t" stroked="t" coordsize="21600,21600" o:gfxdata="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xlP3H0wAA&#10;AAYBAAAPAAAAAAAAAAEAIAAAACIAAABkcnMvZG93bnJldi54bWxQSwECFAAUAAAACACHTuJASlb7&#10;j1wCAAC4BAAADgAAAAAAAAABACAAAAAi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CE368A3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32EE442D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本文档适用于所有涉及AI工具使用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参赛作品，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  <w:lang w:val="en-US" w:eastAsia="zh-CN"/>
                        </w:rPr>
                        <w:t>表格可另加行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2731A4B6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参赛作品的作者，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根据实际的使用情况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简明扼要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地列出本作品所使用的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全部AI工具</w:t>
                      </w:r>
                      <w:r>
                        <w:rPr>
                          <w:rFonts w:hint="eastAsia" w:ascii="华文楷体" w:hAnsi="华文楷体" w:eastAsia="华文楷体"/>
                          <w:b w:val="0"/>
                          <w:bCs w:val="0"/>
                          <w:lang w:val="en-US" w:eastAsia="zh-CN"/>
                        </w:rPr>
                        <w:t>的名称、版本、访问方式、使用时间、使用环节与目的、关键提示词、AI回复的关键内容、采纳和人工修改情况等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。</w:t>
                      </w:r>
                    </w:p>
                    <w:p w14:paraId="64661515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AI回复的关键内容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佐证材料，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需作为本文档的附录2给出，包括但不限于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关键操作截图（含时间戳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需清晰可辨）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交互录屏视频（时长≤5分钟，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标注使用节点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文档为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MP4格式，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</w:rPr>
                        <w:t>命名格式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：AI_使用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序号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_作品编号.mp4）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代码注释中标明AI辅助部分（如：// AI辅助生成：</w:t>
                      </w:r>
                      <w:r>
                        <w:rPr>
                          <w:rFonts w:hint="eastAsia" w:ascii="宋体" w:hAnsi="宋体" w:eastAsia="宋体" w:cs="宋体"/>
                          <w:color w:val="auto"/>
                          <w:lang w:val="en-US" w:eastAsia="zh-CN"/>
                        </w:rPr>
                        <w:t>DeepSeek-R1-0528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, 2025-11-03）</w:t>
                      </w:r>
                    </w:p>
                    <w:p w14:paraId="75436B9A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提交时，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需将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本文档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PDF格式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文件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以及其他佐证材料（如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），一并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上传到作品文件夹的“</w:t>
                      </w:r>
                      <w:r>
                        <w:rPr>
                          <w:rFonts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03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设计与开发文档”子文件夹中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77784039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</w:rPr>
                        <w:t>真实填写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。</w:t>
                      </w:r>
                      <w:r>
                        <w:rPr>
                          <w:rFonts w:hint="eastAsia" w:ascii="黑体" w:hAnsi="黑体" w:eastAsia="黑体" w:cs="黑体"/>
                        </w:rPr>
                        <w:t>如不属实，将导致奖项等级降低甚至终止本作品参加比赛。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203A3A6">
      <w:pPr>
        <w:rPr>
          <w:rFonts w:hint="eastAsia"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A9CDA2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附录1：作品文件夹示例</w:t>
      </w:r>
    </w:p>
    <w:p w14:paraId="0D42676B">
      <w:pPr>
        <w:ind w:firstLine="210" w:firstLine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012345-参赛总文件夹</w:t>
      </w:r>
    </w:p>
    <w:p w14:paraId="478623C0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012345-01作品与答辩材料</w:t>
      </w:r>
    </w:p>
    <w:p w14:paraId="001664B8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012345-02素材与源码</w:t>
      </w:r>
    </w:p>
    <w:p w14:paraId="7622881C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012345-03设计与开发文档</w:t>
      </w:r>
    </w:p>
    <w:p w14:paraId="25CC8CE4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└──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012345-04作品演示视频</w:t>
      </w:r>
    </w:p>
    <w:p w14:paraId="6F86B644">
      <w:pPr>
        <w:rPr>
          <w:rFonts w:hint="eastAsia" w:ascii="Arial" w:hAnsi="Arial" w:eastAsia="宋体" w:cs="Arial"/>
          <w:b/>
          <w:bCs/>
          <w:color w:val="333333"/>
          <w:kern w:val="0"/>
          <w:szCs w:val="21"/>
        </w:rPr>
      </w:pPr>
    </w:p>
    <w:p w14:paraId="58C2B434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附录2：</w:t>
      </w:r>
    </w:p>
    <w:p w14:paraId="5E875E06">
      <w:pP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序号1的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4E5E823C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序号2的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51D0E27C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序号3的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0A8F541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序号4的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0E0E282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序号5的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53354CB1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序号6的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20596E07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序号7的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204BA2AA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序号8的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45AF83B2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序号9的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033FB06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6E8362"/>
    <w:multiLevelType w:val="singleLevel"/>
    <w:tmpl w:val="216E8362"/>
    <w:lvl w:ilvl="0" w:tentative="0">
      <w:start w:val="1"/>
      <w:numFmt w:val="decimal"/>
      <w:suff w:val="space"/>
      <w:lvlText w:val="%1."/>
      <w:lvlJc w:val="left"/>
      <w:pPr>
        <w:ind w:left="227" w:leftChars="0" w:hanging="227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B29"/>
    <w:rsid w:val="005B644F"/>
    <w:rsid w:val="006175A4"/>
    <w:rsid w:val="00A14B29"/>
    <w:rsid w:val="05067EF7"/>
    <w:rsid w:val="06411DC2"/>
    <w:rsid w:val="07181F63"/>
    <w:rsid w:val="084D5E41"/>
    <w:rsid w:val="0D5A0767"/>
    <w:rsid w:val="0DE46363"/>
    <w:rsid w:val="0E6D6359"/>
    <w:rsid w:val="10744EF1"/>
    <w:rsid w:val="10D71E9B"/>
    <w:rsid w:val="11B64CD1"/>
    <w:rsid w:val="12A14823"/>
    <w:rsid w:val="130D3C66"/>
    <w:rsid w:val="139D148E"/>
    <w:rsid w:val="16E55626"/>
    <w:rsid w:val="16F05D79"/>
    <w:rsid w:val="1D497F91"/>
    <w:rsid w:val="1D7274E7"/>
    <w:rsid w:val="2074045F"/>
    <w:rsid w:val="20F91DC3"/>
    <w:rsid w:val="216D06F2"/>
    <w:rsid w:val="233C2EB8"/>
    <w:rsid w:val="26AC3A6A"/>
    <w:rsid w:val="27415819"/>
    <w:rsid w:val="2877577E"/>
    <w:rsid w:val="28E8751C"/>
    <w:rsid w:val="2C4468C8"/>
    <w:rsid w:val="2CD07E96"/>
    <w:rsid w:val="2D4B6E23"/>
    <w:rsid w:val="30795A76"/>
    <w:rsid w:val="32BB5035"/>
    <w:rsid w:val="330B7D6A"/>
    <w:rsid w:val="348D3D41"/>
    <w:rsid w:val="35B846C5"/>
    <w:rsid w:val="39EF1615"/>
    <w:rsid w:val="3C3C0F95"/>
    <w:rsid w:val="3E482FBD"/>
    <w:rsid w:val="3E7569E0"/>
    <w:rsid w:val="3E8E35FE"/>
    <w:rsid w:val="426A6EBD"/>
    <w:rsid w:val="43BB33D0"/>
    <w:rsid w:val="43FB7987"/>
    <w:rsid w:val="4404683C"/>
    <w:rsid w:val="4424588A"/>
    <w:rsid w:val="446D5E07"/>
    <w:rsid w:val="44793B24"/>
    <w:rsid w:val="4A534079"/>
    <w:rsid w:val="4EC51EC0"/>
    <w:rsid w:val="546B0211"/>
    <w:rsid w:val="5A1D4843"/>
    <w:rsid w:val="5B280B1F"/>
    <w:rsid w:val="613F280A"/>
    <w:rsid w:val="61932B55"/>
    <w:rsid w:val="64FD6C64"/>
    <w:rsid w:val="663B3437"/>
    <w:rsid w:val="68B23B16"/>
    <w:rsid w:val="6D13119B"/>
    <w:rsid w:val="6D164870"/>
    <w:rsid w:val="6F2C22DC"/>
    <w:rsid w:val="6F485C50"/>
    <w:rsid w:val="710870BC"/>
    <w:rsid w:val="7134589A"/>
    <w:rsid w:val="733028FA"/>
    <w:rsid w:val="73532145"/>
    <w:rsid w:val="75B10E02"/>
    <w:rsid w:val="76C1721E"/>
    <w:rsid w:val="78E0091E"/>
    <w:rsid w:val="79ED50A1"/>
    <w:rsid w:val="7A7D5EE5"/>
    <w:rsid w:val="7BDA78A7"/>
    <w:rsid w:val="7CDE6F23"/>
    <w:rsid w:val="7F3A357F"/>
    <w:rsid w:val="7F43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qFormat/>
    <w:uiPriority w:val="9"/>
    <w:pPr>
      <w:keepNext/>
      <w:keepLines/>
      <w:spacing w:before="60" w:after="6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/>
    </w:pPr>
  </w:style>
  <w:style w:type="table" w:styleId="6">
    <w:name w:val="Table Grid"/>
    <w:basedOn w:val="5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472</Words>
  <Characters>588</Characters>
  <Lines>4</Lines>
  <Paragraphs>15</Paragraphs>
  <TotalTime>0</TotalTime>
  <ScaleCrop>false</ScaleCrop>
  <LinksUpToDate>false</LinksUpToDate>
  <CharactersWithSpaces>637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2026-03-10T03:30:00Z</dcterms:created>
  <dc:creator>Administrator</dc:creator>
  <cp:lastModifiedBy>北语李老师</cp:lastModifiedBy>
  <dcterms:modified xsi:type="dcterms:W3CDTF">2026-04-11T13:11:12Z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eyJoZGlkIjoiMzEwNTM5NzYwMDRjMzkwZTVkZjY2ODkwMGIxNGU0OTUiLCJ1c2VySWQiOiIyOTU4OTU1NzAifQ==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88DF7A46B2AD44F19DA67CF870975F2E_12</vt:lpwstr>
  </property>
</Properties>
</file>