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9AF9" w14:textId="693F4ADD" w:rsidR="00181A15" w:rsidRPr="00181A15" w:rsidRDefault="00181A15" w:rsidP="00CD039E">
      <w:pPr>
        <w:pStyle w:val="Title"/>
        <w:jc w:val="both"/>
        <w:rPr>
          <w:rFonts w:cstheme="majorHAnsi"/>
        </w:rPr>
      </w:pPr>
      <w:r>
        <w:rPr>
          <w:rFonts w:cstheme="majorHAnsi" w:hint="eastAsia"/>
        </w:rPr>
        <w:t>CSE</w:t>
      </w:r>
      <w:proofErr w:type="gramStart"/>
      <w:r>
        <w:rPr>
          <w:rFonts w:cstheme="majorHAnsi" w:hint="eastAsia"/>
        </w:rPr>
        <w:t>258</w:t>
      </w:r>
      <w:r>
        <w:rPr>
          <w:rFonts w:cstheme="majorHAnsi"/>
        </w:rPr>
        <w:t xml:space="preserve">  </w:t>
      </w:r>
      <w:r w:rsidRPr="00181A15">
        <w:rPr>
          <w:rFonts w:cstheme="majorHAnsi"/>
        </w:rPr>
        <w:t>HW</w:t>
      </w:r>
      <w:proofErr w:type="gramEnd"/>
      <w:r w:rsidRPr="00181A15">
        <w:rPr>
          <w:rFonts w:cstheme="majorHAnsi"/>
        </w:rPr>
        <w:t>1</w:t>
      </w:r>
    </w:p>
    <w:p w14:paraId="0A6DD2AE" w14:textId="0B60B3F4" w:rsidR="00181A15" w:rsidRDefault="00181A15" w:rsidP="00CD039E">
      <w:pPr>
        <w:jc w:val="both"/>
        <w:rPr>
          <w:rFonts w:asciiTheme="majorHAnsi" w:hAnsiTheme="majorHAnsi" w:cstheme="majorHAnsi"/>
        </w:rPr>
      </w:pPr>
      <w:proofErr w:type="spellStart"/>
      <w:r w:rsidRPr="00181A15">
        <w:rPr>
          <w:rFonts w:asciiTheme="majorHAnsi" w:hAnsiTheme="majorHAnsi" w:cstheme="majorHAnsi"/>
        </w:rPr>
        <w:t>Yawen</w:t>
      </w:r>
      <w:proofErr w:type="spellEnd"/>
      <w:r w:rsidRPr="00181A15">
        <w:rPr>
          <w:rFonts w:asciiTheme="majorHAnsi" w:hAnsiTheme="majorHAnsi" w:cstheme="majorHAnsi"/>
        </w:rPr>
        <w:t xml:space="preserve"> Zhao   A53280596</w:t>
      </w:r>
    </w:p>
    <w:p w14:paraId="17E46173" w14:textId="77777777" w:rsidR="00CD039E" w:rsidRDefault="00CD039E" w:rsidP="00CD039E">
      <w:pPr>
        <w:jc w:val="both"/>
        <w:rPr>
          <w:rFonts w:asciiTheme="majorHAnsi" w:hAnsiTheme="majorHAnsi" w:cstheme="majorHAnsi"/>
        </w:rPr>
      </w:pPr>
    </w:p>
    <w:p w14:paraId="6892BBC0" w14:textId="6039B3C0" w:rsidR="00181A15" w:rsidRDefault="00181A15" w:rsidP="00CD039E">
      <w:pPr>
        <w:jc w:val="both"/>
        <w:rPr>
          <w:rFonts w:asciiTheme="majorHAnsi" w:hAnsiTheme="majorHAnsi" w:cstheme="majorHAnsi"/>
        </w:rPr>
      </w:pPr>
    </w:p>
    <w:p w14:paraId="61935988" w14:textId="6EB434F0" w:rsidR="00181A15" w:rsidRPr="00181A15" w:rsidRDefault="00181A15" w:rsidP="00CD039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181A15">
        <w:rPr>
          <w:rFonts w:ascii="Times New Roman" w:eastAsia="Times New Roman" w:hAnsi="Times New Roman" w:cs="Times New Roman"/>
        </w:rPr>
        <w:t>The distribution of ratings in the dataset is as following:</w:t>
      </w:r>
    </w:p>
    <w:p w14:paraId="125FBE3F" w14:textId="7E122F74" w:rsidR="00181A15" w:rsidRPr="00181A15" w:rsidRDefault="00181A15" w:rsidP="00CD039E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439"/>
        <w:gridCol w:w="1438"/>
        <w:gridCol w:w="1438"/>
        <w:gridCol w:w="1438"/>
        <w:gridCol w:w="1438"/>
      </w:tblGrid>
      <w:tr w:rsidR="00181A15" w:rsidRPr="00181A15" w14:paraId="5D8EAA94" w14:textId="77777777" w:rsidTr="00181A15">
        <w:trPr>
          <w:jc w:val="center"/>
        </w:trPr>
        <w:tc>
          <w:tcPr>
            <w:tcW w:w="1439" w:type="dxa"/>
          </w:tcPr>
          <w:p w14:paraId="09BE7190" w14:textId="27A2088A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Stars</w:t>
            </w:r>
          </w:p>
        </w:tc>
        <w:tc>
          <w:tcPr>
            <w:tcW w:w="1439" w:type="dxa"/>
          </w:tcPr>
          <w:p w14:paraId="678F6F06" w14:textId="4ED8DE20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8" w:type="dxa"/>
          </w:tcPr>
          <w:p w14:paraId="04A31A37" w14:textId="70CE5BDF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38" w:type="dxa"/>
          </w:tcPr>
          <w:p w14:paraId="00316C14" w14:textId="37A76995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38" w:type="dxa"/>
          </w:tcPr>
          <w:p w14:paraId="030BE24F" w14:textId="2C8A3E70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38" w:type="dxa"/>
          </w:tcPr>
          <w:p w14:paraId="79F59629" w14:textId="4E8A2933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181A15" w:rsidRPr="00181A15" w14:paraId="62FEAD8F" w14:textId="77777777" w:rsidTr="00181A15">
        <w:trPr>
          <w:jc w:val="center"/>
        </w:trPr>
        <w:tc>
          <w:tcPr>
            <w:tcW w:w="1439" w:type="dxa"/>
          </w:tcPr>
          <w:p w14:paraId="1F0AD94E" w14:textId="2ED8D10E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Reviews</w:t>
            </w:r>
          </w:p>
        </w:tc>
        <w:tc>
          <w:tcPr>
            <w:tcW w:w="1439" w:type="dxa"/>
          </w:tcPr>
          <w:p w14:paraId="4532C7F5" w14:textId="1548BCA0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4793</w:t>
            </w:r>
          </w:p>
        </w:tc>
        <w:tc>
          <w:tcPr>
            <w:tcW w:w="1438" w:type="dxa"/>
          </w:tcPr>
          <w:p w14:paraId="482DD3D3" w14:textId="17A1A863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1569</w:t>
            </w:r>
          </w:p>
        </w:tc>
        <w:tc>
          <w:tcPr>
            <w:tcW w:w="1438" w:type="dxa"/>
          </w:tcPr>
          <w:p w14:paraId="21242CFB" w14:textId="48809833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3156</w:t>
            </w:r>
          </w:p>
        </w:tc>
        <w:tc>
          <w:tcPr>
            <w:tcW w:w="1438" w:type="dxa"/>
          </w:tcPr>
          <w:p w14:paraId="03DE5F2C" w14:textId="3FA6FA62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9859</w:t>
            </w:r>
          </w:p>
        </w:tc>
        <w:tc>
          <w:tcPr>
            <w:tcW w:w="1438" w:type="dxa"/>
          </w:tcPr>
          <w:p w14:paraId="04F5C120" w14:textId="03E05E11" w:rsidR="00181A15" w:rsidRPr="00181A15" w:rsidRDefault="00181A15" w:rsidP="00CD039E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181A15">
              <w:rPr>
                <w:rFonts w:ascii="Times New Roman" w:eastAsia="Times New Roman" w:hAnsi="Times New Roman" w:cs="Times New Roman"/>
              </w:rPr>
              <w:t>129709</w:t>
            </w:r>
          </w:p>
        </w:tc>
      </w:tr>
    </w:tbl>
    <w:p w14:paraId="16B750C5" w14:textId="11A24633" w:rsidR="00181A15" w:rsidRPr="00181A15" w:rsidRDefault="00181A15" w:rsidP="00CD039E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196BC196" w14:textId="55EE4DAA" w:rsidR="00181A15" w:rsidRPr="00181A15" w:rsidRDefault="00181A15" w:rsidP="00CD039E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558CF0E2" w14:textId="761082E1" w:rsidR="00181A15" w:rsidRPr="00181A15" w:rsidRDefault="00181A15" w:rsidP="00CD039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181A15">
        <w:rPr>
          <w:rFonts w:ascii="Times New Roman" w:eastAsia="Batang" w:hAnsi="Times New Roman" w:cs="Times New Roman"/>
        </w:rPr>
        <w:t>(</w:t>
      </w:r>
      <w:r>
        <w:rPr>
          <w:rFonts w:ascii="Times New Roman" w:eastAsia="Batang" w:hAnsi="Times New Roman" w:cs="Times New Roman"/>
        </w:rPr>
        <w:t>only for CSE158</w:t>
      </w:r>
      <w:r w:rsidRPr="00181A15">
        <w:rPr>
          <w:rFonts w:ascii="Times New Roman" w:eastAsia="Batang" w:hAnsi="Times New Roman" w:cs="Times New Roman"/>
        </w:rPr>
        <w:t>)</w:t>
      </w:r>
    </w:p>
    <w:p w14:paraId="7279D5B1" w14:textId="77777777" w:rsidR="00181A15" w:rsidRPr="00181A15" w:rsidRDefault="00181A15" w:rsidP="00CD039E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590215A" w14:textId="77777777" w:rsidR="00181A15" w:rsidRPr="00181A15" w:rsidRDefault="00181A15" w:rsidP="00CD039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value of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are</w:t>
      </w:r>
    </w:p>
    <w:p w14:paraId="05FDC8A7" w14:textId="6EE42422" w:rsidR="00181A15" w:rsidRPr="00181A15" w:rsidRDefault="00181A15" w:rsidP="00CD039E">
      <w:pPr>
        <w:pStyle w:val="ListParagraph"/>
        <w:jc w:val="both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m:t>=4.84461817e+00</m:t>
          </m:r>
        </m:oMath>
      </m:oMathPara>
    </w:p>
    <w:p w14:paraId="0CC7B980" w14:textId="397BB5F1" w:rsidR="00181A15" w:rsidRPr="00181A15" w:rsidRDefault="00181A15" w:rsidP="00CD039E">
      <w:pPr>
        <w:pStyle w:val="ListParagraph"/>
        <w:jc w:val="both"/>
        <w:rPr>
          <w:rFonts w:ascii="Cambria Math" w:eastAsia="Times New Roman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m:t>=5.04148265e-02</m:t>
          </m:r>
        </m:oMath>
      </m:oMathPara>
    </w:p>
    <w:p w14:paraId="43225561" w14:textId="27EECAB3" w:rsidR="00181A15" w:rsidRPr="00CD039E" w:rsidRDefault="00181A15" w:rsidP="00CD039E">
      <w:pPr>
        <w:pStyle w:val="ListParagraph"/>
        <w:jc w:val="both"/>
        <w:rPr>
          <w:rFonts w:ascii="Cambria Math" w:eastAsia="Times New Roman" w:hAnsi="Cambria Math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m:t>=-1.24659895e-03</m:t>
          </m:r>
        </m:oMath>
      </m:oMathPara>
    </w:p>
    <w:p w14:paraId="0EE2F851" w14:textId="77777777" w:rsidR="00CD039E" w:rsidRPr="00181A15" w:rsidRDefault="00CD039E" w:rsidP="00CD039E">
      <w:pPr>
        <w:pStyle w:val="ListParagraph"/>
        <w:jc w:val="both"/>
        <w:rPr>
          <w:rFonts w:ascii="Cambria Math" w:eastAsia="Times New Roman" w:hAnsi="Cambria Math" w:cs="Times New Roman"/>
        </w:rPr>
      </w:pPr>
    </w:p>
    <w:p w14:paraId="7BF85EA8" w14:textId="2F7B2908" w:rsidR="00CD039E" w:rsidRDefault="00181A15" w:rsidP="00CD039E">
      <w:pPr>
        <w:jc w:val="both"/>
      </w:pPr>
      <w:r w:rsidRPr="00CD039E">
        <w:t xml:space="preserve">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D039E" w:rsidRPr="00CD039E">
        <w:t xml:space="preserve"> </w:t>
      </w:r>
      <w:r w:rsidR="00CD039E" w:rsidRPr="00CD039E">
        <w:rPr>
          <w:rFonts w:hint="eastAsia"/>
        </w:rPr>
        <w:t>indicates</w:t>
      </w:r>
      <w:r w:rsidR="00CD039E" w:rsidRPr="00CD039E">
        <w:t xml:space="preserve"> the </w:t>
      </w:r>
      <w:r w:rsidR="00CD039E" w:rsidRPr="00CD039E">
        <w:rPr>
          <w:rFonts w:hint="eastAsia"/>
        </w:rPr>
        <w:t>average</w:t>
      </w:r>
      <w:r w:rsidR="00CD039E" w:rsidRPr="00CD039E">
        <w:t xml:space="preserve"> </w:t>
      </w:r>
      <w:r w:rsidR="00CD039E" w:rsidRPr="00CD039E">
        <w:rPr>
          <w:rFonts w:hint="eastAsia"/>
        </w:rPr>
        <w:t>value</w:t>
      </w:r>
      <w:r w:rsidR="00CD039E" w:rsidRPr="00CD039E">
        <w:t xml:space="preserve"> </w:t>
      </w:r>
      <w:r w:rsidR="00CD039E" w:rsidRPr="00CD039E">
        <w:rPr>
          <w:rFonts w:hint="eastAsia"/>
        </w:rPr>
        <w:t>of</w:t>
      </w:r>
      <w:r w:rsidR="00CD039E" w:rsidRPr="00CD039E">
        <w:t xml:space="preserve"> </w:t>
      </w:r>
      <w:r w:rsidR="00CD039E" w:rsidRPr="00CD039E">
        <w:rPr>
          <w:rFonts w:hint="eastAsia"/>
        </w:rPr>
        <w:t>ratings.</w:t>
      </w:r>
      <w:r w:rsidR="00CD039E" w:rsidRPr="00CD039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D039E" w:rsidRPr="00CD039E">
        <w:t xml:space="preserve"> indicates as if the review is verified, the ratings will increase by </w:t>
      </w:r>
      <w:r w:rsidR="00CD039E" w:rsidRPr="00CD039E">
        <w:t>5.04148265e</w:t>
      </w:r>
      <w:r w:rsidR="00CD039E" w:rsidRPr="00CD039E">
        <w:t xml:space="preserve">-02. If the review is unverified, the ratings will not increase.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CD039E" w:rsidRPr="00CD039E">
        <w:t xml:space="preserve"> indicates as if the review length is 1 character longer, the rating will decrease </w:t>
      </w:r>
      <w:r w:rsidR="00CD039E" w:rsidRPr="00CD039E">
        <w:t>1.24659895e-03</w:t>
      </w:r>
      <w:r w:rsidR="00CD039E" w:rsidRPr="00CD039E">
        <w:t xml:space="preserve">. Conversely, if the review length is 1 character shorter, the rating will increase </w:t>
      </w:r>
      <w:r w:rsidR="00CD039E" w:rsidRPr="00CD039E">
        <w:t>1.24659895e-03</w:t>
      </w:r>
    </w:p>
    <w:p w14:paraId="22E1F0D9" w14:textId="50E17F9C" w:rsidR="00CD039E" w:rsidRDefault="00CD039E" w:rsidP="00CD039E">
      <w:pPr>
        <w:jc w:val="both"/>
      </w:pPr>
    </w:p>
    <w:p w14:paraId="5C3B58C6" w14:textId="77777777" w:rsidR="00CD039E" w:rsidRPr="005638F9" w:rsidRDefault="00CD039E" w:rsidP="005638F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5638F9">
        <w:rPr>
          <w:rFonts w:ascii="Times New Roman" w:eastAsia="Times New Roman" w:hAnsi="Times New Roman" w:cs="Times New Roman" w:hint="eastAsia"/>
        </w:rPr>
        <w:t>The</w:t>
      </w:r>
      <w:r w:rsidRPr="005638F9">
        <w:rPr>
          <w:rFonts w:ascii="Times New Roman" w:eastAsia="Times New Roman" w:hAnsi="Times New Roman" w:cs="Times New Roman"/>
        </w:rPr>
        <w:t xml:space="preserve"> value of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</m:oMath>
      <w:r w:rsidRPr="005638F9">
        <w:rPr>
          <w:rFonts w:ascii="Times New Roman" w:eastAsia="Times New Roman" w:hAnsi="Times New Roman" w:cs="Times New Roman"/>
        </w:rPr>
        <w:t>are</w:t>
      </w:r>
      <w:r w:rsidRPr="005638F9">
        <w:rPr>
          <w:rFonts w:ascii="Times New Roman" w:eastAsia="Times New Roman" w:hAnsi="Times New Roman" w:cs="Times New Roman"/>
        </w:rPr>
        <w:t xml:space="preserve">  </w:t>
      </w:r>
    </w:p>
    <w:p w14:paraId="2F5A58AA" w14:textId="31F5767F" w:rsidR="00CD039E" w:rsidRPr="005638F9" w:rsidRDefault="00CD039E" w:rsidP="005638F9">
      <w:pPr>
        <w:jc w:val="both"/>
      </w:pPr>
      <m:oMathPara>
        <m:oMath>
          <m:sSub>
            <m:sSubPr>
              <m:ctrlPr>
                <w:rPr>
                  <w:rFonts w:ascii="Cambria Math" w:hAnsi="Cambria Math" w:hint="eastAsia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=4.57758356</m:t>
          </m:r>
        </m:oMath>
      </m:oMathPara>
    </w:p>
    <w:p w14:paraId="2A6409C2" w14:textId="630D0F4C" w:rsidR="00CD039E" w:rsidRPr="005638F9" w:rsidRDefault="00CD039E" w:rsidP="005638F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=0.16852426</m:t>
          </m:r>
        </m:oMath>
      </m:oMathPara>
    </w:p>
    <w:p w14:paraId="0710BB51" w14:textId="77777777" w:rsidR="00CD039E" w:rsidRPr="005638F9" w:rsidRDefault="00CD039E" w:rsidP="005638F9">
      <w:pPr>
        <w:jc w:val="both"/>
      </w:pPr>
    </w:p>
    <w:p w14:paraId="30924D41" w14:textId="6E493313" w:rsidR="00CD039E" w:rsidRDefault="00CD039E" w:rsidP="004B1FB0">
      <w:pPr>
        <w:jc w:val="both"/>
      </w:pPr>
      <m:oMath>
        <m:r>
          <m:rPr>
            <m:sty m:val="p"/>
          </m:rPr>
          <w:rPr>
            <w:rFonts w:ascii="Cambria Math" w:hAnsi="Cambria Math"/>
          </w:rPr>
          <m:t xml:space="preserve">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CD039E">
        <w:t xml:space="preserve"> </w:t>
      </w:r>
      <w:r w:rsidRPr="00CD039E">
        <w:rPr>
          <w:rFonts w:hint="eastAsia"/>
        </w:rPr>
        <w:t>indicates</w:t>
      </w:r>
      <w:r w:rsidRPr="00CD039E">
        <w:t xml:space="preserve"> the </w:t>
      </w:r>
      <w:r w:rsidRPr="00CD039E">
        <w:rPr>
          <w:rFonts w:hint="eastAsia"/>
        </w:rPr>
        <w:t>average</w:t>
      </w:r>
      <w:r w:rsidRPr="00CD039E">
        <w:t xml:space="preserve"> </w:t>
      </w:r>
      <w:r w:rsidRPr="00CD039E">
        <w:rPr>
          <w:rFonts w:hint="eastAsia"/>
        </w:rPr>
        <w:t>value</w:t>
      </w:r>
      <w:r w:rsidRPr="00CD039E">
        <w:t xml:space="preserve"> </w:t>
      </w:r>
      <w:r w:rsidRPr="00CD039E">
        <w:rPr>
          <w:rFonts w:hint="eastAsia"/>
        </w:rPr>
        <w:t>of</w:t>
      </w:r>
      <w:r w:rsidRPr="00CD039E">
        <w:t xml:space="preserve"> </w:t>
      </w:r>
      <w:r w:rsidRPr="00CD039E">
        <w:rPr>
          <w:rFonts w:hint="eastAsia"/>
        </w:rPr>
        <w:t>ratings.</w:t>
      </w:r>
      <w:r w:rsidRPr="00CD039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CD039E">
        <w:t xml:space="preserve"> indicates as if the review is verified, the ratings will increase by </w:t>
      </w:r>
      <m:oMath>
        <m:r>
          <m:rPr>
            <m:sty m:val="p"/>
          </m:rPr>
          <w:rPr>
            <w:rFonts w:ascii="Cambria Math" w:hAnsi="Cambria Math"/>
          </w:rPr>
          <m:t>0.16852426</m:t>
        </m:r>
      </m:oMath>
      <w:r w:rsidRPr="00CD039E">
        <w:t>. If the review is unverified, the ratings will not increase.</w:t>
      </w:r>
      <w:r w:rsidR="004B1FB0">
        <w:t xml:space="preserve"> </w:t>
      </w:r>
      <w:r w:rsidR="004B1FB0">
        <w:rPr>
          <w:rFonts w:hint="eastAsia"/>
        </w:rPr>
        <w:t>Even</w:t>
      </w:r>
      <w:r w:rsidR="004B1FB0">
        <w:t xml:space="preserve"> though the coefficients represent the </w:t>
      </w:r>
      <w:r w:rsidR="004B1FB0">
        <w:rPr>
          <w:rFonts w:hint="eastAsia"/>
        </w:rPr>
        <w:t>same</w:t>
      </w:r>
      <w:r w:rsidR="004B1FB0">
        <w:t xml:space="preserve"> </w:t>
      </w:r>
      <w:r w:rsidR="004B1FB0">
        <w:rPr>
          <w:rFonts w:hint="eastAsia"/>
        </w:rPr>
        <w:t>feature</w:t>
      </w:r>
      <w:r w:rsidR="004B1FB0" w:rsidRPr="004B1FB0">
        <w:rPr>
          <w:rFonts w:hint="eastAsia"/>
        </w:rPr>
        <w:t>,</w:t>
      </w:r>
      <w:r w:rsidR="004B1FB0" w:rsidRPr="004B1FB0">
        <w:t xml:space="preserve"> the model is being changed. As in question 3, the model of rating is represent</w:t>
      </w:r>
      <w:r w:rsidR="004B1FB0">
        <w:t>ed</w:t>
      </w:r>
      <w:r w:rsidR="004B1FB0" w:rsidRPr="004B1FB0">
        <w:t xml:space="preserve"> not only by whether the rating is verified or not, but also represent by the length of the rating. Hence the model in question judge the rating in a different dimension and thus the coefficients are changes</w:t>
      </w:r>
      <w:r w:rsidR="005638F9">
        <w:t>.</w:t>
      </w:r>
    </w:p>
    <w:p w14:paraId="09395252" w14:textId="7717D559" w:rsidR="005B2A1E" w:rsidRDefault="005B2A1E" w:rsidP="004B1FB0">
      <w:pPr>
        <w:jc w:val="both"/>
      </w:pPr>
    </w:p>
    <w:p w14:paraId="6860B50F" w14:textId="67101BAC" w:rsidR="005B2A1E" w:rsidRDefault="005B2A1E" w:rsidP="005B2A1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5B2A1E">
        <w:rPr>
          <w:rFonts w:ascii="Times New Roman" w:eastAsia="Times New Roman" w:hAnsi="Times New Roman" w:cs="Times New Roman" w:hint="eastAsia"/>
        </w:rPr>
        <w:t>The</w:t>
      </w:r>
      <w:r w:rsidRPr="005B2A1E">
        <w:rPr>
          <w:rFonts w:ascii="Times New Roman" w:eastAsia="Times New Roman" w:hAnsi="Times New Roman" w:cs="Times New Roman"/>
        </w:rPr>
        <w:t xml:space="preserve"> </w:t>
      </w:r>
      <w:r w:rsidRPr="005B2A1E">
        <w:rPr>
          <w:rFonts w:ascii="Times New Roman" w:eastAsia="Times New Roman" w:hAnsi="Times New Roman" w:cs="Times New Roman" w:hint="eastAsia"/>
        </w:rPr>
        <w:t>model</w:t>
      </w:r>
      <w:r w:rsidRPr="005B2A1E">
        <w:rPr>
          <w:rFonts w:ascii="Times New Roman" w:eastAsia="Times New Roman" w:hAnsi="Times New Roman" w:cs="Times New Roman"/>
        </w:rPr>
        <w:t xml:space="preserve">’s MSE on training data is </w:t>
      </w:r>
      <w:r w:rsidRPr="005B2A1E">
        <w:rPr>
          <w:rFonts w:ascii="Times New Roman" w:eastAsia="Times New Roman" w:hAnsi="Times New Roman" w:cs="Times New Roman"/>
        </w:rPr>
        <w:t>0.6557415620281802</w:t>
      </w:r>
      <w:r w:rsidRPr="005B2A1E">
        <w:rPr>
          <w:rFonts w:ascii="Times New Roman" w:eastAsia="Times New Roman" w:hAnsi="Times New Roman" w:cs="Times New Roman"/>
        </w:rPr>
        <w:t xml:space="preserve">. </w:t>
      </w:r>
      <w:r w:rsidRPr="005B2A1E">
        <w:rPr>
          <w:rFonts w:ascii="Times New Roman" w:eastAsia="Times New Roman" w:hAnsi="Times New Roman" w:cs="Times New Roman" w:hint="eastAsia"/>
        </w:rPr>
        <w:t>MSE</w:t>
      </w:r>
      <w:r w:rsidRPr="005B2A1E">
        <w:rPr>
          <w:rFonts w:ascii="Times New Roman" w:eastAsia="Times New Roman" w:hAnsi="Times New Roman" w:cs="Times New Roman"/>
        </w:rPr>
        <w:t xml:space="preserve"> </w:t>
      </w:r>
      <w:r w:rsidRPr="005B2A1E">
        <w:rPr>
          <w:rFonts w:ascii="Times New Roman" w:eastAsia="Times New Roman" w:hAnsi="Times New Roman" w:cs="Times New Roman" w:hint="eastAsia"/>
        </w:rPr>
        <w:t>on</w:t>
      </w:r>
      <w:r w:rsidRPr="005B2A1E">
        <w:rPr>
          <w:rFonts w:ascii="Times New Roman" w:eastAsia="Times New Roman" w:hAnsi="Times New Roman" w:cs="Times New Roman"/>
        </w:rPr>
        <w:t xml:space="preserve"> </w:t>
      </w:r>
      <w:r w:rsidRPr="005B2A1E">
        <w:rPr>
          <w:rFonts w:ascii="Times New Roman" w:eastAsia="Times New Roman" w:hAnsi="Times New Roman" w:cs="Times New Roman" w:hint="eastAsia"/>
        </w:rPr>
        <w:t>testing</w:t>
      </w:r>
      <w:r w:rsidRPr="005B2A1E">
        <w:rPr>
          <w:rFonts w:ascii="Times New Roman" w:eastAsia="Times New Roman" w:hAnsi="Times New Roman" w:cs="Times New Roman"/>
        </w:rPr>
        <w:t xml:space="preserve"> </w:t>
      </w:r>
      <w:r w:rsidRPr="005B2A1E">
        <w:rPr>
          <w:rFonts w:ascii="Times New Roman" w:eastAsia="Times New Roman" w:hAnsi="Times New Roman" w:cs="Times New Roman" w:hint="eastAsia"/>
        </w:rPr>
        <w:t>data</w:t>
      </w:r>
      <w:r w:rsidRPr="005B2A1E">
        <w:rPr>
          <w:rFonts w:ascii="Times New Roman" w:eastAsia="Times New Roman" w:hAnsi="Times New Roman" w:cs="Times New Roman"/>
        </w:rPr>
        <w:t xml:space="preserve"> </w:t>
      </w:r>
      <w:r w:rsidRPr="005B2A1E">
        <w:rPr>
          <w:rFonts w:ascii="Times New Roman" w:eastAsia="Times New Roman" w:hAnsi="Times New Roman" w:cs="Times New Roman" w:hint="eastAsia"/>
        </w:rPr>
        <w:t>is</w:t>
      </w:r>
      <w:r w:rsidRPr="005B2A1E">
        <w:rPr>
          <w:rFonts w:ascii="Times New Roman" w:eastAsia="Times New Roman" w:hAnsi="Times New Roman" w:cs="Times New Roman"/>
        </w:rPr>
        <w:t xml:space="preserve"> </w:t>
      </w:r>
      <w:r w:rsidRPr="005B2A1E">
        <w:rPr>
          <w:rFonts w:ascii="Times New Roman" w:eastAsia="Times New Roman" w:hAnsi="Times New Roman" w:cs="Times New Roman"/>
        </w:rPr>
        <w:t>0.9714261885960409</w:t>
      </w:r>
      <w:r>
        <w:rPr>
          <w:rFonts w:ascii="Times New Roman" w:eastAsia="Times New Roman" w:hAnsi="Times New Roman" w:cs="Times New Roman"/>
        </w:rPr>
        <w:t>.</w:t>
      </w:r>
    </w:p>
    <w:p w14:paraId="70028EB8" w14:textId="77777777" w:rsidR="005B2A1E" w:rsidRDefault="005B2A1E" w:rsidP="005B2A1E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64E5862C" w14:textId="54592811" w:rsidR="00EF699C" w:rsidRPr="00EF699C" w:rsidRDefault="00EF699C" w:rsidP="00EF699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00181A15">
        <w:rPr>
          <w:rFonts w:ascii="Times New Roman" w:eastAsia="Batang" w:hAnsi="Times New Roman" w:cs="Times New Roman"/>
        </w:rPr>
        <w:t>(</w:t>
      </w:r>
      <w:r>
        <w:rPr>
          <w:rFonts w:ascii="Times New Roman" w:eastAsia="Batang" w:hAnsi="Times New Roman" w:cs="Times New Roman"/>
        </w:rPr>
        <w:t>only for CSE158</w:t>
      </w:r>
      <w:r w:rsidRPr="00181A15">
        <w:rPr>
          <w:rFonts w:ascii="Times New Roman" w:eastAsia="Batang" w:hAnsi="Times New Roman" w:cs="Times New Roman"/>
        </w:rPr>
        <w:t>)</w:t>
      </w:r>
    </w:p>
    <w:p w14:paraId="1BFBD084" w14:textId="77777777" w:rsidR="00EF699C" w:rsidRPr="00EF699C" w:rsidRDefault="00EF699C" w:rsidP="00EF699C">
      <w:pPr>
        <w:pStyle w:val="ListParagraph"/>
        <w:rPr>
          <w:rFonts w:ascii="Times New Roman" w:eastAsia="Times New Roman" w:hAnsi="Times New Roman" w:cs="Times New Roman"/>
        </w:rPr>
      </w:pPr>
    </w:p>
    <w:p w14:paraId="7B62E518" w14:textId="76FBC38C" w:rsidR="00EF699C" w:rsidRDefault="00EF699C" w:rsidP="00EF699C">
      <w:pPr>
        <w:jc w:val="both"/>
      </w:pPr>
    </w:p>
    <w:p w14:paraId="3389D56F" w14:textId="49CDDBAA" w:rsidR="00EF699C" w:rsidRDefault="00EF699C" w:rsidP="00EF699C">
      <w:pPr>
        <w:jc w:val="both"/>
      </w:pPr>
    </w:p>
    <w:p w14:paraId="7970E883" w14:textId="7B94EF09" w:rsidR="00EF699C" w:rsidRDefault="00EF699C" w:rsidP="00EF699C">
      <w:pPr>
        <w:jc w:val="both"/>
      </w:pPr>
    </w:p>
    <w:p w14:paraId="1BA31971" w14:textId="5B13D08D" w:rsidR="00EF699C" w:rsidRDefault="00EF699C" w:rsidP="00EF699C">
      <w:pPr>
        <w:jc w:val="both"/>
      </w:pPr>
    </w:p>
    <w:p w14:paraId="22349C86" w14:textId="5765785A" w:rsidR="00EF699C" w:rsidRDefault="00EF699C" w:rsidP="00EF699C">
      <w:pPr>
        <w:jc w:val="both"/>
      </w:pPr>
    </w:p>
    <w:p w14:paraId="6AC6ECF5" w14:textId="77777777" w:rsidR="00EF699C" w:rsidRPr="00EF699C" w:rsidRDefault="00EF699C" w:rsidP="00EF699C">
      <w:pPr>
        <w:jc w:val="both"/>
      </w:pPr>
    </w:p>
    <w:p w14:paraId="79B66299" w14:textId="71914BE3" w:rsidR="00EF699C" w:rsidRDefault="00EF699C" w:rsidP="00EF699C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The figure below shows </w:t>
      </w:r>
      <w:r w:rsidRPr="00EF699C">
        <w:rPr>
          <w:rFonts w:ascii="Times New Roman" w:eastAsia="Times New Roman" w:hAnsi="Times New Roman" w:cs="Times New Roman"/>
        </w:rPr>
        <w:t>the training and test error vary as a function of the training set size</w:t>
      </w:r>
      <w:r>
        <w:t xml:space="preserve">. The size of the training set makes a big difference of the testing performance. As the size of training set increases, the error rate of testing data increases. This is because </w:t>
      </w:r>
      <w:bookmarkStart w:id="0" w:name="_GoBack"/>
      <w:bookmarkEnd w:id="0"/>
    </w:p>
    <w:p w14:paraId="18995F57" w14:textId="77777777" w:rsidR="00EF699C" w:rsidRDefault="00EF699C" w:rsidP="00EF699C">
      <w:pPr>
        <w:ind w:left="360"/>
        <w:jc w:val="center"/>
      </w:pPr>
    </w:p>
    <w:p w14:paraId="260A50FA" w14:textId="6DDE0E08" w:rsidR="00EF699C" w:rsidRPr="00EF699C" w:rsidRDefault="00EF699C" w:rsidP="00EF699C">
      <w:pPr>
        <w:pStyle w:val="ListParagraph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drawing>
          <wp:inline distT="0" distB="0" distL="0" distR="0" wp14:anchorId="7ACD27C3" wp14:editId="2B7B628C">
            <wp:extent cx="3550285" cy="2395220"/>
            <wp:effectExtent l="0" t="0" r="571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99C" w:rsidRPr="00EF699C" w:rsidSect="003A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341C8"/>
    <w:multiLevelType w:val="hybridMultilevel"/>
    <w:tmpl w:val="5066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50814"/>
    <w:multiLevelType w:val="hybridMultilevel"/>
    <w:tmpl w:val="BB32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15"/>
    <w:rsid w:val="00181A15"/>
    <w:rsid w:val="003A6ACF"/>
    <w:rsid w:val="004B1FB0"/>
    <w:rsid w:val="005638F9"/>
    <w:rsid w:val="005B2A1E"/>
    <w:rsid w:val="00CD039E"/>
    <w:rsid w:val="00E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54CF"/>
  <w15:chartTrackingRefBased/>
  <w15:docId w15:val="{3120506A-1188-9648-BBF2-F0FD3E92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99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A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1A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A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81A15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81A15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181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A1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260A7-4297-8542-A43A-54F1E1AD0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Zhao</dc:creator>
  <cp:keywords/>
  <dc:description/>
  <cp:lastModifiedBy>Yawen Zhao</cp:lastModifiedBy>
  <cp:revision>4</cp:revision>
  <dcterms:created xsi:type="dcterms:W3CDTF">2019-10-09T20:56:00Z</dcterms:created>
  <dcterms:modified xsi:type="dcterms:W3CDTF">2019-10-09T21:54:00Z</dcterms:modified>
</cp:coreProperties>
</file>