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b/>
          <w:bCs/>
          <w:color w:val="1F4E5F"/>
          <w:sz w:val="44"/>
          <w:szCs w:val="44"/>
        </w:rPr>
        <w:t xml:space="preserve">Playbook for Implemented AI Use-Cases</w:t>
      </w:r>
    </w:p>
    <w:p>
      <w:pPr>
        <w:spacing w:after="600" w:before="120"/>
      </w:pPr>
      <w:r>
        <w:rPr>
          <w:color w:val="243742"/>
          <w:sz w:val="32"/>
          <w:szCs w:val="32"/>
        </w:rPr>
        <w:t xml:space="preserve">AI Bid Analyser</w:t>
      </w:r>
    </w:p>
    <w:p>
      <w:pPr>
        <w:spacing w:after="140" w:line="280"/>
      </w:pPr>
      <w:r>
        <w:rPr>
          <w:sz w:val="22"/>
          <w:szCs w:val="22"/>
        </w:rPr>
        <w:t xml:space="preserve">Prepared by: Delivery team, TAQA Data Platform</w:t>
      </w:r>
    </w:p>
    <w:p>
      <w:pPr>
        <w:spacing w:after="140" w:line="280"/>
      </w:pPr>
      <w:r>
        <w:rPr>
          <w:color w:val="5A6775"/>
          <w:sz w:val="22"/>
          <w:szCs w:val="22"/>
        </w:rPr>
        <w:t xml:space="preserve">21 October 2026</w:t>
      </w:r>
    </w:p>
    <w:p>
      <w:r>
        <w:br w:type="page"/>
      </w:r>
    </w:p>
    <w:p>
      <w:pPr>
        <w:pStyle w:val="Heading1"/>
        <w:spacing w:after="160" w:before="320"/>
      </w:pPr>
      <w:r>
        <w:rPr>
          <w:b/>
          <w:bCs/>
          <w:color w:val="1F4E5F"/>
          <w:sz w:val="30"/>
          <w:szCs w:val="30"/>
        </w:rPr>
        <w:t xml:space="preserve">Document Control</w:t>
      </w:r>
    </w:p>
    <w:p>
      <w:pPr>
        <w:pStyle w:val="Heading2"/>
        <w:spacing w:after="120" w:before="260"/>
      </w:pPr>
      <w:r>
        <w:rPr>
          <w:b/>
          <w:bCs/>
          <w:color w:val="243742"/>
          <w:sz w:val="24"/>
          <w:szCs w:val="24"/>
        </w:rPr>
        <w:t xml:space="preserve">Document details</w:t>
      </w: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2257"/>
        <w:gridCol w:w="6769"/>
      </w:tblGrid>
      <w:tr>
        <w:trPr>
          <w:tblHeader/>
        </w:trPr>
        <w:tc>
          <w:tcPr>
            <w:tcW w:type="dxa" w:w="2257"/>
            <w:shd w:fill="1F4E5F" w:color="auto" w:val="clear"/>
            <w:tcMar>
              <w:top w:type="dxa" w:w="70"/>
              <w:left w:type="dxa" w:w="110"/>
              <w:bottom w:type="dxa" w:w="70"/>
              <w:right w:type="dxa" w:w="110"/>
            </w:tcMar>
          </w:tcPr>
          <w:p>
            <w:pPr>
              <w:spacing w:after="0" w:line="260"/>
            </w:pPr>
            <w:r>
              <w:rPr>
                <w:b/>
                <w:bCs/>
                <w:color w:val="FFFFFF"/>
                <w:sz w:val="19"/>
                <w:szCs w:val="19"/>
              </w:rPr>
              <w:t xml:space="preserve">Item</w:t>
            </w:r>
          </w:p>
        </w:tc>
        <w:tc>
          <w:tcPr>
            <w:tcW w:type="dxa" w:w="6769"/>
            <w:shd w:fill="1F4E5F" w:color="auto" w:val="clear"/>
            <w:tcMar>
              <w:top w:type="dxa" w:w="70"/>
              <w:left w:type="dxa" w:w="110"/>
              <w:bottom w:type="dxa" w:w="70"/>
              <w:right w:type="dxa" w:w="110"/>
            </w:tcMar>
          </w:tcPr>
          <w:p>
            <w:pPr>
              <w:spacing w:after="0" w:line="260"/>
            </w:pPr>
            <w:r>
              <w:rPr>
                <w:b/>
                <w:bCs/>
                <w:color w:val="FFFFFF"/>
                <w:sz w:val="19"/>
                <w:szCs w:val="19"/>
              </w:rPr>
              <w:t xml:space="preserve">Detail</w:t>
            </w:r>
          </w:p>
        </w:tc>
      </w:tr>
      <w:tr>
        <w:tc>
          <w:tcPr>
            <w:tcW w:type="dxa" w:w="2257"/>
            <w:tcMar>
              <w:top w:type="dxa" w:w="70"/>
              <w:left w:type="dxa" w:w="110"/>
              <w:bottom w:type="dxa" w:w="70"/>
              <w:right w:type="dxa" w:w="110"/>
            </w:tcMar>
          </w:tcPr>
          <w:p>
            <w:pPr>
              <w:spacing w:after="0" w:line="260"/>
            </w:pPr>
            <w:r>
              <w:rPr>
                <w:b w:val="false"/>
                <w:bCs w:val="false"/>
                <w:color w:val="202A32"/>
                <w:sz w:val="19"/>
                <w:szCs w:val="19"/>
              </w:rPr>
              <w:t xml:space="preserve">Deliverable</w:t>
            </w:r>
          </w:p>
        </w:tc>
        <w:tc>
          <w:tcPr>
            <w:tcW w:type="dxa" w:w="6769"/>
            <w:tcMar>
              <w:top w:type="dxa" w:w="70"/>
              <w:left w:type="dxa" w:w="110"/>
              <w:bottom w:type="dxa" w:w="70"/>
              <w:right w:type="dxa" w:w="110"/>
            </w:tcMar>
          </w:tcPr>
          <w:p>
            <w:pPr>
              <w:spacing w:after="0" w:line="260"/>
            </w:pPr>
            <w:r>
              <w:rPr>
                <w:b w:val="false"/>
                <w:bCs w:val="false"/>
                <w:color w:val="202A32"/>
                <w:sz w:val="19"/>
                <w:szCs w:val="19"/>
              </w:rPr>
              <w:t xml:space="preserve">D23. Playbook for Implemented AI Use-Cases</w:t>
            </w:r>
          </w:p>
        </w:tc>
      </w:tr>
      <w:tr>
        <w:tc>
          <w:tcPr>
            <w:tcW w:type="dxa" w:w="225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Workstream</w:t>
            </w:r>
          </w:p>
        </w:tc>
        <w:tc>
          <w:tcPr>
            <w:tcW w:type="dxa" w:w="676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D. AI Use Case Implementation</w:t>
            </w:r>
          </w:p>
        </w:tc>
      </w:tr>
      <w:tr>
        <w:tc>
          <w:tcPr>
            <w:tcW w:type="dxa" w:w="2257"/>
            <w:tcMar>
              <w:top w:type="dxa" w:w="70"/>
              <w:left w:type="dxa" w:w="110"/>
              <w:bottom w:type="dxa" w:w="70"/>
              <w:right w:type="dxa" w:w="110"/>
            </w:tcMar>
          </w:tcPr>
          <w:p>
            <w:pPr>
              <w:spacing w:after="0" w:line="260"/>
            </w:pPr>
            <w:r>
              <w:rPr>
                <w:b w:val="false"/>
                <w:bCs w:val="false"/>
                <w:color w:val="202A32"/>
                <w:sz w:val="19"/>
                <w:szCs w:val="19"/>
              </w:rPr>
              <w:t xml:space="preserve">Use case</w:t>
            </w:r>
          </w:p>
        </w:tc>
        <w:tc>
          <w:tcPr>
            <w:tcW w:type="dxa" w:w="6769"/>
            <w:tcMar>
              <w:top w:type="dxa" w:w="70"/>
              <w:left w:type="dxa" w:w="110"/>
              <w:bottom w:type="dxa" w:w="70"/>
              <w:right w:type="dxa" w:w="110"/>
            </w:tcMar>
          </w:tcPr>
          <w:p>
            <w:pPr>
              <w:spacing w:after="0" w:line="260"/>
            </w:pPr>
            <w:r>
              <w:rPr>
                <w:b w:val="false"/>
                <w:bCs w:val="false"/>
                <w:color w:val="202A32"/>
                <w:sz w:val="19"/>
                <w:szCs w:val="19"/>
              </w:rPr>
              <w:t xml:space="preserve">AI Bid Analyser (commercial bid analysis)</w:t>
            </w:r>
          </w:p>
        </w:tc>
      </w:tr>
      <w:tr>
        <w:tc>
          <w:tcPr>
            <w:tcW w:type="dxa" w:w="225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Owner</w:t>
            </w:r>
          </w:p>
        </w:tc>
        <w:tc>
          <w:tcPr>
            <w:tcW w:type="dxa" w:w="676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To be confirmed</w:t>
            </w:r>
          </w:p>
        </w:tc>
      </w:tr>
    </w:tbl>
    <w:p>
      <w:pPr>
        <w:spacing w:after="160"/>
      </w:pPr>
    </w:p>
    <w:p>
      <w:pPr>
        <w:pStyle w:val="Heading2"/>
        <w:spacing w:after="120" w:before="260"/>
      </w:pPr>
      <w:r>
        <w:rPr>
          <w:b/>
          <w:bCs/>
          <w:color w:val="243742"/>
          <w:sz w:val="24"/>
          <w:szCs w:val="24"/>
        </w:rPr>
        <w:t xml:space="preserve">Change history</w:t>
      </w: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1327"/>
        <w:gridCol w:w="1858"/>
        <w:gridCol w:w="1858"/>
        <w:gridCol w:w="3983"/>
      </w:tblGrid>
      <w:tr>
        <w:trPr>
          <w:tblHeader/>
        </w:trPr>
        <w:tc>
          <w:tcPr>
            <w:tcW w:type="dxa" w:w="1327"/>
            <w:shd w:fill="1F4E5F" w:color="auto" w:val="clear"/>
            <w:tcMar>
              <w:top w:type="dxa" w:w="70"/>
              <w:left w:type="dxa" w:w="110"/>
              <w:bottom w:type="dxa" w:w="70"/>
              <w:right w:type="dxa" w:w="110"/>
            </w:tcMar>
          </w:tcPr>
          <w:p>
            <w:pPr>
              <w:spacing w:after="0" w:line="260"/>
            </w:pPr>
            <w:r>
              <w:rPr>
                <w:b/>
                <w:bCs/>
                <w:color w:val="FFFFFF"/>
                <w:sz w:val="19"/>
                <w:szCs w:val="19"/>
              </w:rPr>
              <w:t xml:space="preserve">Version</w:t>
            </w:r>
          </w:p>
        </w:tc>
        <w:tc>
          <w:tcPr>
            <w:tcW w:type="dxa" w:w="1858"/>
            <w:shd w:fill="1F4E5F" w:color="auto" w:val="clear"/>
            <w:tcMar>
              <w:top w:type="dxa" w:w="70"/>
              <w:left w:type="dxa" w:w="110"/>
              <w:bottom w:type="dxa" w:w="70"/>
              <w:right w:type="dxa" w:w="110"/>
            </w:tcMar>
          </w:tcPr>
          <w:p>
            <w:pPr>
              <w:spacing w:after="0" w:line="260"/>
            </w:pPr>
            <w:r>
              <w:rPr>
                <w:b/>
                <w:bCs/>
                <w:color w:val="FFFFFF"/>
                <w:sz w:val="19"/>
                <w:szCs w:val="19"/>
              </w:rPr>
              <w:t xml:space="preserve">Date</w:t>
            </w:r>
          </w:p>
        </w:tc>
        <w:tc>
          <w:tcPr>
            <w:tcW w:type="dxa" w:w="1858"/>
            <w:shd w:fill="1F4E5F" w:color="auto" w:val="clear"/>
            <w:tcMar>
              <w:top w:type="dxa" w:w="70"/>
              <w:left w:type="dxa" w:w="110"/>
              <w:bottom w:type="dxa" w:w="70"/>
              <w:right w:type="dxa" w:w="110"/>
            </w:tcMar>
          </w:tcPr>
          <w:p>
            <w:pPr>
              <w:spacing w:after="0" w:line="260"/>
            </w:pPr>
            <w:r>
              <w:rPr>
                <w:b/>
                <w:bCs/>
                <w:color w:val="FFFFFF"/>
                <w:sz w:val="19"/>
                <w:szCs w:val="19"/>
              </w:rPr>
              <w:t xml:space="preserve">Author</w:t>
            </w:r>
          </w:p>
        </w:tc>
        <w:tc>
          <w:tcPr>
            <w:tcW w:type="dxa" w:w="3983"/>
            <w:shd w:fill="1F4E5F" w:color="auto" w:val="clear"/>
            <w:tcMar>
              <w:top w:type="dxa" w:w="70"/>
              <w:left w:type="dxa" w:w="110"/>
              <w:bottom w:type="dxa" w:w="70"/>
              <w:right w:type="dxa" w:w="110"/>
            </w:tcMar>
          </w:tcPr>
          <w:p>
            <w:pPr>
              <w:spacing w:after="0" w:line="260"/>
            </w:pPr>
            <w:r>
              <w:rPr>
                <w:b/>
                <w:bCs/>
                <w:color w:val="FFFFFF"/>
                <w:sz w:val="19"/>
                <w:szCs w:val="19"/>
              </w:rPr>
              <w:t xml:space="preserve">Summary of change</w:t>
            </w:r>
          </w:p>
        </w:tc>
      </w:tr>
      <w:tr>
        <w:tc>
          <w:tcPr>
            <w:tcW w:type="dxa" w:w="1327"/>
            <w:tcMar>
              <w:top w:type="dxa" w:w="70"/>
              <w:left w:type="dxa" w:w="110"/>
              <w:bottom w:type="dxa" w:w="70"/>
              <w:right w:type="dxa" w:w="110"/>
            </w:tcMar>
          </w:tcPr>
          <w:p>
            <w:pPr>
              <w:spacing w:after="0" w:line="260"/>
            </w:pPr>
            <w:r>
              <w:rPr>
                <w:b w:val="false"/>
                <w:bCs w:val="false"/>
                <w:color w:val="202A32"/>
                <w:sz w:val="19"/>
                <w:szCs w:val="19"/>
              </w:rPr>
              <w:t xml:space="preserve">0.1 draft</w:t>
            </w:r>
          </w:p>
        </w:tc>
        <w:tc>
          <w:tcPr>
            <w:tcW w:type="dxa" w:w="1858"/>
            <w:tcMar>
              <w:top w:type="dxa" w:w="70"/>
              <w:left w:type="dxa" w:w="110"/>
              <w:bottom w:type="dxa" w:w="70"/>
              <w:right w:type="dxa" w:w="110"/>
            </w:tcMar>
          </w:tcPr>
          <w:p>
            <w:pPr>
              <w:spacing w:after="0" w:line="260"/>
            </w:pPr>
            <w:r>
              <w:rPr>
                <w:b w:val="false"/>
                <w:bCs w:val="false"/>
                <w:color w:val="202A32"/>
                <w:sz w:val="19"/>
                <w:szCs w:val="19"/>
              </w:rPr>
              <w:t xml:space="preserve">21 October 2026</w:t>
            </w:r>
          </w:p>
        </w:tc>
        <w:tc>
          <w:tcPr>
            <w:tcW w:type="dxa" w:w="1858"/>
            <w:tcMar>
              <w:top w:type="dxa" w:w="70"/>
              <w:left w:type="dxa" w:w="110"/>
              <w:bottom w:type="dxa" w:w="70"/>
              <w:right w:type="dxa" w:w="110"/>
            </w:tcMar>
          </w:tcPr>
          <w:p>
            <w:pPr>
              <w:spacing w:after="0" w:line="260"/>
            </w:pPr>
            <w:r>
              <w:rPr>
                <w:b w:val="false"/>
                <w:bCs w:val="false"/>
                <w:color w:val="202A32"/>
                <w:sz w:val="19"/>
                <w:szCs w:val="19"/>
              </w:rPr>
              <w:t xml:space="preserve">Delivery team</w:t>
            </w:r>
          </w:p>
        </w:tc>
        <w:tc>
          <w:tcPr>
            <w:tcW w:type="dxa" w:w="3983"/>
            <w:tcMar>
              <w:top w:type="dxa" w:w="70"/>
              <w:left w:type="dxa" w:w="110"/>
              <w:bottom w:type="dxa" w:w="70"/>
              <w:right w:type="dxa" w:w="110"/>
            </w:tcMar>
          </w:tcPr>
          <w:p>
            <w:pPr>
              <w:spacing w:after="0" w:line="260"/>
            </w:pPr>
            <w:r>
              <w:rPr>
                <w:b w:val="false"/>
                <w:bCs w:val="false"/>
                <w:color w:val="202A32"/>
                <w:sz w:val="19"/>
                <w:szCs w:val="19"/>
              </w:rPr>
              <w:t xml:space="preserve">Initial draft.</w:t>
            </w:r>
          </w:p>
        </w:tc>
      </w:tr>
    </w:tbl>
    <w:p>
      <w:pPr>
        <w:spacing w:after="160"/>
      </w:pPr>
    </w:p>
    <w:p>
      <w:pPr>
        <w:pStyle w:val="Heading1"/>
        <w:spacing w:after="160" w:before="320"/>
      </w:pPr>
      <w:r>
        <w:rPr>
          <w:b/>
          <w:bCs/>
          <w:color w:val="1F4E5F"/>
          <w:sz w:val="30"/>
          <w:szCs w:val="30"/>
        </w:rPr>
        <w:t xml:space="preserve">1. Purpose and scope</w:t>
      </w:r>
    </w:p>
    <w:p>
      <w:pPr>
        <w:spacing w:after="140" w:line="280"/>
      </w:pPr>
      <w:r>
        <w:rPr>
          <w:sz w:val="21"/>
          <w:szCs w:val="21"/>
        </w:rPr>
        <w:t xml:space="preserve">This playbook covers the operation of the AI Bid Analyser. It sets out the process for running it, the roles that own each part, the checklists used for routine work, the approach to adoption, and the route from user feedback to a released change.</w:t>
      </w:r>
    </w:p>
    <w:p>
      <w:pPr>
        <w:spacing w:after="140" w:line="280"/>
      </w:pPr>
      <w:r>
        <w:rPr>
          <w:sz w:val="21"/>
          <w:szCs w:val="21"/>
        </w:rPr>
        <w:t xml:space="preserve">Technical detail is maintained in the repository under technical-documentation/, with the chronological data and design log in databricks/FINDINGS.md. This playbook references those documents. Appendix B lists them.</w:t>
      </w:r>
    </w:p>
    <w:p>
      <w:pPr>
        <w:pStyle w:val="Heading2"/>
        <w:spacing w:after="120" w:before="260"/>
      </w:pPr>
      <w:r>
        <w:rPr>
          <w:b/>
          <w:bCs/>
          <w:color w:val="243742"/>
          <w:sz w:val="24"/>
          <w:szCs w:val="24"/>
        </w:rPr>
        <w:t xml:space="preserve">Out of scope</w:t>
      </w:r>
    </w:p>
    <w:p>
      <w:pPr>
        <w:pStyle w:val="ListParagraph"/>
        <w:numPr>
          <w:ilvl w:val="0"/>
          <w:numId w:val="2"/>
        </w:numPr>
        <w:spacing w:after="70" w:line="280"/>
      </w:pPr>
      <w:r>
        <w:rPr>
          <w:sz w:val="21"/>
          <w:szCs w:val="21"/>
        </w:rPr>
        <w:t xml:space="preserve">The data model and table definitions.</w:t>
      </w:r>
    </w:p>
    <w:p>
      <w:pPr>
        <w:pStyle w:val="ListParagraph"/>
        <w:numPr>
          <w:ilvl w:val="0"/>
          <w:numId w:val="2"/>
        </w:numPr>
        <w:spacing w:after="70" w:line="280"/>
      </w:pPr>
      <w:r>
        <w:rPr>
          <w:sz w:val="21"/>
          <w:szCs w:val="21"/>
        </w:rPr>
        <w:t xml:space="preserve">Application internals and API contracts.</w:t>
      </w:r>
    </w:p>
    <w:p>
      <w:pPr>
        <w:pStyle w:val="ListParagraph"/>
        <w:numPr>
          <w:ilvl w:val="0"/>
          <w:numId w:val="2"/>
        </w:numPr>
        <w:spacing w:after="70" w:line="280"/>
      </w:pPr>
      <w:r>
        <w:rPr>
          <w:sz w:val="21"/>
          <w:szCs w:val="21"/>
        </w:rPr>
        <w:t xml:space="preserve">The Maximo ingestion pipeline, which is owned by the data platform team and feeds this use case rather than forming part of it.</w:t>
      </w:r>
    </w:p>
    <w:p>
      <w:pPr>
        <w:spacing w:after="140" w:line="280"/>
      </w:pPr>
      <w:r>
        <w:rPr>
          <w:sz w:val="21"/>
          <w:szCs w:val="21"/>
        </w:rPr>
        <w:t xml:space="preserve">Detailed documentation of all of the above resides inside the code repository.</w:t>
      </w:r>
    </w:p>
    <w:p>
      <w:pPr>
        <w:pStyle w:val="Heading1"/>
        <w:spacing w:after="160" w:before="320"/>
      </w:pPr>
      <w:r>
        <w:rPr>
          <w:b/>
          <w:bCs/>
          <w:color w:val="1F4E5F"/>
          <w:sz w:val="30"/>
          <w:szCs w:val="30"/>
        </w:rPr>
        <w:t xml:space="preserve">2. The use case</w:t>
      </w:r>
    </w:p>
    <w:p>
      <w:pPr>
        <w:spacing w:after="140" w:line="280"/>
      </w:pPr>
      <w:r>
        <w:rPr>
          <w:sz w:val="21"/>
          <w:szCs w:val="21"/>
        </w:rPr>
        <w:t xml:space="preserve">A procurement analyst evaluates vendor bids on a tender. Each bidder prices a standard bill of quantities, often across several negotiation rounds. The analyst must compare those bids line by line, find unquoted items, arithmetic errors and unbalanced bidding, and prepare negotiation notes per bidder.</w:t>
      </w:r>
    </w:p>
    <w:p>
      <w:pPr>
        <w:spacing w:after="140" w:line="280"/>
      </w:pPr>
      <w:r>
        <w:rPr>
          <w:sz w:val="21"/>
          <w:szCs w:val="21"/>
        </w:rPr>
        <w:t xml:space="preserve">Done by hand this takes around seven hours per bid, across roughly 2,800 bids a year. The system performs the comparison and the checks, and leaves the judgement and the award decision with the analyst.</w:t>
      </w:r>
    </w:p>
    <w:p>
      <w:pPr>
        <w:spacing w:after="160"/>
      </w:pP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1576"/>
        <w:gridCol w:w="3725"/>
        <w:gridCol w:w="3725"/>
      </w:tblGrid>
      <w:tr>
        <w:trPr>
          <w:tblHeader/>
        </w:trPr>
        <w:tc>
          <w:tcPr>
            <w:tcW w:type="dxa" w:w="1576"/>
            <w:shd w:fill="1F4E5F" w:color="auto" w:val="clear"/>
            <w:tcMar>
              <w:top w:type="dxa" w:w="70"/>
              <w:left w:type="dxa" w:w="110"/>
              <w:bottom w:type="dxa" w:w="70"/>
              <w:right w:type="dxa" w:w="110"/>
            </w:tcMar>
          </w:tcPr>
          <w:p>
            <w:pPr>
              <w:spacing w:after="0" w:line="260"/>
            </w:pPr>
            <w:r>
              <w:rPr>
                <w:b/>
                <w:bCs/>
                <w:color w:val="FFFFFF"/>
                <w:sz w:val="19"/>
                <w:szCs w:val="19"/>
              </w:rPr>
              <w:t xml:space="preserve">Part</w:t>
            </w:r>
          </w:p>
        </w:tc>
        <w:tc>
          <w:tcPr>
            <w:tcW w:type="dxa" w:w="3725"/>
            <w:shd w:fill="1F4E5F" w:color="auto" w:val="clear"/>
            <w:tcMar>
              <w:top w:type="dxa" w:w="70"/>
              <w:left w:type="dxa" w:w="110"/>
              <w:bottom w:type="dxa" w:w="70"/>
              <w:right w:type="dxa" w:w="110"/>
            </w:tcMar>
          </w:tcPr>
          <w:p>
            <w:pPr>
              <w:spacing w:after="0" w:line="260"/>
            </w:pPr>
            <w:r>
              <w:rPr>
                <w:b/>
                <w:bCs/>
                <w:color w:val="FFFFFF"/>
                <w:sz w:val="19"/>
                <w:szCs w:val="19"/>
              </w:rPr>
              <w:t xml:space="preserve">What it is</w:t>
            </w:r>
          </w:p>
        </w:tc>
        <w:tc>
          <w:tcPr>
            <w:tcW w:type="dxa" w:w="3725"/>
            <w:shd w:fill="1F4E5F" w:color="auto" w:val="clear"/>
            <w:tcMar>
              <w:top w:type="dxa" w:w="70"/>
              <w:left w:type="dxa" w:w="110"/>
              <w:bottom w:type="dxa" w:w="70"/>
              <w:right w:type="dxa" w:w="110"/>
            </w:tcMar>
          </w:tcPr>
          <w:p>
            <w:pPr>
              <w:spacing w:after="0" w:line="260"/>
            </w:pPr>
            <w:r>
              <w:rPr>
                <w:b/>
                <w:bCs/>
                <w:color w:val="FFFFFF"/>
                <w:sz w:val="19"/>
                <w:szCs w:val="19"/>
              </w:rPr>
              <w:t xml:space="preserve">How it runs</w:t>
            </w:r>
          </w:p>
        </w:tc>
      </w:tr>
      <w:tr>
        <w:tc>
          <w:tcPr>
            <w:tcW w:type="dxa" w:w="1576"/>
            <w:tcMar>
              <w:top w:type="dxa" w:w="70"/>
              <w:left w:type="dxa" w:w="110"/>
              <w:bottom w:type="dxa" w:w="70"/>
              <w:right w:type="dxa" w:w="110"/>
            </w:tcMar>
          </w:tcPr>
          <w:p>
            <w:pPr>
              <w:spacing w:after="0" w:line="260"/>
            </w:pPr>
            <w:r>
              <w:rPr>
                <w:b w:val="false"/>
                <w:bCs w:val="false"/>
                <w:color w:val="202A32"/>
                <w:sz w:val="19"/>
                <w:szCs w:val="19"/>
              </w:rPr>
              <w:t xml:space="preserve">Data ingestion</w:t>
            </w:r>
          </w:p>
        </w:tc>
        <w:tc>
          <w:tcPr>
            <w:tcW w:type="dxa" w:w="3725"/>
            <w:tcMar>
              <w:top w:type="dxa" w:w="70"/>
              <w:left w:type="dxa" w:w="110"/>
              <w:bottom w:type="dxa" w:w="70"/>
              <w:right w:type="dxa" w:w="110"/>
            </w:tcMar>
          </w:tcPr>
          <w:p>
            <w:pPr>
              <w:spacing w:after="0" w:line="260"/>
            </w:pPr>
            <w:r>
              <w:rPr>
                <w:b w:val="false"/>
                <w:bCs w:val="false"/>
                <w:color w:val="202A32"/>
                <w:sz w:val="19"/>
                <w:szCs w:val="19"/>
              </w:rPr>
              <w:t xml:space="preserve">Maximo tender and bid tables landed into Unity Catalog by the platform ingestion framework.</w:t>
            </w:r>
          </w:p>
        </w:tc>
        <w:tc>
          <w:tcPr>
            <w:tcW w:type="dxa" w:w="3725"/>
            <w:tcMar>
              <w:top w:type="dxa" w:w="70"/>
              <w:left w:type="dxa" w:w="110"/>
              <w:bottom w:type="dxa" w:w="70"/>
              <w:right w:type="dxa" w:w="110"/>
            </w:tcMar>
          </w:tcPr>
          <w:p>
            <w:pPr>
              <w:spacing w:after="0" w:line="260"/>
            </w:pPr>
            <w:r>
              <w:rPr>
                <w:b w:val="false"/>
                <w:bCs w:val="false"/>
                <w:color w:val="202A32"/>
                <w:sz w:val="19"/>
                <w:szCs w:val="19"/>
              </w:rPr>
              <w:t xml:space="preserve">Owned by the data platform team. Outside this use case, but its cadence sets how current the analysis is.</w:t>
            </w:r>
          </w:p>
        </w:tc>
      </w:tr>
      <w:tr>
        <w:tc>
          <w:tcPr>
            <w:tcW w:type="dxa" w:w="1576"/>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Application</w:t>
            </w:r>
          </w:p>
        </w:tc>
        <w:tc>
          <w:tcPr>
            <w:tcW w:type="dxa" w:w="3725"/>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 web application that reads those tables, compares bids line by line, flags commercial risk, tracks negotiation rounds and produces negotiation prep.</w:t>
            </w:r>
          </w:p>
        </w:tc>
        <w:tc>
          <w:tcPr>
            <w:tcW w:type="dxa" w:w="3725"/>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Deployed as a Databricks App and available to users continuously.</w:t>
            </w:r>
          </w:p>
        </w:tc>
      </w:tr>
    </w:tbl>
    <w:p>
      <w:pPr>
        <w:spacing w:after="160"/>
      </w:pPr>
    </w:p>
    <w:p>
      <w:pPr>
        <w:spacing w:after="140" w:line="280"/>
      </w:pPr>
      <w:r>
        <w:rPr>
          <w:sz w:val="21"/>
          <w:szCs w:val="21"/>
        </w:rPr>
        <w:t xml:space="preserve">The application reads the tables live, so newly ingested bid data appears without a deployment.</w:t>
      </w:r>
    </w:p>
    <w:p>
      <w:pPr>
        <w:spacing w:after="140" w:line="280"/>
      </w:pPr>
      <w:r>
        <w:rPr>
          <w:sz w:val="21"/>
          <w:szCs w:val="21"/>
        </w:rPr>
        <w:t xml:space="preserve">Note one structural difference from other use cases in this programme. There is no pipeline or trained model owned here. The analysis is computed on demand from live tables, so there is no refresh cycle to run and no model to retrain. Section 6 sets out what is observable in place of model metrics.</w:t>
      </w:r>
    </w:p>
    <w:p>
      <w:pPr>
        <w:pStyle w:val="Heading2"/>
        <w:spacing w:after="120" w:before="260"/>
      </w:pPr>
      <w:r>
        <w:rPr>
          <w:b/>
          <w:bCs/>
          <w:color w:val="243742"/>
          <w:sz w:val="24"/>
          <w:szCs w:val="24"/>
        </w:rPr>
        <w:t xml:space="preserve">Users</w:t>
      </w: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2579"/>
        <w:gridCol w:w="6447"/>
      </w:tblGrid>
      <w:tr>
        <w:trPr>
          <w:tblHeader/>
        </w:trPr>
        <w:tc>
          <w:tcPr>
            <w:tcW w:type="dxa" w:w="2579"/>
            <w:shd w:fill="1F4E5F" w:color="auto" w:val="clear"/>
            <w:tcMar>
              <w:top w:type="dxa" w:w="70"/>
              <w:left w:type="dxa" w:w="110"/>
              <w:bottom w:type="dxa" w:w="70"/>
              <w:right w:type="dxa" w:w="110"/>
            </w:tcMar>
          </w:tcPr>
          <w:p>
            <w:pPr>
              <w:spacing w:after="0" w:line="260"/>
            </w:pPr>
            <w:r>
              <w:rPr>
                <w:b/>
                <w:bCs/>
                <w:color w:val="FFFFFF"/>
                <w:sz w:val="19"/>
                <w:szCs w:val="19"/>
              </w:rPr>
              <w:t xml:space="preserve">Role</w:t>
            </w:r>
          </w:p>
        </w:tc>
        <w:tc>
          <w:tcPr>
            <w:tcW w:type="dxa" w:w="6447"/>
            <w:shd w:fill="1F4E5F" w:color="auto" w:val="clear"/>
            <w:tcMar>
              <w:top w:type="dxa" w:w="70"/>
              <w:left w:type="dxa" w:w="110"/>
              <w:bottom w:type="dxa" w:w="70"/>
              <w:right w:type="dxa" w:w="110"/>
            </w:tcMar>
          </w:tcPr>
          <w:p>
            <w:pPr>
              <w:spacing w:after="0" w:line="260"/>
            </w:pPr>
            <w:r>
              <w:rPr>
                <w:b/>
                <w:bCs/>
                <w:color w:val="FFFFFF"/>
                <w:sz w:val="19"/>
                <w:szCs w:val="19"/>
              </w:rPr>
              <w:t xml:space="preserve">Uses it to</w:t>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Procurement analyst</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Compare bidders line by line, record corrections and disqualifications, and prepare negotiation notes.</w:t>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Procurement lead or reviewer</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Review the ranked outcome, the issues raised per bidder, and movement across negotiation rounds.</w:t>
            </w:r>
          </w:p>
        </w:tc>
      </w:tr>
    </w:tbl>
    <w:p>
      <w:pPr>
        <w:spacing w:after="160"/>
      </w:pPr>
    </w:p>
    <w:p>
      <w:pPr>
        <w:spacing w:after="140" w:line="280"/>
      </w:pPr>
      <w:r>
        <w:rPr>
          <w:sz w:val="21"/>
          <w:szCs w:val="21"/>
        </w:rPr>
        <w:t xml:space="preserve">The system produces a ranked comparison and a set of flagged issues. It does not recommend an award, and it does not assess financial standing, delivery capacity or current workload. The award is a TAQA procurement decision taken outside the system.</w:t>
      </w:r>
    </w:p>
    <w:p>
      <w:r>
        <w:br w:type="page"/>
      </w:r>
    </w:p>
    <w:p>
      <w:pPr>
        <w:pStyle w:val="Heading1"/>
        <w:spacing w:after="160" w:before="320"/>
      </w:pPr>
      <w:r>
        <w:rPr>
          <w:b/>
          <w:bCs/>
          <w:color w:val="1F4E5F"/>
          <w:sz w:val="30"/>
          <w:szCs w:val="30"/>
        </w:rPr>
        <w:t xml:space="preserve">3. End-to-end process</w:t>
      </w:r>
    </w:p>
    <w:p>
      <w:pPr>
        <w:spacing w:after="140" w:line="280"/>
      </w:pPr>
      <w:r>
        <w:rPr>
          <w:sz w:val="21"/>
          <w:szCs w:val="21"/>
        </w:rPr>
        <w:t xml:space="preserve">Three processes are described: analysing a tender, the negotiation round cycle, and making a change. They are run by different people at different times.</w:t>
      </w:r>
    </w:p>
    <w:p>
      <w:pPr>
        <w:pStyle w:val="Heading2"/>
        <w:spacing w:after="120" w:before="260"/>
      </w:pPr>
      <w:r>
        <w:rPr>
          <w:b/>
          <w:bCs/>
          <w:color w:val="243742"/>
          <w:sz w:val="24"/>
          <w:szCs w:val="24"/>
        </w:rPr>
        <w:t xml:space="preserve">3.1 Analysing a tender</w:t>
      </w:r>
    </w:p>
    <w:p>
      <w:pPr>
        <w:pStyle w:val="ListParagraph"/>
        <w:numPr>
          <w:ilvl w:val="0"/>
          <w:numId w:val="3"/>
        </w:numPr>
        <w:spacing w:after="70" w:line="280"/>
      </w:pPr>
      <w:r>
        <w:rPr>
          <w:sz w:val="21"/>
          <w:szCs w:val="21"/>
        </w:rPr>
        <w:t xml:space="preserve">The analyst finds the tender under Browse RFQs, filtering by organisation and BOQ category, and creates a project against it. Where the pricing is not in Maximo, the analyst instead creates an upload project and loads the vendors' spreadsheets. See section 2 of the user manual.</w:t>
      </w:r>
    </w:p>
    <w:p>
      <w:pPr>
        <w:pStyle w:val="ListParagraph"/>
        <w:numPr>
          <w:ilvl w:val="0"/>
          <w:numId w:val="3"/>
        </w:numPr>
        <w:spacing w:after="70" w:line="280"/>
      </w:pPr>
      <w:r>
        <w:rPr>
          <w:sz w:val="21"/>
          <w:szCs w:val="21"/>
        </w:rPr>
        <w:t xml:space="preserve">The analyst opens the BOQ Comparison tab. The engine resolves every price, establishes each vendor's pricing baseline across the whole BOQ, then flags each cell.</w:t>
      </w:r>
    </w:p>
    <w:p>
      <w:pPr>
        <w:pStyle w:val="ListParagraph"/>
        <w:numPr>
          <w:ilvl w:val="0"/>
          <w:numId w:val="3"/>
        </w:numPr>
        <w:spacing w:after="70" w:line="280"/>
      </w:pPr>
      <w:r>
        <w:rPr>
          <w:sz w:val="21"/>
          <w:szCs w:val="21"/>
        </w:rPr>
        <w:t xml:space="preserve">The analyst reviews the flags: unquoted lines, arithmetic errors, zero prices, outliers and technically disqualified lines.</w:t>
      </w:r>
    </w:p>
    <w:p>
      <w:pPr>
        <w:pStyle w:val="ListParagraph"/>
        <w:numPr>
          <w:ilvl w:val="0"/>
          <w:numId w:val="3"/>
        </w:numPr>
        <w:spacing w:after="70" w:line="280"/>
      </w:pPr>
      <w:r>
        <w:rPr>
          <w:sz w:val="21"/>
          <w:szCs w:val="21"/>
        </w:rPr>
        <w:t xml:space="preserve">Where the analyst's judgement differs from the data, they record a price correction, a manual disqualification or a partial-bid flag, each with a reason. These are stored in the application only and are never written back to Maximo.</w:t>
      </w:r>
    </w:p>
    <w:p>
      <w:pPr>
        <w:pStyle w:val="ListParagraph"/>
        <w:numPr>
          <w:ilvl w:val="0"/>
          <w:numId w:val="3"/>
        </w:numPr>
        <w:spacing w:after="70" w:line="280"/>
      </w:pPr>
      <w:r>
        <w:rPr>
          <w:sz w:val="21"/>
          <w:szCs w:val="21"/>
        </w:rPr>
        <w:t xml:space="preserve">Where the tender has been through negotiation, the analyst opens Round Tracking to see how each vendor has moved and which movements are anomalous.</w:t>
      </w:r>
    </w:p>
    <w:p>
      <w:pPr>
        <w:pStyle w:val="ListParagraph"/>
        <w:numPr>
          <w:ilvl w:val="0"/>
          <w:numId w:val="3"/>
        </w:numPr>
        <w:spacing w:after="70" w:line="280"/>
      </w:pPr>
      <w:r>
        <w:rPr>
          <w:sz w:val="21"/>
          <w:szCs w:val="21"/>
        </w:rPr>
        <w:t xml:space="preserve">The analyst generates the Negotiation Report, which ranks vendors at the latest round and lists the priority issues per bidder, and exports it to Excel for the meeting.</w:t>
      </w:r>
    </w:p>
    <w:p>
      <w:pPr>
        <w:pStyle w:val="ListParagraph"/>
        <w:numPr>
          <w:ilvl w:val="0"/>
          <w:numId w:val="3"/>
        </w:numPr>
        <w:spacing w:after="70" w:line="280"/>
      </w:pPr>
      <w:r>
        <w:rPr>
          <w:sz w:val="21"/>
          <w:szCs w:val="21"/>
        </w:rPr>
        <w:t xml:space="preserve">The award decision is taken outside the system.</w:t>
      </w:r>
    </w:p>
    <w:p>
      <w:pPr>
        <w:spacing w:after="140" w:line="280"/>
      </w:pPr>
      <w:r>
        <w:rPr>
          <w:sz w:val="21"/>
          <w:szCs w:val="21"/>
        </w:rPr>
        <w:t xml:space="preserve">This entire process runs on demand.</w:t>
      </w:r>
    </w:p>
    <w:p>
      <w:pPr>
        <w:pStyle w:val="Heading2"/>
        <w:spacing w:after="120" w:before="260"/>
      </w:pPr>
      <w:r>
        <w:rPr>
          <w:b/>
          <w:bCs/>
          <w:color w:val="243742"/>
          <w:sz w:val="24"/>
          <w:szCs w:val="24"/>
        </w:rPr>
        <w:t xml:space="preserve">3.2 The negotiation round cycle</w:t>
      </w:r>
    </w:p>
    <w:p>
      <w:pPr>
        <w:spacing w:after="140" w:line="280"/>
      </w:pPr>
      <w:r>
        <w:rPr>
          <w:sz w:val="21"/>
          <w:szCs w:val="21"/>
        </w:rPr>
        <w:t xml:space="preserve">Unlike a scheduled pipeline refresh, this cycle is driven by procurement activity. A round begins when bidders are asked to revise. Their revised pricing reaches Maximo, is ingested, and the analyst reopens the comparison.</w:t>
      </w:r>
    </w:p>
    <w:p>
      <w:pPr>
        <w:spacing w:after="160"/>
      </w:pP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752"/>
        <w:gridCol w:w="3460"/>
        <w:gridCol w:w="4814"/>
      </w:tblGrid>
      <w:tr>
        <w:trPr>
          <w:tblHeader/>
        </w:trPr>
        <w:tc>
          <w:tcPr>
            <w:tcW w:type="dxa" w:w="752"/>
            <w:shd w:fill="1F4E5F" w:color="auto" w:val="clear"/>
            <w:tcMar>
              <w:top w:type="dxa" w:w="70"/>
              <w:left w:type="dxa" w:w="110"/>
              <w:bottom w:type="dxa" w:w="70"/>
              <w:right w:type="dxa" w:w="110"/>
            </w:tcMar>
          </w:tcPr>
          <w:p>
            <w:pPr>
              <w:spacing w:after="0" w:line="260"/>
            </w:pPr>
            <w:r>
              <w:rPr>
                <w:b/>
                <w:bCs/>
                <w:color w:val="FFFFFF"/>
                <w:sz w:val="19"/>
                <w:szCs w:val="19"/>
              </w:rPr>
              <w:t xml:space="preserve">#</w:t>
            </w:r>
          </w:p>
        </w:tc>
        <w:tc>
          <w:tcPr>
            <w:tcW w:type="dxa" w:w="3460"/>
            <w:shd w:fill="1F4E5F" w:color="auto" w:val="clear"/>
            <w:tcMar>
              <w:top w:type="dxa" w:w="70"/>
              <w:left w:type="dxa" w:w="110"/>
              <w:bottom w:type="dxa" w:w="70"/>
              <w:right w:type="dxa" w:w="110"/>
            </w:tcMar>
          </w:tcPr>
          <w:p>
            <w:pPr>
              <w:spacing w:after="0" w:line="260"/>
            </w:pPr>
            <w:r>
              <w:rPr>
                <w:b/>
                <w:bCs/>
                <w:color w:val="FFFFFF"/>
                <w:sz w:val="19"/>
                <w:szCs w:val="19"/>
              </w:rPr>
              <w:t xml:space="preserve">Stage</w:t>
            </w:r>
          </w:p>
        </w:tc>
        <w:tc>
          <w:tcPr>
            <w:tcW w:type="dxa" w:w="4814"/>
            <w:shd w:fill="1F4E5F" w:color="auto" w:val="clear"/>
            <w:tcMar>
              <w:top w:type="dxa" w:w="70"/>
              <w:left w:type="dxa" w:w="110"/>
              <w:bottom w:type="dxa" w:w="70"/>
              <w:right w:type="dxa" w:w="110"/>
            </w:tcMar>
          </w:tcPr>
          <w:p>
            <w:pPr>
              <w:spacing w:after="0" w:line="260"/>
            </w:pPr>
            <w:r>
              <w:rPr>
                <w:b/>
                <w:bCs/>
                <w:color w:val="FFFFFF"/>
                <w:sz w:val="19"/>
                <w:szCs w:val="19"/>
              </w:rPr>
              <w:t xml:space="preserve">Check before continuing</w:t>
            </w:r>
          </w:p>
        </w:tc>
      </w:tr>
      <w:tr>
        <w:tc>
          <w:tcPr>
            <w:tcW w:type="dxa" w:w="752"/>
            <w:tcMar>
              <w:top w:type="dxa" w:w="70"/>
              <w:left w:type="dxa" w:w="110"/>
              <w:bottom w:type="dxa" w:w="70"/>
              <w:right w:type="dxa" w:w="110"/>
            </w:tcMar>
          </w:tcPr>
          <w:p>
            <w:pPr>
              <w:spacing w:after="0" w:line="260"/>
            </w:pPr>
            <w:r>
              <w:rPr>
                <w:b w:val="false"/>
                <w:bCs w:val="false"/>
                <w:color w:val="202A32"/>
                <w:sz w:val="19"/>
                <w:szCs w:val="19"/>
              </w:rPr>
              <w:t xml:space="preserve">1</w:t>
            </w:r>
          </w:p>
        </w:tc>
        <w:tc>
          <w:tcPr>
            <w:tcW w:type="dxa" w:w="3460"/>
            <w:tcMar>
              <w:top w:type="dxa" w:w="70"/>
              <w:left w:type="dxa" w:w="110"/>
              <w:bottom w:type="dxa" w:w="70"/>
              <w:right w:type="dxa" w:w="110"/>
            </w:tcMar>
          </w:tcPr>
          <w:p>
            <w:pPr>
              <w:spacing w:after="0" w:line="260"/>
            </w:pPr>
            <w:r>
              <w:rPr>
                <w:b w:val="false"/>
                <w:bCs w:val="false"/>
                <w:color w:val="202A32"/>
                <w:sz w:val="19"/>
                <w:szCs w:val="19"/>
              </w:rPr>
              <w:t xml:space="preserve">Revised bids recorded in Maximo</w:t>
            </w:r>
          </w:p>
        </w:tc>
        <w:tc>
          <w:tcPr>
            <w:tcW w:type="dxa" w:w="4814"/>
            <w:tcMar>
              <w:top w:type="dxa" w:w="70"/>
              <w:left w:type="dxa" w:w="110"/>
              <w:bottom w:type="dxa" w:w="70"/>
              <w:right w:type="dxa" w:w="110"/>
            </w:tcMar>
          </w:tcPr>
          <w:p>
            <w:pPr>
              <w:spacing w:after="0" w:line="260"/>
            </w:pPr>
            <w:r>
              <w:rPr>
                <w:b w:val="false"/>
                <w:bCs w:val="false"/>
                <w:color w:val="202A32"/>
                <w:sz w:val="19"/>
                <w:szCs w:val="19"/>
              </w:rPr>
              <w:t xml:space="preserve">The round appears in the round selector on the comparison tab.</w:t>
            </w:r>
          </w:p>
        </w:tc>
      </w:tr>
      <w:tr>
        <w:tc>
          <w:tcPr>
            <w:tcW w:type="dxa" w:w="752"/>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2</w:t>
            </w:r>
          </w:p>
        </w:tc>
        <w:tc>
          <w:tcPr>
            <w:tcW w:type="dxa" w:w="346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Ingestion has landed the new round</w:t>
            </w:r>
          </w:p>
        </w:tc>
        <w:tc>
          <w:tcPr>
            <w:tcW w:type="dxa" w:w="4814"/>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Vendor totals at the new round differ from the previous one. An unchanged total usually means the data has not arrived yet, not that the vendor held firm.</w:t>
            </w:r>
          </w:p>
        </w:tc>
      </w:tr>
      <w:tr>
        <w:tc>
          <w:tcPr>
            <w:tcW w:type="dxa" w:w="752"/>
            <w:tcMar>
              <w:top w:type="dxa" w:w="70"/>
              <w:left w:type="dxa" w:w="110"/>
              <w:bottom w:type="dxa" w:w="70"/>
              <w:right w:type="dxa" w:w="110"/>
            </w:tcMar>
          </w:tcPr>
          <w:p>
            <w:pPr>
              <w:spacing w:after="0" w:line="260"/>
            </w:pPr>
            <w:r>
              <w:rPr>
                <w:b w:val="false"/>
                <w:bCs w:val="false"/>
                <w:color w:val="202A32"/>
                <w:sz w:val="19"/>
                <w:szCs w:val="19"/>
              </w:rPr>
              <w:t xml:space="preserve">3</w:t>
            </w:r>
          </w:p>
        </w:tc>
        <w:tc>
          <w:tcPr>
            <w:tcW w:type="dxa" w:w="3460"/>
            <w:tcMar>
              <w:top w:type="dxa" w:w="70"/>
              <w:left w:type="dxa" w:w="110"/>
              <w:bottom w:type="dxa" w:w="70"/>
              <w:right w:type="dxa" w:w="110"/>
            </w:tcMar>
          </w:tcPr>
          <w:p>
            <w:pPr>
              <w:spacing w:after="0" w:line="260"/>
            </w:pPr>
            <w:r>
              <w:rPr>
                <w:b w:val="false"/>
                <w:bCs w:val="false"/>
                <w:color w:val="202A32"/>
                <w:sz w:val="19"/>
                <w:szCs w:val="19"/>
              </w:rPr>
              <w:t xml:space="preserve">Comparison reviewed at the new round</w:t>
            </w:r>
          </w:p>
        </w:tc>
        <w:tc>
          <w:tcPr>
            <w:tcW w:type="dxa" w:w="4814"/>
            <w:tcMar>
              <w:top w:type="dxa" w:w="70"/>
              <w:left w:type="dxa" w:w="110"/>
              <w:bottom w:type="dxa" w:w="70"/>
              <w:right w:type="dxa" w:w="110"/>
            </w:tcMar>
          </w:tcPr>
          <w:p>
            <w:pPr>
              <w:spacing w:after="0" w:line="260"/>
            </w:pPr>
            <w:r>
              <w:rPr>
                <w:b w:val="false"/>
                <w:bCs w:val="false"/>
                <w:color w:val="202A32"/>
                <w:sz w:val="19"/>
                <w:szCs w:val="19"/>
              </w:rPr>
              <w:t xml:space="preserve">Flag counts per vendor, and any new arithmetic errors introduced in the revision.</w:t>
            </w:r>
          </w:p>
        </w:tc>
      </w:tr>
      <w:tr>
        <w:tc>
          <w:tcPr>
            <w:tcW w:type="dxa" w:w="752"/>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4</w:t>
            </w:r>
          </w:p>
        </w:tc>
        <w:tc>
          <w:tcPr>
            <w:tcW w:type="dxa" w:w="346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Round movement reviewed</w:t>
            </w:r>
          </w:p>
        </w:tc>
        <w:tc>
          <w:tcPr>
            <w:tcW w:type="dxa" w:w="4814"/>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Every critical flag, meaning a price that rose between rounds, is explained.</w:t>
            </w:r>
          </w:p>
        </w:tc>
      </w:tr>
      <w:tr>
        <w:tc>
          <w:tcPr>
            <w:tcW w:type="dxa" w:w="752"/>
            <w:tcMar>
              <w:top w:type="dxa" w:w="70"/>
              <w:left w:type="dxa" w:w="110"/>
              <w:bottom w:type="dxa" w:w="70"/>
              <w:right w:type="dxa" w:w="110"/>
            </w:tcMar>
          </w:tcPr>
          <w:p>
            <w:pPr>
              <w:spacing w:after="0" w:line="260"/>
            </w:pPr>
            <w:r>
              <w:rPr>
                <w:b w:val="false"/>
                <w:bCs w:val="false"/>
                <w:color w:val="202A32"/>
                <w:sz w:val="19"/>
                <w:szCs w:val="19"/>
              </w:rPr>
              <w:t xml:space="preserve">5</w:t>
            </w:r>
          </w:p>
        </w:tc>
        <w:tc>
          <w:tcPr>
            <w:tcW w:type="dxa" w:w="3460"/>
            <w:tcMar>
              <w:top w:type="dxa" w:w="70"/>
              <w:left w:type="dxa" w:w="110"/>
              <w:bottom w:type="dxa" w:w="70"/>
              <w:right w:type="dxa" w:w="110"/>
            </w:tcMar>
          </w:tcPr>
          <w:p>
            <w:pPr>
              <w:spacing w:after="0" w:line="260"/>
            </w:pPr>
            <w:r>
              <w:rPr>
                <w:b w:val="false"/>
                <w:bCs w:val="false"/>
                <w:color w:val="202A32"/>
                <w:sz w:val="19"/>
                <w:szCs w:val="19"/>
              </w:rPr>
              <w:t xml:space="preserve">Negotiation report regenerated</w:t>
            </w:r>
          </w:p>
        </w:tc>
        <w:tc>
          <w:tcPr>
            <w:tcW w:type="dxa" w:w="4814"/>
            <w:tcMar>
              <w:top w:type="dxa" w:w="70"/>
              <w:left w:type="dxa" w:w="110"/>
              <w:bottom w:type="dxa" w:w="70"/>
              <w:right w:type="dxa" w:w="110"/>
            </w:tcMar>
          </w:tcPr>
          <w:p>
            <w:pPr>
              <w:spacing w:after="0" w:line="260"/>
            </w:pPr>
            <w:r>
              <w:rPr>
                <w:b w:val="false"/>
                <w:bCs w:val="false"/>
                <w:color w:val="202A32"/>
                <w:sz w:val="19"/>
                <w:szCs w:val="19"/>
              </w:rPr>
              <w:t xml:space="preserve">The round stated at the top of the report is the round you expect.</w:t>
            </w:r>
          </w:p>
        </w:tc>
      </w:tr>
    </w:tbl>
    <w:p>
      <w:pPr>
        <w:spacing w:after="160"/>
      </w:pPr>
    </w:p>
    <w:p>
      <w:pPr>
        <w:spacing w:after="140" w:line="280"/>
      </w:pPr>
      <w:r>
        <w:rPr>
          <w:sz w:val="21"/>
          <w:szCs w:val="21"/>
        </w:rPr>
        <w:t xml:space="preserve">There is an open question on ingestion currency. The largest Maximo table carries no change timestamp, so an incremental load keyed on creation date can miss a revision. A composite watermark design is recorded in databricks/FINDINGS.md and sits with the data platform team. Until it is in place, stage 2 above is a manual check rather than a guarantee.</w:t>
      </w:r>
    </w:p>
    <w:p>
      <w:pPr>
        <w:pStyle w:val="Heading2"/>
        <w:spacing w:after="120" w:before="260"/>
      </w:pPr>
      <w:r>
        <w:rPr>
          <w:b/>
          <w:bCs/>
          <w:color w:val="243742"/>
          <w:sz w:val="24"/>
          <w:szCs w:val="24"/>
        </w:rPr>
        <w:t xml:space="preserve">3.3 Making a change</w:t>
      </w:r>
    </w:p>
    <w:p>
      <w:pPr>
        <w:spacing w:after="160"/>
      </w:pP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2865"/>
        <w:gridCol w:w="4298"/>
        <w:gridCol w:w="1863"/>
      </w:tblGrid>
      <w:tr>
        <w:trPr>
          <w:tblHeader/>
        </w:trPr>
        <w:tc>
          <w:tcPr>
            <w:tcW w:type="dxa" w:w="2865"/>
            <w:shd w:fill="1F4E5F" w:color="auto" w:val="clear"/>
            <w:tcMar>
              <w:top w:type="dxa" w:w="70"/>
              <w:left w:type="dxa" w:w="110"/>
              <w:bottom w:type="dxa" w:w="70"/>
              <w:right w:type="dxa" w:w="110"/>
            </w:tcMar>
          </w:tcPr>
          <w:p>
            <w:pPr>
              <w:spacing w:after="0" w:line="260"/>
            </w:pPr>
            <w:r>
              <w:rPr>
                <w:b/>
                <w:bCs/>
                <w:color w:val="FFFFFF"/>
                <w:sz w:val="19"/>
                <w:szCs w:val="19"/>
              </w:rPr>
              <w:t xml:space="preserve">Change</w:t>
            </w:r>
          </w:p>
        </w:tc>
        <w:tc>
          <w:tcPr>
            <w:tcW w:type="dxa" w:w="4298"/>
            <w:shd w:fill="1F4E5F" w:color="auto" w:val="clear"/>
            <w:tcMar>
              <w:top w:type="dxa" w:w="70"/>
              <w:left w:type="dxa" w:w="110"/>
              <w:bottom w:type="dxa" w:w="70"/>
              <w:right w:type="dxa" w:w="110"/>
            </w:tcMar>
          </w:tcPr>
          <w:p>
            <w:pPr>
              <w:spacing w:after="0" w:line="260"/>
            </w:pPr>
            <w:r>
              <w:rPr>
                <w:b/>
                <w:bCs/>
                <w:color w:val="FFFFFF"/>
                <w:sz w:val="19"/>
                <w:szCs w:val="19"/>
              </w:rPr>
              <w:t xml:space="preserve">Run</w:t>
            </w:r>
          </w:p>
        </w:tc>
        <w:tc>
          <w:tcPr>
            <w:tcW w:type="dxa" w:w="1863"/>
            <w:shd w:fill="1F4E5F" w:color="auto" w:val="clear"/>
            <w:tcMar>
              <w:top w:type="dxa" w:w="70"/>
              <w:left w:type="dxa" w:w="110"/>
              <w:bottom w:type="dxa" w:w="70"/>
              <w:right w:type="dxa" w:w="110"/>
            </w:tcMar>
          </w:tcPr>
          <w:p>
            <w:pPr>
              <w:spacing w:after="0" w:line="260"/>
            </w:pPr>
            <w:r>
              <w:rPr>
                <w:b/>
                <w:bCs/>
                <w:color w:val="FFFFFF"/>
                <w:sz w:val="19"/>
                <w:szCs w:val="19"/>
              </w:rPr>
              <w:t xml:space="preserve">Approves</w:t>
            </w:r>
          </w:p>
        </w:tc>
      </w:tr>
      <w:tr>
        <w:tc>
          <w:tcPr>
            <w:tcW w:type="dxa" w:w="2865"/>
            <w:tcMar>
              <w:top w:type="dxa" w:w="70"/>
              <w:left w:type="dxa" w:w="110"/>
              <w:bottom w:type="dxa" w:w="70"/>
              <w:right w:type="dxa" w:w="110"/>
            </w:tcMar>
          </w:tcPr>
          <w:p>
            <w:pPr>
              <w:spacing w:after="0" w:line="260"/>
            </w:pPr>
            <w:r>
              <w:rPr>
                <w:b w:val="false"/>
                <w:bCs w:val="false"/>
                <w:color w:val="202A32"/>
                <w:sz w:val="19"/>
                <w:szCs w:val="19"/>
              </w:rPr>
              <w:t xml:space="preserve">Application code, backend or frontend</w:t>
            </w:r>
          </w:p>
        </w:tc>
        <w:tc>
          <w:tcPr>
            <w:tcW w:type="dxa" w:w="4298"/>
            <w:tcMar>
              <w:top w:type="dxa" w:w="70"/>
              <w:left w:type="dxa" w:w="110"/>
              <w:bottom w:type="dxa" w:w="70"/>
              <w:right w:type="dxa" w:w="110"/>
            </w:tcMar>
          </w:tcPr>
          <w:p>
            <w:pPr>
              <w:spacing w:after="0" w:line="260"/>
            </w:pPr>
            <w:r>
              <w:rPr>
                <w:b w:val="false"/>
                <w:bCs w:val="false"/>
                <w:color w:val="202A32"/>
                <w:sz w:val="19"/>
                <w:szCs w:val="19"/>
              </w:rPr>
              <w:t xml:space="preserve">The pipeline on a branch, then a pull request into main. Deploy from main.</w:t>
            </w:r>
          </w:p>
        </w:tc>
        <w:tc>
          <w:tcPr>
            <w:tcW w:type="dxa" w:w="1863"/>
            <w:tcMar>
              <w:top w:type="dxa" w:w="70"/>
              <w:left w:type="dxa" w:w="110"/>
              <w:bottom w:type="dxa" w:w="70"/>
              <w:right w:type="dxa" w:w="110"/>
            </w:tcMar>
          </w:tcPr>
          <w:p>
            <w:pPr>
              <w:spacing w:after="0" w:line="260"/>
            </w:pPr>
            <w:r>
              <w:rPr>
                <w:b w:val="false"/>
                <w:bCs w:val="false"/>
                <w:color w:val="202A32"/>
                <w:sz w:val="19"/>
                <w:szCs w:val="19"/>
              </w:rPr>
              <w:t xml:space="preserve">Product owner</w:t>
            </w:r>
          </w:p>
        </w:tc>
      </w:tr>
      <w:tr>
        <w:tc>
          <w:tcPr>
            <w:tcW w:type="dxa" w:w="2865"/>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Flag threshold tuning, such as the outlier z-score or the round deviation threshold</w:t>
            </w:r>
          </w:p>
        </w:tc>
        <w:tc>
          <w:tcPr>
            <w:tcW w:type="dxa" w:w="4298"/>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Change the constant, run the test suite, confirm against a real tender before release.</w:t>
            </w:r>
          </w:p>
        </w:tc>
        <w:tc>
          <w:tcPr>
            <w:tcW w:type="dxa" w:w="1863"/>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Product owner, advised by the analyst who raised it</w:t>
            </w:r>
          </w:p>
        </w:tc>
      </w:tr>
      <w:tr>
        <w:tc>
          <w:tcPr>
            <w:tcW w:type="dxa" w:w="2865"/>
            <w:tcMar>
              <w:top w:type="dxa" w:w="70"/>
              <w:left w:type="dxa" w:w="110"/>
              <w:bottom w:type="dxa" w:w="70"/>
              <w:right w:type="dxa" w:w="110"/>
            </w:tcMar>
          </w:tcPr>
          <w:p>
            <w:pPr>
              <w:spacing w:after="0" w:line="260"/>
            </w:pPr>
            <w:r>
              <w:rPr>
                <w:b w:val="false"/>
                <w:bCs w:val="false"/>
                <w:color w:val="202A32"/>
                <w:sz w:val="19"/>
                <w:szCs w:val="19"/>
              </w:rPr>
              <w:t xml:space="preserve">New overlay table for a new analyst action</w:t>
            </w:r>
          </w:p>
        </w:tc>
        <w:tc>
          <w:tcPr>
            <w:tcW w:type="dxa" w:w="4298"/>
            <w:tcMar>
              <w:top w:type="dxa" w:w="70"/>
              <w:left w:type="dxa" w:w="110"/>
              <w:bottom w:type="dxa" w:w="70"/>
              <w:right w:type="dxa" w:w="110"/>
            </w:tcMar>
          </w:tcPr>
          <w:p>
            <w:pPr>
              <w:spacing w:after="0" w:line="260"/>
            </w:pPr>
            <w:r>
              <w:rPr>
                <w:b w:val="false"/>
                <w:bCs w:val="false"/>
                <w:color w:val="202A32"/>
                <w:sz w:val="19"/>
                <w:szCs w:val="19"/>
              </w:rPr>
              <w:t xml:space="preserve">Add the schema file, the API module and the fail-open read. Request the Unity Catalog grant.</w:t>
            </w:r>
          </w:p>
        </w:tc>
        <w:tc>
          <w:tcPr>
            <w:tcW w:type="dxa" w:w="1863"/>
            <w:tcMar>
              <w:top w:type="dxa" w:w="70"/>
              <w:left w:type="dxa" w:w="110"/>
              <w:bottom w:type="dxa" w:w="70"/>
              <w:right w:type="dxa" w:w="110"/>
            </w:tcMar>
          </w:tcPr>
          <w:p>
            <w:pPr>
              <w:spacing w:after="0" w:line="260"/>
            </w:pPr>
            <w:r>
              <w:rPr>
                <w:b w:val="false"/>
                <w:bCs w:val="false"/>
                <w:color w:val="202A32"/>
                <w:sz w:val="19"/>
                <w:szCs w:val="19"/>
              </w:rPr>
              <w:t xml:space="preserve">Platform administrator for the grant, product owner for the feature</w:t>
            </w:r>
          </w:p>
        </w:tc>
      </w:tr>
      <w:tr>
        <w:tc>
          <w:tcPr>
            <w:tcW w:type="dxa" w:w="2865"/>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Maximo ingestion scope or cadence</w:t>
            </w:r>
          </w:p>
        </w:tc>
        <w:tc>
          <w:tcPr>
            <w:tcW w:type="dxa" w:w="4298"/>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Raised with the data platform team. Outside this repository.</w:t>
            </w:r>
          </w:p>
        </w:tc>
        <w:tc>
          <w:tcPr>
            <w:tcW w:type="dxa" w:w="1863"/>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Data platform owner</w:t>
            </w:r>
          </w:p>
        </w:tc>
      </w:tr>
      <w:tr>
        <w:tc>
          <w:tcPr>
            <w:tcW w:type="dxa" w:w="2865"/>
            <w:tcMar>
              <w:top w:type="dxa" w:w="70"/>
              <w:left w:type="dxa" w:w="110"/>
              <w:bottom w:type="dxa" w:w="70"/>
              <w:right w:type="dxa" w:w="110"/>
            </w:tcMar>
          </w:tcPr>
          <w:p>
            <w:pPr>
              <w:spacing w:after="0" w:line="260"/>
            </w:pPr>
            <w:r>
              <w:rPr>
                <w:b w:val="false"/>
                <w:bCs w:val="false"/>
                <w:color w:val="202A32"/>
                <w:sz w:val="19"/>
                <w:szCs w:val="19"/>
              </w:rPr>
              <w:t xml:space="preserve">AI model endpoint or prompt</w:t>
            </w:r>
          </w:p>
        </w:tc>
        <w:tc>
          <w:tcPr>
            <w:tcW w:type="dxa" w:w="4298"/>
            <w:tcMar>
              <w:top w:type="dxa" w:w="70"/>
              <w:left w:type="dxa" w:w="110"/>
              <w:bottom w:type="dxa" w:w="70"/>
              <w:right w:type="dxa" w:w="110"/>
            </w:tcMar>
          </w:tcPr>
          <w:p>
            <w:pPr>
              <w:spacing w:after="0" w:line="260"/>
            </w:pPr>
            <w:r>
              <w:rPr>
                <w:b w:val="false"/>
                <w:bCs w:val="false"/>
                <w:color w:val="202A32"/>
                <w:sz w:val="19"/>
                <w:szCs w:val="19"/>
              </w:rPr>
              <w:t xml:space="preserve">Change the endpoint variable or the prompt, verify the guardrails still hold.</w:t>
            </w:r>
          </w:p>
        </w:tc>
        <w:tc>
          <w:tcPr>
            <w:tcW w:type="dxa" w:w="1863"/>
            <w:tcMar>
              <w:top w:type="dxa" w:w="70"/>
              <w:left w:type="dxa" w:w="110"/>
              <w:bottom w:type="dxa" w:w="70"/>
              <w:right w:type="dxa" w:w="110"/>
            </w:tcMar>
          </w:tcPr>
          <w:p>
            <w:pPr>
              <w:spacing w:after="0" w:line="260"/>
            </w:pPr>
            <w:r>
              <w:rPr>
                <w:b w:val="false"/>
                <w:bCs w:val="false"/>
                <w:color w:val="202A32"/>
                <w:sz w:val="19"/>
                <w:szCs w:val="19"/>
              </w:rPr>
              <w:t xml:space="preserve">Product owner</w:t>
            </w:r>
          </w:p>
        </w:tc>
      </w:tr>
      <w:tr>
        <w:tc>
          <w:tcPr>
            <w:tcW w:type="dxa" w:w="2865"/>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Access or configuration</w:t>
            </w:r>
          </w:p>
        </w:tc>
        <w:tc>
          <w:tcPr>
            <w:tcW w:type="dxa" w:w="4298"/>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Changed from the Databricks application UI and the Unity Catalog grants.</w:t>
            </w:r>
          </w:p>
        </w:tc>
        <w:tc>
          <w:tcPr>
            <w:tcW w:type="dxa" w:w="1863"/>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Platform administrator</w:t>
            </w:r>
          </w:p>
        </w:tc>
      </w:tr>
    </w:tbl>
    <w:p>
      <w:pPr>
        <w:spacing w:after="160"/>
      </w:pPr>
    </w:p>
    <w:p>
      <w:r>
        <w:br w:type="page"/>
      </w:r>
    </w:p>
    <w:p>
      <w:pPr>
        <w:pStyle w:val="Heading1"/>
        <w:spacing w:after="160" w:before="320"/>
      </w:pPr>
      <w:r>
        <w:rPr>
          <w:b/>
          <w:bCs/>
          <w:color w:val="1F4E5F"/>
          <w:sz w:val="30"/>
          <w:szCs w:val="30"/>
        </w:rPr>
        <w:t xml:space="preserve">4. Roles, responsibilities and ownership</w:t>
      </w:r>
    </w:p>
    <w:p>
      <w:pPr>
        <w:pStyle w:val="Heading2"/>
        <w:spacing w:after="120" w:before="260"/>
      </w:pPr>
      <w:r>
        <w:rPr>
          <w:b/>
          <w:bCs/>
          <w:color w:val="243742"/>
          <w:sz w:val="24"/>
          <w:szCs w:val="24"/>
        </w:rPr>
        <w:t xml:space="preserve">4.1 Roles</w:t>
      </w: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2579"/>
        <w:gridCol w:w="6447"/>
      </w:tblGrid>
      <w:tr>
        <w:trPr>
          <w:tblHeader/>
        </w:trPr>
        <w:tc>
          <w:tcPr>
            <w:tcW w:type="dxa" w:w="2579"/>
            <w:shd w:fill="1F4E5F" w:color="auto" w:val="clear"/>
            <w:tcMar>
              <w:top w:type="dxa" w:w="70"/>
              <w:left w:type="dxa" w:w="110"/>
              <w:bottom w:type="dxa" w:w="70"/>
              <w:right w:type="dxa" w:w="110"/>
            </w:tcMar>
          </w:tcPr>
          <w:p>
            <w:pPr>
              <w:spacing w:after="0" w:line="260"/>
            </w:pPr>
            <w:r>
              <w:rPr>
                <w:b/>
                <w:bCs/>
                <w:color w:val="FFFFFF"/>
                <w:sz w:val="19"/>
                <w:szCs w:val="19"/>
              </w:rPr>
              <w:t xml:space="preserve">Role</w:t>
            </w:r>
          </w:p>
        </w:tc>
        <w:tc>
          <w:tcPr>
            <w:tcW w:type="dxa" w:w="6447"/>
            <w:shd w:fill="1F4E5F" w:color="auto" w:val="clear"/>
            <w:tcMar>
              <w:top w:type="dxa" w:w="70"/>
              <w:left w:type="dxa" w:w="110"/>
              <w:bottom w:type="dxa" w:w="70"/>
              <w:right w:type="dxa" w:w="110"/>
            </w:tcMar>
          </w:tcPr>
          <w:p>
            <w:pPr>
              <w:spacing w:after="0" w:line="260"/>
            </w:pPr>
            <w:r>
              <w:rPr>
                <w:b/>
                <w:bCs/>
                <w:color w:val="FFFFFF"/>
                <w:sz w:val="19"/>
                <w:szCs w:val="19"/>
              </w:rPr>
              <w:t xml:space="preserve">Scope</w:t>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Business owner</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Accountable for the use case and its adoption in procurement.</w:t>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Product owner</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Holds the backlog, sets priorities, decides releases.</w:t>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Procurement SME</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Defines what a flag should mean commercially and judges whether its behaviour is right.</w:t>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Data engineer</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The Maximo ingestion into Unity Catalog, and the currency of that data.</w:t>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Application engineer</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Backend, frontend, the comparison engine, deployment.</w:t>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Platform administrator</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Workspace, catalog grants, service principal, warehouse, Model Serving endpoint.</w:t>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End users</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Procurement analysts who evaluate bids and use the output.</w:t>
            </w:r>
          </w:p>
        </w:tc>
      </w:tr>
    </w:tbl>
    <w:p>
      <w:pPr>
        <w:spacing w:after="160"/>
      </w:pPr>
    </w:p>
    <w:p>
      <w:pPr>
        <w:pStyle w:val="Heading2"/>
        <w:spacing w:after="120" w:before="260"/>
      </w:pPr>
      <w:r>
        <w:rPr>
          <w:b/>
          <w:bCs/>
          <w:color w:val="243742"/>
          <w:sz w:val="24"/>
          <w:szCs w:val="24"/>
        </w:rPr>
        <w:t xml:space="preserve">4.2 Responsibility matrix</w:t>
      </w:r>
    </w:p>
    <w:p>
      <w:pPr>
        <w:spacing w:after="140" w:line="280"/>
      </w:pPr>
      <w:r>
        <w:rPr>
          <w:sz w:val="21"/>
          <w:szCs w:val="21"/>
        </w:rPr>
        <w:t xml:space="preserve">R responsible, A accountable, C consulted, I informed.</w:t>
      </w: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2862"/>
        <w:gridCol w:w="991"/>
        <w:gridCol w:w="991"/>
        <w:gridCol w:w="826"/>
        <w:gridCol w:w="826"/>
        <w:gridCol w:w="1046"/>
        <w:gridCol w:w="660"/>
        <w:gridCol w:w="824"/>
      </w:tblGrid>
      <w:tr>
        <w:trPr>
          <w:tblHeader/>
        </w:trPr>
        <w:tc>
          <w:tcPr>
            <w:tcW w:type="dxa" w:w="2862"/>
            <w:shd w:fill="1F4E5F" w:color="auto" w:val="clear"/>
            <w:tcMar>
              <w:top w:type="dxa" w:w="70"/>
              <w:left w:type="dxa" w:w="110"/>
              <w:bottom w:type="dxa" w:w="70"/>
              <w:right w:type="dxa" w:w="110"/>
            </w:tcMar>
          </w:tcPr>
          <w:p>
            <w:pPr>
              <w:spacing w:after="0" w:line="260"/>
            </w:pPr>
            <w:r>
              <w:rPr>
                <w:b/>
                <w:bCs/>
                <w:color w:val="FFFFFF"/>
                <w:sz w:val="19"/>
                <w:szCs w:val="19"/>
              </w:rPr>
              <w:t xml:space="preserve">Activity</w:t>
            </w:r>
          </w:p>
        </w:tc>
        <w:tc>
          <w:tcPr>
            <w:tcW w:type="dxa" w:w="991"/>
            <w:shd w:fill="1F4E5F" w:color="auto" w:val="clear"/>
            <w:tcMar>
              <w:top w:type="dxa" w:w="70"/>
              <w:left w:type="dxa" w:w="110"/>
              <w:bottom w:type="dxa" w:w="70"/>
              <w:right w:type="dxa" w:w="110"/>
            </w:tcMar>
          </w:tcPr>
          <w:p>
            <w:pPr>
              <w:spacing w:after="0" w:line="260"/>
            </w:pPr>
            <w:r>
              <w:rPr>
                <w:b/>
                <w:bCs/>
                <w:color w:val="FFFFFF"/>
                <w:sz w:val="19"/>
                <w:szCs w:val="19"/>
              </w:rPr>
              <w:t xml:space="preserve">Business owner</w:t>
            </w:r>
          </w:p>
        </w:tc>
        <w:tc>
          <w:tcPr>
            <w:tcW w:type="dxa" w:w="991"/>
            <w:shd w:fill="1F4E5F" w:color="auto" w:val="clear"/>
            <w:tcMar>
              <w:top w:type="dxa" w:w="70"/>
              <w:left w:type="dxa" w:w="110"/>
              <w:bottom w:type="dxa" w:w="70"/>
              <w:right w:type="dxa" w:w="110"/>
            </w:tcMar>
          </w:tcPr>
          <w:p>
            <w:pPr>
              <w:spacing w:after="0" w:line="260"/>
            </w:pPr>
            <w:r>
              <w:rPr>
                <w:b/>
                <w:bCs/>
                <w:color w:val="FFFFFF"/>
                <w:sz w:val="19"/>
                <w:szCs w:val="19"/>
              </w:rPr>
              <w:t xml:space="preserve">Product owner</w:t>
            </w:r>
          </w:p>
        </w:tc>
        <w:tc>
          <w:tcPr>
            <w:tcW w:type="dxa" w:w="826"/>
            <w:shd w:fill="1F4E5F" w:color="auto" w:val="clear"/>
            <w:tcMar>
              <w:top w:type="dxa" w:w="70"/>
              <w:left w:type="dxa" w:w="110"/>
              <w:bottom w:type="dxa" w:w="70"/>
              <w:right w:type="dxa" w:w="110"/>
            </w:tcMar>
          </w:tcPr>
          <w:p>
            <w:pPr>
              <w:spacing w:after="0" w:line="260"/>
            </w:pPr>
            <w:r>
              <w:rPr>
                <w:b/>
                <w:bCs/>
                <w:color w:val="FFFFFF"/>
                <w:sz w:val="19"/>
                <w:szCs w:val="19"/>
              </w:rPr>
              <w:t xml:space="preserve">Data eng.</w:t>
            </w:r>
          </w:p>
        </w:tc>
        <w:tc>
          <w:tcPr>
            <w:tcW w:type="dxa" w:w="826"/>
            <w:shd w:fill="1F4E5F" w:color="auto" w:val="clear"/>
            <w:tcMar>
              <w:top w:type="dxa" w:w="70"/>
              <w:left w:type="dxa" w:w="110"/>
              <w:bottom w:type="dxa" w:w="70"/>
              <w:right w:type="dxa" w:w="110"/>
            </w:tcMar>
          </w:tcPr>
          <w:p>
            <w:pPr>
              <w:spacing w:after="0" w:line="260"/>
            </w:pPr>
            <w:r>
              <w:rPr>
                <w:b/>
                <w:bCs/>
                <w:color w:val="FFFFFF"/>
                <w:sz w:val="19"/>
                <w:szCs w:val="19"/>
              </w:rPr>
              <w:t xml:space="preserve">App eng.</w:t>
            </w:r>
          </w:p>
        </w:tc>
        <w:tc>
          <w:tcPr>
            <w:tcW w:type="dxa" w:w="1046"/>
            <w:shd w:fill="1F4E5F" w:color="auto" w:val="clear"/>
            <w:tcMar>
              <w:top w:type="dxa" w:w="70"/>
              <w:left w:type="dxa" w:w="110"/>
              <w:bottom w:type="dxa" w:w="70"/>
              <w:right w:type="dxa" w:w="110"/>
            </w:tcMar>
          </w:tcPr>
          <w:p>
            <w:pPr>
              <w:spacing w:after="0" w:line="260"/>
            </w:pPr>
            <w:r>
              <w:rPr>
                <w:b/>
                <w:bCs/>
                <w:color w:val="FFFFFF"/>
                <w:sz w:val="19"/>
                <w:szCs w:val="19"/>
              </w:rPr>
              <w:t xml:space="preserve">Platform admin</w:t>
            </w:r>
          </w:p>
        </w:tc>
        <w:tc>
          <w:tcPr>
            <w:tcW w:type="dxa" w:w="660"/>
            <w:shd w:fill="1F4E5F" w:color="auto" w:val="clear"/>
            <w:tcMar>
              <w:top w:type="dxa" w:w="70"/>
              <w:left w:type="dxa" w:w="110"/>
              <w:bottom w:type="dxa" w:w="70"/>
              <w:right w:type="dxa" w:w="110"/>
            </w:tcMar>
          </w:tcPr>
          <w:p>
            <w:pPr>
              <w:spacing w:after="0" w:line="260"/>
            </w:pPr>
            <w:r>
              <w:rPr>
                <w:b/>
                <w:bCs/>
                <w:color w:val="FFFFFF"/>
                <w:sz w:val="19"/>
                <w:szCs w:val="19"/>
              </w:rPr>
              <w:t xml:space="preserve">SME</w:t>
            </w:r>
          </w:p>
        </w:tc>
        <w:tc>
          <w:tcPr>
            <w:tcW w:type="dxa" w:w="824"/>
            <w:shd w:fill="1F4E5F" w:color="auto" w:val="clear"/>
            <w:tcMar>
              <w:top w:type="dxa" w:w="70"/>
              <w:left w:type="dxa" w:w="110"/>
              <w:bottom w:type="dxa" w:w="70"/>
              <w:right w:type="dxa" w:w="110"/>
            </w:tcMar>
          </w:tcPr>
          <w:p>
            <w:pPr>
              <w:spacing w:after="0" w:line="260"/>
            </w:pPr>
            <w:r>
              <w:rPr>
                <w:b/>
                <w:bCs/>
                <w:color w:val="FFFFFF"/>
                <w:sz w:val="19"/>
                <w:szCs w:val="19"/>
              </w:rPr>
              <w:t xml:space="preserve">End users</w:t>
            </w:r>
          </w:p>
        </w:tc>
      </w:tr>
      <w:tr>
        <w:tc>
          <w:tcPr>
            <w:tcW w:type="dxa" w:w="2862"/>
            <w:tcMar>
              <w:top w:type="dxa" w:w="70"/>
              <w:left w:type="dxa" w:w="110"/>
              <w:bottom w:type="dxa" w:w="70"/>
              <w:right w:type="dxa" w:w="110"/>
            </w:tcMar>
          </w:tcPr>
          <w:p>
            <w:pPr>
              <w:spacing w:after="0" w:line="260"/>
            </w:pPr>
            <w:r>
              <w:rPr>
                <w:b w:val="false"/>
                <w:bCs w:val="false"/>
                <w:color w:val="202A32"/>
                <w:sz w:val="19"/>
                <w:szCs w:val="19"/>
              </w:rPr>
              <w:t xml:space="preserve">Maximo ingestion and data currency</w:t>
            </w:r>
          </w:p>
        </w:tc>
        <w:tc>
          <w:tcPr>
            <w:tcW w:type="dxa" w:w="991"/>
            <w:tcMar>
              <w:top w:type="dxa" w:w="70"/>
              <w:left w:type="dxa" w:w="110"/>
              <w:bottom w:type="dxa" w:w="70"/>
              <w:right w:type="dxa" w:w="110"/>
            </w:tcMar>
          </w:tcPr>
          <w:p>
            <w:pPr>
              <w:spacing w:after="0" w:line="260"/>
            </w:pPr>
            <w:r>
              <w:rPr>
                <w:b w:val="false"/>
                <w:bCs w:val="false"/>
                <w:color w:val="202A32"/>
                <w:sz w:val="19"/>
                <w:szCs w:val="19"/>
              </w:rPr>
              <w:t xml:space="preserve">I</w:t>
            </w:r>
          </w:p>
        </w:tc>
        <w:tc>
          <w:tcPr>
            <w:tcW w:type="dxa" w:w="991"/>
            <w:tcMar>
              <w:top w:type="dxa" w:w="70"/>
              <w:left w:type="dxa" w:w="110"/>
              <w:bottom w:type="dxa" w:w="70"/>
              <w:right w:type="dxa" w:w="110"/>
            </w:tcMar>
          </w:tcPr>
          <w:p>
            <w:pPr>
              <w:spacing w:after="0" w:line="260"/>
            </w:pPr>
            <w:r>
              <w:rPr>
                <w:b w:val="false"/>
                <w:bCs w:val="false"/>
                <w:color w:val="202A32"/>
                <w:sz w:val="19"/>
                <w:szCs w:val="19"/>
              </w:rPr>
              <w:t xml:space="preserve">I</w:t>
            </w:r>
          </w:p>
        </w:tc>
        <w:tc>
          <w:tcPr>
            <w:tcW w:type="dxa" w:w="826"/>
            <w:tcMar>
              <w:top w:type="dxa" w:w="70"/>
              <w:left w:type="dxa" w:w="110"/>
              <w:bottom w:type="dxa" w:w="70"/>
              <w:right w:type="dxa" w:w="110"/>
            </w:tcMar>
          </w:tcPr>
          <w:p>
            <w:pPr>
              <w:spacing w:after="0" w:line="260"/>
            </w:pPr>
            <w:r>
              <w:rPr>
                <w:b w:val="false"/>
                <w:bCs w:val="false"/>
                <w:color w:val="202A32"/>
                <w:sz w:val="19"/>
                <w:szCs w:val="19"/>
              </w:rPr>
              <w:t xml:space="preserve">R</w:t>
            </w:r>
          </w:p>
        </w:tc>
        <w:tc>
          <w:tcPr>
            <w:tcW w:type="dxa" w:w="826"/>
            <w:tcMar>
              <w:top w:type="dxa" w:w="70"/>
              <w:left w:type="dxa" w:w="110"/>
              <w:bottom w:type="dxa" w:w="70"/>
              <w:right w:type="dxa" w:w="110"/>
            </w:tcMar>
          </w:tcPr>
          <w:p>
            <w:pPr>
              <w:spacing w:after="0" w:line="260"/>
            </w:pPr>
            <w:r>
              <w:rPr>
                <w:b w:val="false"/>
                <w:bCs w:val="false"/>
                <w:color w:val="202A32"/>
                <w:sz w:val="19"/>
                <w:szCs w:val="19"/>
              </w:rPr>
              <w:t xml:space="preserve">C</w:t>
            </w:r>
          </w:p>
        </w:tc>
        <w:tc>
          <w:tcPr>
            <w:tcW w:type="dxa" w:w="1046"/>
            <w:tcMar>
              <w:top w:type="dxa" w:w="70"/>
              <w:left w:type="dxa" w:w="110"/>
              <w:bottom w:type="dxa" w:w="70"/>
              <w:right w:type="dxa" w:w="110"/>
            </w:tcMar>
          </w:tcPr>
          <w:p>
            <w:pPr>
              <w:spacing w:after="0" w:line="260"/>
            </w:pPr>
            <w:r>
              <w:rPr>
                <w:b w:val="false"/>
                <w:bCs w:val="false"/>
                <w:color w:val="202A32"/>
                <w:sz w:val="19"/>
                <w:szCs w:val="19"/>
              </w:rPr>
              <w:t xml:space="preserve">C</w:t>
            </w:r>
          </w:p>
        </w:tc>
        <w:tc>
          <w:tcPr>
            <w:tcW w:type="dxa" w:w="660"/>
            <w:tcMar>
              <w:top w:type="dxa" w:w="70"/>
              <w:left w:type="dxa" w:w="110"/>
              <w:bottom w:type="dxa" w:w="70"/>
              <w:right w:type="dxa" w:w="110"/>
            </w:tcMar>
          </w:tcPr>
          <w:p>
            <w:pPr>
              <w:spacing w:after="0" w:line="260"/>
            </w:pPr>
            <w:r>
              <w:rPr>
                <w:b w:val="false"/>
                <w:bCs w:val="false"/>
                <w:color w:val="202A32"/>
                <w:sz w:val="19"/>
                <w:szCs w:val="19"/>
              </w:rPr>
              <w:t xml:space="preserve">-</w:t>
            </w:r>
          </w:p>
        </w:tc>
        <w:tc>
          <w:tcPr>
            <w:tcW w:type="dxa" w:w="824"/>
            <w:tcMar>
              <w:top w:type="dxa" w:w="70"/>
              <w:left w:type="dxa" w:w="110"/>
              <w:bottom w:type="dxa" w:w="70"/>
              <w:right w:type="dxa" w:w="110"/>
            </w:tcMar>
          </w:tcPr>
          <w:p>
            <w:pPr>
              <w:spacing w:after="0" w:line="260"/>
            </w:pPr>
            <w:r>
              <w:rPr>
                <w:b w:val="false"/>
                <w:bCs w:val="false"/>
                <w:color w:val="202A32"/>
                <w:sz w:val="19"/>
                <w:szCs w:val="19"/>
              </w:rPr>
              <w:t xml:space="preserve">-</w:t>
            </w:r>
          </w:p>
        </w:tc>
      </w:tr>
      <w:tr>
        <w:tc>
          <w:tcPr>
            <w:tcW w:type="dxa" w:w="2862"/>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Comparison engine and flag logic</w:t>
            </w:r>
          </w:p>
        </w:tc>
        <w:tc>
          <w:tcPr>
            <w:tcW w:type="dxa" w:w="991"/>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w:t>
            </w:r>
          </w:p>
        </w:tc>
        <w:tc>
          <w:tcPr>
            <w:tcW w:type="dxa" w:w="991"/>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w:t>
            </w:r>
          </w:p>
        </w:tc>
        <w:tc>
          <w:tcPr>
            <w:tcW w:type="dxa" w:w="826"/>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C</w:t>
            </w:r>
          </w:p>
        </w:tc>
        <w:tc>
          <w:tcPr>
            <w:tcW w:type="dxa" w:w="826"/>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R</w:t>
            </w:r>
          </w:p>
        </w:tc>
        <w:tc>
          <w:tcPr>
            <w:tcW w:type="dxa" w:w="1046"/>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w:t>
            </w:r>
          </w:p>
        </w:tc>
        <w:tc>
          <w:tcPr>
            <w:tcW w:type="dxa" w:w="66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C</w:t>
            </w:r>
          </w:p>
        </w:tc>
        <w:tc>
          <w:tcPr>
            <w:tcW w:type="dxa" w:w="824"/>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I</w:t>
            </w:r>
          </w:p>
        </w:tc>
      </w:tr>
      <w:tr>
        <w:tc>
          <w:tcPr>
            <w:tcW w:type="dxa" w:w="2862"/>
            <w:tcMar>
              <w:top w:type="dxa" w:w="70"/>
              <w:left w:type="dxa" w:w="110"/>
              <w:bottom w:type="dxa" w:w="70"/>
              <w:right w:type="dxa" w:w="110"/>
            </w:tcMar>
          </w:tcPr>
          <w:p>
            <w:pPr>
              <w:spacing w:after="0" w:line="260"/>
            </w:pPr>
            <w:r>
              <w:rPr>
                <w:b w:val="false"/>
                <w:bCs w:val="false"/>
                <w:color w:val="202A32"/>
                <w:sz w:val="19"/>
                <w:szCs w:val="19"/>
              </w:rPr>
              <w:t xml:space="preserve">Flag threshold tuning</w:t>
            </w:r>
          </w:p>
        </w:tc>
        <w:tc>
          <w:tcPr>
            <w:tcW w:type="dxa" w:w="991"/>
            <w:tcMar>
              <w:top w:type="dxa" w:w="70"/>
              <w:left w:type="dxa" w:w="110"/>
              <w:bottom w:type="dxa" w:w="70"/>
              <w:right w:type="dxa" w:w="110"/>
            </w:tcMar>
          </w:tcPr>
          <w:p>
            <w:pPr>
              <w:spacing w:after="0" w:line="260"/>
            </w:pPr>
            <w:r>
              <w:rPr>
                <w:b w:val="false"/>
                <w:bCs w:val="false"/>
                <w:color w:val="202A32"/>
                <w:sz w:val="19"/>
                <w:szCs w:val="19"/>
              </w:rPr>
              <w:t xml:space="preserve">-</w:t>
            </w:r>
          </w:p>
        </w:tc>
        <w:tc>
          <w:tcPr>
            <w:tcW w:type="dxa" w:w="991"/>
            <w:tcMar>
              <w:top w:type="dxa" w:w="70"/>
              <w:left w:type="dxa" w:w="110"/>
              <w:bottom w:type="dxa" w:w="70"/>
              <w:right w:type="dxa" w:w="110"/>
            </w:tcMar>
          </w:tcPr>
          <w:p>
            <w:pPr>
              <w:spacing w:after="0" w:line="260"/>
            </w:pPr>
            <w:r>
              <w:rPr>
                <w:b w:val="false"/>
                <w:bCs w:val="false"/>
                <w:color w:val="202A32"/>
                <w:sz w:val="19"/>
                <w:szCs w:val="19"/>
              </w:rPr>
              <w:t xml:space="preserve">A</w:t>
            </w:r>
          </w:p>
        </w:tc>
        <w:tc>
          <w:tcPr>
            <w:tcW w:type="dxa" w:w="826"/>
            <w:tcMar>
              <w:top w:type="dxa" w:w="70"/>
              <w:left w:type="dxa" w:w="110"/>
              <w:bottom w:type="dxa" w:w="70"/>
              <w:right w:type="dxa" w:w="110"/>
            </w:tcMar>
          </w:tcPr>
          <w:p>
            <w:pPr>
              <w:spacing w:after="0" w:line="260"/>
            </w:pPr>
            <w:r>
              <w:rPr>
                <w:b w:val="false"/>
                <w:bCs w:val="false"/>
                <w:color w:val="202A32"/>
                <w:sz w:val="19"/>
                <w:szCs w:val="19"/>
              </w:rPr>
              <w:t xml:space="preserve">-</w:t>
            </w:r>
          </w:p>
        </w:tc>
        <w:tc>
          <w:tcPr>
            <w:tcW w:type="dxa" w:w="826"/>
            <w:tcMar>
              <w:top w:type="dxa" w:w="70"/>
              <w:left w:type="dxa" w:w="110"/>
              <w:bottom w:type="dxa" w:w="70"/>
              <w:right w:type="dxa" w:w="110"/>
            </w:tcMar>
          </w:tcPr>
          <w:p>
            <w:pPr>
              <w:spacing w:after="0" w:line="260"/>
            </w:pPr>
            <w:r>
              <w:rPr>
                <w:b w:val="false"/>
                <w:bCs w:val="false"/>
                <w:color w:val="202A32"/>
                <w:sz w:val="19"/>
                <w:szCs w:val="19"/>
              </w:rPr>
              <w:t xml:space="preserve">R</w:t>
            </w:r>
          </w:p>
        </w:tc>
        <w:tc>
          <w:tcPr>
            <w:tcW w:type="dxa" w:w="1046"/>
            <w:tcMar>
              <w:top w:type="dxa" w:w="70"/>
              <w:left w:type="dxa" w:w="110"/>
              <w:bottom w:type="dxa" w:w="70"/>
              <w:right w:type="dxa" w:w="110"/>
            </w:tcMar>
          </w:tcPr>
          <w:p>
            <w:pPr>
              <w:spacing w:after="0" w:line="260"/>
            </w:pPr>
            <w:r>
              <w:rPr>
                <w:b w:val="false"/>
                <w:bCs w:val="false"/>
                <w:color w:val="202A32"/>
                <w:sz w:val="19"/>
                <w:szCs w:val="19"/>
              </w:rPr>
              <w:t xml:space="preserve">-</w:t>
            </w:r>
          </w:p>
        </w:tc>
        <w:tc>
          <w:tcPr>
            <w:tcW w:type="dxa" w:w="660"/>
            <w:tcMar>
              <w:top w:type="dxa" w:w="70"/>
              <w:left w:type="dxa" w:w="110"/>
              <w:bottom w:type="dxa" w:w="70"/>
              <w:right w:type="dxa" w:w="110"/>
            </w:tcMar>
          </w:tcPr>
          <w:p>
            <w:pPr>
              <w:spacing w:after="0" w:line="260"/>
            </w:pPr>
            <w:r>
              <w:rPr>
                <w:b w:val="false"/>
                <w:bCs w:val="false"/>
                <w:color w:val="202A32"/>
                <w:sz w:val="19"/>
                <w:szCs w:val="19"/>
              </w:rPr>
              <w:t xml:space="preserve">C</w:t>
            </w:r>
          </w:p>
        </w:tc>
        <w:tc>
          <w:tcPr>
            <w:tcW w:type="dxa" w:w="824"/>
            <w:tcMar>
              <w:top w:type="dxa" w:w="70"/>
              <w:left w:type="dxa" w:w="110"/>
              <w:bottom w:type="dxa" w:w="70"/>
              <w:right w:type="dxa" w:w="110"/>
            </w:tcMar>
          </w:tcPr>
          <w:p>
            <w:pPr>
              <w:spacing w:after="0" w:line="260"/>
            </w:pPr>
            <w:r>
              <w:rPr>
                <w:b w:val="false"/>
                <w:bCs w:val="false"/>
                <w:color w:val="202A32"/>
                <w:sz w:val="19"/>
                <w:szCs w:val="19"/>
              </w:rPr>
              <w:t xml:space="preserve">C</w:t>
            </w:r>
          </w:p>
        </w:tc>
      </w:tr>
      <w:tr>
        <w:tc>
          <w:tcPr>
            <w:tcW w:type="dxa" w:w="2862"/>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Application deployment</w:t>
            </w:r>
          </w:p>
        </w:tc>
        <w:tc>
          <w:tcPr>
            <w:tcW w:type="dxa" w:w="991"/>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w:t>
            </w:r>
          </w:p>
        </w:tc>
        <w:tc>
          <w:tcPr>
            <w:tcW w:type="dxa" w:w="991"/>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w:t>
            </w:r>
          </w:p>
        </w:tc>
        <w:tc>
          <w:tcPr>
            <w:tcW w:type="dxa" w:w="826"/>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w:t>
            </w:r>
          </w:p>
        </w:tc>
        <w:tc>
          <w:tcPr>
            <w:tcW w:type="dxa" w:w="826"/>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R</w:t>
            </w:r>
          </w:p>
        </w:tc>
        <w:tc>
          <w:tcPr>
            <w:tcW w:type="dxa" w:w="1046"/>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C</w:t>
            </w:r>
          </w:p>
        </w:tc>
        <w:tc>
          <w:tcPr>
            <w:tcW w:type="dxa" w:w="66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w:t>
            </w:r>
          </w:p>
        </w:tc>
        <w:tc>
          <w:tcPr>
            <w:tcW w:type="dxa" w:w="824"/>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I</w:t>
            </w:r>
          </w:p>
        </w:tc>
      </w:tr>
      <w:tr>
        <w:tc>
          <w:tcPr>
            <w:tcW w:type="dxa" w:w="2862"/>
            <w:tcMar>
              <w:top w:type="dxa" w:w="70"/>
              <w:left w:type="dxa" w:w="110"/>
              <w:bottom w:type="dxa" w:w="70"/>
              <w:right w:type="dxa" w:w="110"/>
            </w:tcMar>
          </w:tcPr>
          <w:p>
            <w:pPr>
              <w:spacing w:after="0" w:line="260"/>
            </w:pPr>
            <w:r>
              <w:rPr>
                <w:b w:val="false"/>
                <w:bCs w:val="false"/>
                <w:color w:val="202A32"/>
                <w:sz w:val="19"/>
                <w:szCs w:val="19"/>
              </w:rPr>
              <w:t xml:space="preserve">Unity Catalog grants and access</w:t>
            </w:r>
          </w:p>
        </w:tc>
        <w:tc>
          <w:tcPr>
            <w:tcW w:type="dxa" w:w="991"/>
            <w:tcMar>
              <w:top w:type="dxa" w:w="70"/>
              <w:left w:type="dxa" w:w="110"/>
              <w:bottom w:type="dxa" w:w="70"/>
              <w:right w:type="dxa" w:w="110"/>
            </w:tcMar>
          </w:tcPr>
          <w:p>
            <w:pPr>
              <w:spacing w:after="0" w:line="260"/>
            </w:pPr>
            <w:r>
              <w:rPr>
                <w:b w:val="false"/>
                <w:bCs w:val="false"/>
                <w:color w:val="202A32"/>
                <w:sz w:val="19"/>
                <w:szCs w:val="19"/>
              </w:rPr>
              <w:t xml:space="preserve">I</w:t>
            </w:r>
          </w:p>
        </w:tc>
        <w:tc>
          <w:tcPr>
            <w:tcW w:type="dxa" w:w="991"/>
            <w:tcMar>
              <w:top w:type="dxa" w:w="70"/>
              <w:left w:type="dxa" w:w="110"/>
              <w:bottom w:type="dxa" w:w="70"/>
              <w:right w:type="dxa" w:w="110"/>
            </w:tcMar>
          </w:tcPr>
          <w:p>
            <w:pPr>
              <w:spacing w:after="0" w:line="260"/>
            </w:pPr>
            <w:r>
              <w:rPr>
                <w:b w:val="false"/>
                <w:bCs w:val="false"/>
                <w:color w:val="202A32"/>
                <w:sz w:val="19"/>
                <w:szCs w:val="19"/>
              </w:rPr>
              <w:t xml:space="preserve">C</w:t>
            </w:r>
          </w:p>
        </w:tc>
        <w:tc>
          <w:tcPr>
            <w:tcW w:type="dxa" w:w="826"/>
            <w:tcMar>
              <w:top w:type="dxa" w:w="70"/>
              <w:left w:type="dxa" w:w="110"/>
              <w:bottom w:type="dxa" w:w="70"/>
              <w:right w:type="dxa" w:w="110"/>
            </w:tcMar>
          </w:tcPr>
          <w:p>
            <w:pPr>
              <w:spacing w:after="0" w:line="260"/>
            </w:pPr>
            <w:r>
              <w:rPr>
                <w:b w:val="false"/>
                <w:bCs w:val="false"/>
                <w:color w:val="202A32"/>
                <w:sz w:val="19"/>
                <w:szCs w:val="19"/>
              </w:rPr>
              <w:t xml:space="preserve">C</w:t>
            </w:r>
          </w:p>
        </w:tc>
        <w:tc>
          <w:tcPr>
            <w:tcW w:type="dxa" w:w="826"/>
            <w:tcMar>
              <w:top w:type="dxa" w:w="70"/>
              <w:left w:type="dxa" w:w="110"/>
              <w:bottom w:type="dxa" w:w="70"/>
              <w:right w:type="dxa" w:w="110"/>
            </w:tcMar>
          </w:tcPr>
          <w:p>
            <w:pPr>
              <w:spacing w:after="0" w:line="260"/>
            </w:pPr>
            <w:r>
              <w:rPr>
                <w:b w:val="false"/>
                <w:bCs w:val="false"/>
                <w:color w:val="202A32"/>
                <w:sz w:val="19"/>
                <w:szCs w:val="19"/>
              </w:rPr>
              <w:t xml:space="preserve">C</w:t>
            </w:r>
          </w:p>
        </w:tc>
        <w:tc>
          <w:tcPr>
            <w:tcW w:type="dxa" w:w="1046"/>
            <w:tcMar>
              <w:top w:type="dxa" w:w="70"/>
              <w:left w:type="dxa" w:w="110"/>
              <w:bottom w:type="dxa" w:w="70"/>
              <w:right w:type="dxa" w:w="110"/>
            </w:tcMar>
          </w:tcPr>
          <w:p>
            <w:pPr>
              <w:spacing w:after="0" w:line="260"/>
            </w:pPr>
            <w:r>
              <w:rPr>
                <w:b w:val="false"/>
                <w:bCs w:val="false"/>
                <w:color w:val="202A32"/>
                <w:sz w:val="19"/>
                <w:szCs w:val="19"/>
              </w:rPr>
              <w:t xml:space="preserve">R</w:t>
            </w:r>
          </w:p>
        </w:tc>
        <w:tc>
          <w:tcPr>
            <w:tcW w:type="dxa" w:w="660"/>
            <w:tcMar>
              <w:top w:type="dxa" w:w="70"/>
              <w:left w:type="dxa" w:w="110"/>
              <w:bottom w:type="dxa" w:w="70"/>
              <w:right w:type="dxa" w:w="110"/>
            </w:tcMar>
          </w:tcPr>
          <w:p>
            <w:pPr>
              <w:spacing w:after="0" w:line="260"/>
            </w:pPr>
            <w:r>
              <w:rPr>
                <w:b w:val="false"/>
                <w:bCs w:val="false"/>
                <w:color w:val="202A32"/>
                <w:sz w:val="19"/>
                <w:szCs w:val="19"/>
              </w:rPr>
              <w:t xml:space="preserve">-</w:t>
            </w:r>
          </w:p>
        </w:tc>
        <w:tc>
          <w:tcPr>
            <w:tcW w:type="dxa" w:w="824"/>
            <w:tcMar>
              <w:top w:type="dxa" w:w="70"/>
              <w:left w:type="dxa" w:w="110"/>
              <w:bottom w:type="dxa" w:w="70"/>
              <w:right w:type="dxa" w:w="110"/>
            </w:tcMar>
          </w:tcPr>
          <w:p>
            <w:pPr>
              <w:spacing w:after="0" w:line="260"/>
            </w:pPr>
            <w:r>
              <w:rPr>
                <w:b w:val="false"/>
                <w:bCs w:val="false"/>
                <w:color w:val="202A32"/>
                <w:sz w:val="19"/>
                <w:szCs w:val="19"/>
              </w:rPr>
              <w:t xml:space="preserve">-</w:t>
            </w:r>
          </w:p>
        </w:tc>
      </w:tr>
      <w:tr>
        <w:tc>
          <w:tcPr>
            <w:tcW w:type="dxa" w:w="2862"/>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AI feature guardrails</w:t>
            </w:r>
          </w:p>
        </w:tc>
        <w:tc>
          <w:tcPr>
            <w:tcW w:type="dxa" w:w="991"/>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I</w:t>
            </w:r>
          </w:p>
        </w:tc>
        <w:tc>
          <w:tcPr>
            <w:tcW w:type="dxa" w:w="991"/>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w:t>
            </w:r>
          </w:p>
        </w:tc>
        <w:tc>
          <w:tcPr>
            <w:tcW w:type="dxa" w:w="826"/>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w:t>
            </w:r>
          </w:p>
        </w:tc>
        <w:tc>
          <w:tcPr>
            <w:tcW w:type="dxa" w:w="826"/>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R</w:t>
            </w:r>
          </w:p>
        </w:tc>
        <w:tc>
          <w:tcPr>
            <w:tcW w:type="dxa" w:w="1046"/>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C</w:t>
            </w:r>
          </w:p>
        </w:tc>
        <w:tc>
          <w:tcPr>
            <w:tcW w:type="dxa" w:w="66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C</w:t>
            </w:r>
          </w:p>
        </w:tc>
        <w:tc>
          <w:tcPr>
            <w:tcW w:type="dxa" w:w="824"/>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I</w:t>
            </w:r>
          </w:p>
        </w:tc>
      </w:tr>
      <w:tr>
        <w:tc>
          <w:tcPr>
            <w:tcW w:type="dxa" w:w="2862"/>
            <w:tcMar>
              <w:top w:type="dxa" w:w="70"/>
              <w:left w:type="dxa" w:w="110"/>
              <w:bottom w:type="dxa" w:w="70"/>
              <w:right w:type="dxa" w:w="110"/>
            </w:tcMar>
          </w:tcPr>
          <w:p>
            <w:pPr>
              <w:spacing w:after="0" w:line="260"/>
            </w:pPr>
            <w:r>
              <w:rPr>
                <w:b w:val="false"/>
                <w:bCs w:val="false"/>
                <w:color w:val="202A32"/>
                <w:sz w:val="19"/>
                <w:szCs w:val="19"/>
              </w:rPr>
              <w:t xml:space="preserve">Analyst entries, corrections and disqualifications</w:t>
            </w:r>
          </w:p>
        </w:tc>
        <w:tc>
          <w:tcPr>
            <w:tcW w:type="dxa" w:w="991"/>
            <w:tcMar>
              <w:top w:type="dxa" w:w="70"/>
              <w:left w:type="dxa" w:w="110"/>
              <w:bottom w:type="dxa" w:w="70"/>
              <w:right w:type="dxa" w:w="110"/>
            </w:tcMar>
          </w:tcPr>
          <w:p>
            <w:pPr>
              <w:spacing w:after="0" w:line="260"/>
            </w:pPr>
            <w:r>
              <w:rPr>
                <w:b w:val="false"/>
                <w:bCs w:val="false"/>
                <w:color w:val="202A32"/>
                <w:sz w:val="19"/>
                <w:szCs w:val="19"/>
              </w:rPr>
              <w:t xml:space="preserve">-</w:t>
            </w:r>
          </w:p>
        </w:tc>
        <w:tc>
          <w:tcPr>
            <w:tcW w:type="dxa" w:w="991"/>
            <w:tcMar>
              <w:top w:type="dxa" w:w="70"/>
              <w:left w:type="dxa" w:w="110"/>
              <w:bottom w:type="dxa" w:w="70"/>
              <w:right w:type="dxa" w:w="110"/>
            </w:tcMar>
          </w:tcPr>
          <w:p>
            <w:pPr>
              <w:spacing w:after="0" w:line="260"/>
            </w:pPr>
            <w:r>
              <w:rPr>
                <w:b w:val="false"/>
                <w:bCs w:val="false"/>
                <w:color w:val="202A32"/>
                <w:sz w:val="19"/>
                <w:szCs w:val="19"/>
              </w:rPr>
              <w:t xml:space="preserve">I</w:t>
            </w:r>
          </w:p>
        </w:tc>
        <w:tc>
          <w:tcPr>
            <w:tcW w:type="dxa" w:w="826"/>
            <w:tcMar>
              <w:top w:type="dxa" w:w="70"/>
              <w:left w:type="dxa" w:w="110"/>
              <w:bottom w:type="dxa" w:w="70"/>
              <w:right w:type="dxa" w:w="110"/>
            </w:tcMar>
          </w:tcPr>
          <w:p>
            <w:pPr>
              <w:spacing w:after="0" w:line="260"/>
            </w:pPr>
            <w:r>
              <w:rPr>
                <w:b w:val="false"/>
                <w:bCs w:val="false"/>
                <w:color w:val="202A32"/>
                <w:sz w:val="19"/>
                <w:szCs w:val="19"/>
              </w:rPr>
              <w:t xml:space="preserve">-</w:t>
            </w:r>
          </w:p>
        </w:tc>
        <w:tc>
          <w:tcPr>
            <w:tcW w:type="dxa" w:w="826"/>
            <w:tcMar>
              <w:top w:type="dxa" w:w="70"/>
              <w:left w:type="dxa" w:w="110"/>
              <w:bottom w:type="dxa" w:w="70"/>
              <w:right w:type="dxa" w:w="110"/>
            </w:tcMar>
          </w:tcPr>
          <w:p>
            <w:pPr>
              <w:spacing w:after="0" w:line="260"/>
            </w:pPr>
            <w:r>
              <w:rPr>
                <w:b w:val="false"/>
                <w:bCs w:val="false"/>
                <w:color w:val="202A32"/>
                <w:sz w:val="19"/>
                <w:szCs w:val="19"/>
              </w:rPr>
              <w:t xml:space="preserve">-</w:t>
            </w:r>
          </w:p>
        </w:tc>
        <w:tc>
          <w:tcPr>
            <w:tcW w:type="dxa" w:w="1046"/>
            <w:tcMar>
              <w:top w:type="dxa" w:w="70"/>
              <w:left w:type="dxa" w:w="110"/>
              <w:bottom w:type="dxa" w:w="70"/>
              <w:right w:type="dxa" w:w="110"/>
            </w:tcMar>
          </w:tcPr>
          <w:p>
            <w:pPr>
              <w:spacing w:after="0" w:line="260"/>
            </w:pPr>
            <w:r>
              <w:rPr>
                <w:b w:val="false"/>
                <w:bCs w:val="false"/>
                <w:color w:val="202A32"/>
                <w:sz w:val="19"/>
                <w:szCs w:val="19"/>
              </w:rPr>
              <w:t xml:space="preserve">-</w:t>
            </w:r>
          </w:p>
        </w:tc>
        <w:tc>
          <w:tcPr>
            <w:tcW w:type="dxa" w:w="660"/>
            <w:tcMar>
              <w:top w:type="dxa" w:w="70"/>
              <w:left w:type="dxa" w:w="110"/>
              <w:bottom w:type="dxa" w:w="70"/>
              <w:right w:type="dxa" w:w="110"/>
            </w:tcMar>
          </w:tcPr>
          <w:p>
            <w:pPr>
              <w:spacing w:after="0" w:line="260"/>
            </w:pPr>
            <w:r>
              <w:rPr>
                <w:b w:val="false"/>
                <w:bCs w:val="false"/>
                <w:color w:val="202A32"/>
                <w:sz w:val="19"/>
                <w:szCs w:val="19"/>
              </w:rPr>
              <w:t xml:space="preserve">-</w:t>
            </w:r>
          </w:p>
        </w:tc>
        <w:tc>
          <w:tcPr>
            <w:tcW w:type="dxa" w:w="824"/>
            <w:tcMar>
              <w:top w:type="dxa" w:w="70"/>
              <w:left w:type="dxa" w:w="110"/>
              <w:bottom w:type="dxa" w:w="70"/>
              <w:right w:type="dxa" w:w="110"/>
            </w:tcMar>
          </w:tcPr>
          <w:p>
            <w:pPr>
              <w:spacing w:after="0" w:line="260"/>
            </w:pPr>
            <w:r>
              <w:rPr>
                <w:b w:val="false"/>
                <w:bCs w:val="false"/>
                <w:color w:val="202A32"/>
                <w:sz w:val="19"/>
                <w:szCs w:val="19"/>
              </w:rPr>
              <w:t xml:space="preserve">R</w:t>
            </w:r>
          </w:p>
        </w:tc>
      </w:tr>
      <w:tr>
        <w:tc>
          <w:tcPr>
            <w:tcW w:type="dxa" w:w="2862"/>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Incident response</w:t>
            </w:r>
          </w:p>
        </w:tc>
        <w:tc>
          <w:tcPr>
            <w:tcW w:type="dxa" w:w="991"/>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I</w:t>
            </w:r>
          </w:p>
        </w:tc>
        <w:tc>
          <w:tcPr>
            <w:tcW w:type="dxa" w:w="991"/>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w:t>
            </w:r>
          </w:p>
        </w:tc>
        <w:tc>
          <w:tcPr>
            <w:tcW w:type="dxa" w:w="826"/>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C</w:t>
            </w:r>
          </w:p>
        </w:tc>
        <w:tc>
          <w:tcPr>
            <w:tcW w:type="dxa" w:w="826"/>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R</w:t>
            </w:r>
          </w:p>
        </w:tc>
        <w:tc>
          <w:tcPr>
            <w:tcW w:type="dxa" w:w="1046"/>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C</w:t>
            </w:r>
          </w:p>
        </w:tc>
        <w:tc>
          <w:tcPr>
            <w:tcW w:type="dxa" w:w="66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w:t>
            </w:r>
          </w:p>
        </w:tc>
        <w:tc>
          <w:tcPr>
            <w:tcW w:type="dxa" w:w="824"/>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I</w:t>
            </w:r>
          </w:p>
        </w:tc>
      </w:tr>
      <w:tr>
        <w:tc>
          <w:tcPr>
            <w:tcW w:type="dxa" w:w="2862"/>
            <w:tcMar>
              <w:top w:type="dxa" w:w="70"/>
              <w:left w:type="dxa" w:w="110"/>
              <w:bottom w:type="dxa" w:w="70"/>
              <w:right w:type="dxa" w:w="110"/>
            </w:tcMar>
          </w:tcPr>
          <w:p>
            <w:pPr>
              <w:spacing w:after="0" w:line="260"/>
            </w:pPr>
            <w:r>
              <w:rPr>
                <w:b w:val="false"/>
                <w:bCs w:val="false"/>
                <w:color w:val="202A32"/>
                <w:sz w:val="19"/>
                <w:szCs w:val="19"/>
              </w:rPr>
              <w:t xml:space="preserve">User support and training</w:t>
            </w:r>
          </w:p>
        </w:tc>
        <w:tc>
          <w:tcPr>
            <w:tcW w:type="dxa" w:w="991"/>
            <w:tcMar>
              <w:top w:type="dxa" w:w="70"/>
              <w:left w:type="dxa" w:w="110"/>
              <w:bottom w:type="dxa" w:w="70"/>
              <w:right w:type="dxa" w:w="110"/>
            </w:tcMar>
          </w:tcPr>
          <w:p>
            <w:pPr>
              <w:spacing w:after="0" w:line="260"/>
            </w:pPr>
            <w:r>
              <w:rPr>
                <w:b w:val="false"/>
                <w:bCs w:val="false"/>
                <w:color w:val="202A32"/>
                <w:sz w:val="19"/>
                <w:szCs w:val="19"/>
              </w:rPr>
              <w:t xml:space="preserve">A</w:t>
            </w:r>
          </w:p>
        </w:tc>
        <w:tc>
          <w:tcPr>
            <w:tcW w:type="dxa" w:w="991"/>
            <w:tcMar>
              <w:top w:type="dxa" w:w="70"/>
              <w:left w:type="dxa" w:w="110"/>
              <w:bottom w:type="dxa" w:w="70"/>
              <w:right w:type="dxa" w:w="110"/>
            </w:tcMar>
          </w:tcPr>
          <w:p>
            <w:pPr>
              <w:spacing w:after="0" w:line="260"/>
            </w:pPr>
            <w:r>
              <w:rPr>
                <w:b w:val="false"/>
                <w:bCs w:val="false"/>
                <w:color w:val="202A32"/>
                <w:sz w:val="19"/>
                <w:szCs w:val="19"/>
              </w:rPr>
              <w:t xml:space="preserve">R</w:t>
            </w:r>
          </w:p>
        </w:tc>
        <w:tc>
          <w:tcPr>
            <w:tcW w:type="dxa" w:w="826"/>
            <w:tcMar>
              <w:top w:type="dxa" w:w="70"/>
              <w:left w:type="dxa" w:w="110"/>
              <w:bottom w:type="dxa" w:w="70"/>
              <w:right w:type="dxa" w:w="110"/>
            </w:tcMar>
          </w:tcPr>
          <w:p>
            <w:pPr>
              <w:spacing w:after="0" w:line="260"/>
            </w:pPr>
            <w:r>
              <w:rPr>
                <w:b w:val="false"/>
                <w:bCs w:val="false"/>
                <w:color w:val="202A32"/>
                <w:sz w:val="19"/>
                <w:szCs w:val="19"/>
              </w:rPr>
              <w:t xml:space="preserve">-</w:t>
            </w:r>
          </w:p>
        </w:tc>
        <w:tc>
          <w:tcPr>
            <w:tcW w:type="dxa" w:w="826"/>
            <w:tcMar>
              <w:top w:type="dxa" w:w="70"/>
              <w:left w:type="dxa" w:w="110"/>
              <w:bottom w:type="dxa" w:w="70"/>
              <w:right w:type="dxa" w:w="110"/>
            </w:tcMar>
          </w:tcPr>
          <w:p>
            <w:pPr>
              <w:spacing w:after="0" w:line="260"/>
            </w:pPr>
            <w:r>
              <w:rPr>
                <w:b w:val="false"/>
                <w:bCs w:val="false"/>
                <w:color w:val="202A32"/>
                <w:sz w:val="19"/>
                <w:szCs w:val="19"/>
              </w:rPr>
              <w:t xml:space="preserve">C</w:t>
            </w:r>
          </w:p>
        </w:tc>
        <w:tc>
          <w:tcPr>
            <w:tcW w:type="dxa" w:w="1046"/>
            <w:tcMar>
              <w:top w:type="dxa" w:w="70"/>
              <w:left w:type="dxa" w:w="110"/>
              <w:bottom w:type="dxa" w:w="70"/>
              <w:right w:type="dxa" w:w="110"/>
            </w:tcMar>
          </w:tcPr>
          <w:p>
            <w:pPr>
              <w:spacing w:after="0" w:line="260"/>
            </w:pPr>
            <w:r>
              <w:rPr>
                <w:b w:val="false"/>
                <w:bCs w:val="false"/>
                <w:color w:val="202A32"/>
                <w:sz w:val="19"/>
                <w:szCs w:val="19"/>
              </w:rPr>
              <w:t xml:space="preserve">-</w:t>
            </w:r>
          </w:p>
        </w:tc>
        <w:tc>
          <w:tcPr>
            <w:tcW w:type="dxa" w:w="660"/>
            <w:tcMar>
              <w:top w:type="dxa" w:w="70"/>
              <w:left w:type="dxa" w:w="110"/>
              <w:bottom w:type="dxa" w:w="70"/>
              <w:right w:type="dxa" w:w="110"/>
            </w:tcMar>
          </w:tcPr>
          <w:p>
            <w:pPr>
              <w:spacing w:after="0" w:line="260"/>
            </w:pPr>
            <w:r>
              <w:rPr>
                <w:b w:val="false"/>
                <w:bCs w:val="false"/>
                <w:color w:val="202A32"/>
                <w:sz w:val="19"/>
                <w:szCs w:val="19"/>
              </w:rPr>
              <w:t xml:space="preserve">C</w:t>
            </w:r>
          </w:p>
        </w:tc>
        <w:tc>
          <w:tcPr>
            <w:tcW w:type="dxa" w:w="824"/>
            <w:tcMar>
              <w:top w:type="dxa" w:w="70"/>
              <w:left w:type="dxa" w:w="110"/>
              <w:bottom w:type="dxa" w:w="70"/>
              <w:right w:type="dxa" w:w="110"/>
            </w:tcMar>
          </w:tcPr>
          <w:p>
            <w:pPr>
              <w:spacing w:after="0" w:line="260"/>
            </w:pPr>
            <w:r>
              <w:rPr>
                <w:b w:val="false"/>
                <w:bCs w:val="false"/>
                <w:color w:val="202A32"/>
                <w:sz w:val="19"/>
                <w:szCs w:val="19"/>
              </w:rPr>
              <w:t xml:space="preserve">C</w:t>
            </w:r>
          </w:p>
        </w:tc>
      </w:tr>
      <w:tr>
        <w:tc>
          <w:tcPr>
            <w:tcW w:type="dxa" w:w="2862"/>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Documentation</w:t>
            </w:r>
          </w:p>
        </w:tc>
        <w:tc>
          <w:tcPr>
            <w:tcW w:type="dxa" w:w="991"/>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w:t>
            </w:r>
          </w:p>
        </w:tc>
        <w:tc>
          <w:tcPr>
            <w:tcW w:type="dxa" w:w="991"/>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w:t>
            </w:r>
          </w:p>
        </w:tc>
        <w:tc>
          <w:tcPr>
            <w:tcW w:type="dxa" w:w="826"/>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R</w:t>
            </w:r>
          </w:p>
        </w:tc>
        <w:tc>
          <w:tcPr>
            <w:tcW w:type="dxa" w:w="826"/>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R</w:t>
            </w:r>
          </w:p>
        </w:tc>
        <w:tc>
          <w:tcPr>
            <w:tcW w:type="dxa" w:w="1046"/>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C</w:t>
            </w:r>
          </w:p>
        </w:tc>
        <w:tc>
          <w:tcPr>
            <w:tcW w:type="dxa" w:w="66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C</w:t>
            </w:r>
          </w:p>
        </w:tc>
        <w:tc>
          <w:tcPr>
            <w:tcW w:type="dxa" w:w="824"/>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w:t>
            </w:r>
          </w:p>
        </w:tc>
      </w:tr>
      <w:tr>
        <w:tc>
          <w:tcPr>
            <w:tcW w:type="dxa" w:w="2862"/>
            <w:tcMar>
              <w:top w:type="dxa" w:w="70"/>
              <w:left w:type="dxa" w:w="110"/>
              <w:bottom w:type="dxa" w:w="70"/>
              <w:right w:type="dxa" w:w="110"/>
            </w:tcMar>
          </w:tcPr>
          <w:p>
            <w:pPr>
              <w:spacing w:after="0" w:line="260"/>
            </w:pPr>
            <w:r>
              <w:rPr>
                <w:b w:val="false"/>
                <w:bCs w:val="false"/>
                <w:color w:val="202A32"/>
                <w:sz w:val="19"/>
                <w:szCs w:val="19"/>
              </w:rPr>
              <w:t xml:space="preserve">Decommission</w:t>
            </w:r>
          </w:p>
        </w:tc>
        <w:tc>
          <w:tcPr>
            <w:tcW w:type="dxa" w:w="991"/>
            <w:tcMar>
              <w:top w:type="dxa" w:w="70"/>
              <w:left w:type="dxa" w:w="110"/>
              <w:bottom w:type="dxa" w:w="70"/>
              <w:right w:type="dxa" w:w="110"/>
            </w:tcMar>
          </w:tcPr>
          <w:p>
            <w:pPr>
              <w:spacing w:after="0" w:line="260"/>
            </w:pPr>
            <w:r>
              <w:rPr>
                <w:b w:val="false"/>
                <w:bCs w:val="false"/>
                <w:color w:val="202A32"/>
                <w:sz w:val="19"/>
                <w:szCs w:val="19"/>
              </w:rPr>
              <w:t xml:space="preserve">A</w:t>
            </w:r>
          </w:p>
        </w:tc>
        <w:tc>
          <w:tcPr>
            <w:tcW w:type="dxa" w:w="991"/>
            <w:tcMar>
              <w:top w:type="dxa" w:w="70"/>
              <w:left w:type="dxa" w:w="110"/>
              <w:bottom w:type="dxa" w:w="70"/>
              <w:right w:type="dxa" w:w="110"/>
            </w:tcMar>
          </w:tcPr>
          <w:p>
            <w:pPr>
              <w:spacing w:after="0" w:line="260"/>
            </w:pPr>
            <w:r>
              <w:rPr>
                <w:b w:val="false"/>
                <w:bCs w:val="false"/>
                <w:color w:val="202A32"/>
                <w:sz w:val="19"/>
                <w:szCs w:val="19"/>
              </w:rPr>
              <w:t xml:space="preserve">R</w:t>
            </w:r>
          </w:p>
        </w:tc>
        <w:tc>
          <w:tcPr>
            <w:tcW w:type="dxa" w:w="826"/>
            <w:tcMar>
              <w:top w:type="dxa" w:w="70"/>
              <w:left w:type="dxa" w:w="110"/>
              <w:bottom w:type="dxa" w:w="70"/>
              <w:right w:type="dxa" w:w="110"/>
            </w:tcMar>
          </w:tcPr>
          <w:p>
            <w:pPr>
              <w:spacing w:after="0" w:line="260"/>
            </w:pPr>
            <w:r>
              <w:rPr>
                <w:b w:val="false"/>
                <w:bCs w:val="false"/>
                <w:color w:val="202A32"/>
                <w:sz w:val="19"/>
                <w:szCs w:val="19"/>
              </w:rPr>
              <w:t xml:space="preserve">C</w:t>
            </w:r>
          </w:p>
        </w:tc>
        <w:tc>
          <w:tcPr>
            <w:tcW w:type="dxa" w:w="826"/>
            <w:tcMar>
              <w:top w:type="dxa" w:w="70"/>
              <w:left w:type="dxa" w:w="110"/>
              <w:bottom w:type="dxa" w:w="70"/>
              <w:right w:type="dxa" w:w="110"/>
            </w:tcMar>
          </w:tcPr>
          <w:p>
            <w:pPr>
              <w:spacing w:after="0" w:line="260"/>
            </w:pPr>
            <w:r>
              <w:rPr>
                <w:b w:val="false"/>
                <w:bCs w:val="false"/>
                <w:color w:val="202A32"/>
                <w:sz w:val="19"/>
                <w:szCs w:val="19"/>
              </w:rPr>
              <w:t xml:space="preserve">C</w:t>
            </w:r>
          </w:p>
        </w:tc>
        <w:tc>
          <w:tcPr>
            <w:tcW w:type="dxa" w:w="1046"/>
            <w:tcMar>
              <w:top w:type="dxa" w:w="70"/>
              <w:left w:type="dxa" w:w="110"/>
              <w:bottom w:type="dxa" w:w="70"/>
              <w:right w:type="dxa" w:w="110"/>
            </w:tcMar>
          </w:tcPr>
          <w:p>
            <w:pPr>
              <w:spacing w:after="0" w:line="260"/>
            </w:pPr>
            <w:r>
              <w:rPr>
                <w:b w:val="false"/>
                <w:bCs w:val="false"/>
                <w:color w:val="202A32"/>
                <w:sz w:val="19"/>
                <w:szCs w:val="19"/>
              </w:rPr>
              <w:t xml:space="preserve">C</w:t>
            </w:r>
          </w:p>
        </w:tc>
        <w:tc>
          <w:tcPr>
            <w:tcW w:type="dxa" w:w="660"/>
            <w:tcMar>
              <w:top w:type="dxa" w:w="70"/>
              <w:left w:type="dxa" w:w="110"/>
              <w:bottom w:type="dxa" w:w="70"/>
              <w:right w:type="dxa" w:w="110"/>
            </w:tcMar>
          </w:tcPr>
          <w:p>
            <w:pPr>
              <w:spacing w:after="0" w:line="260"/>
            </w:pPr>
            <w:r>
              <w:rPr>
                <w:b w:val="false"/>
                <w:bCs w:val="false"/>
                <w:color w:val="202A32"/>
                <w:sz w:val="19"/>
                <w:szCs w:val="19"/>
              </w:rPr>
              <w:t xml:space="preserve">I</w:t>
            </w:r>
          </w:p>
        </w:tc>
        <w:tc>
          <w:tcPr>
            <w:tcW w:type="dxa" w:w="824"/>
            <w:tcMar>
              <w:top w:type="dxa" w:w="70"/>
              <w:left w:type="dxa" w:w="110"/>
              <w:bottom w:type="dxa" w:w="70"/>
              <w:right w:type="dxa" w:w="110"/>
            </w:tcMar>
          </w:tcPr>
          <w:p>
            <w:pPr>
              <w:spacing w:after="0" w:line="260"/>
            </w:pPr>
            <w:r>
              <w:rPr>
                <w:b w:val="false"/>
                <w:bCs w:val="false"/>
                <w:color w:val="202A32"/>
                <w:sz w:val="19"/>
                <w:szCs w:val="19"/>
              </w:rPr>
              <w:t xml:space="preserve">I</w:t>
            </w:r>
          </w:p>
        </w:tc>
      </w:tr>
    </w:tbl>
    <w:p>
      <w:pPr>
        <w:spacing w:after="160"/>
      </w:pPr>
    </w:p>
    <w:p>
      <w:pPr>
        <w:pStyle w:val="Heading2"/>
        <w:spacing w:after="120" w:before="260"/>
      </w:pPr>
      <w:r>
        <w:rPr>
          <w:b/>
          <w:bCs/>
          <w:color w:val="243742"/>
          <w:sz w:val="24"/>
          <w:szCs w:val="24"/>
        </w:rPr>
        <w:t xml:space="preserve">4.3 Artefact ownership</w:t>
      </w:r>
    </w:p>
    <w:p>
      <w:pPr>
        <w:spacing w:after="140" w:line="280"/>
      </w:pPr>
      <w:r>
        <w:rPr>
          <w:sz w:val="21"/>
          <w:szCs w:val="21"/>
        </w:rPr>
        <w:t xml:space="preserve">Each artefact has one named owner and one named backup.</w:t>
      </w: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4166"/>
        <w:gridCol w:w="2430"/>
        <w:gridCol w:w="2430"/>
      </w:tblGrid>
      <w:tr>
        <w:trPr>
          <w:tblHeader/>
        </w:trPr>
        <w:tc>
          <w:tcPr>
            <w:tcW w:type="dxa" w:w="4166"/>
            <w:shd w:fill="1F4E5F" w:color="auto" w:val="clear"/>
            <w:tcMar>
              <w:top w:type="dxa" w:w="70"/>
              <w:left w:type="dxa" w:w="110"/>
              <w:bottom w:type="dxa" w:w="70"/>
              <w:right w:type="dxa" w:w="110"/>
            </w:tcMar>
          </w:tcPr>
          <w:p>
            <w:pPr>
              <w:spacing w:after="0" w:line="260"/>
            </w:pPr>
            <w:r>
              <w:rPr>
                <w:b/>
                <w:bCs/>
                <w:color w:val="FFFFFF"/>
                <w:sz w:val="19"/>
                <w:szCs w:val="19"/>
              </w:rPr>
              <w:t xml:space="preserve">Artefact</w:t>
            </w:r>
          </w:p>
        </w:tc>
        <w:tc>
          <w:tcPr>
            <w:tcW w:type="dxa" w:w="2430"/>
            <w:shd w:fill="1F4E5F" w:color="auto" w:val="clear"/>
            <w:tcMar>
              <w:top w:type="dxa" w:w="70"/>
              <w:left w:type="dxa" w:w="110"/>
              <w:bottom w:type="dxa" w:w="70"/>
              <w:right w:type="dxa" w:w="110"/>
            </w:tcMar>
          </w:tcPr>
          <w:p>
            <w:pPr>
              <w:spacing w:after="0" w:line="260"/>
            </w:pPr>
            <w:r>
              <w:rPr>
                <w:b/>
                <w:bCs/>
                <w:color w:val="FFFFFF"/>
                <w:sz w:val="19"/>
                <w:szCs w:val="19"/>
              </w:rPr>
              <w:t xml:space="preserve">Owner role</w:t>
            </w:r>
          </w:p>
        </w:tc>
        <w:tc>
          <w:tcPr>
            <w:tcW w:type="dxa" w:w="2430"/>
            <w:shd w:fill="1F4E5F" w:color="auto" w:val="clear"/>
            <w:tcMar>
              <w:top w:type="dxa" w:w="70"/>
              <w:left w:type="dxa" w:w="110"/>
              <w:bottom w:type="dxa" w:w="70"/>
              <w:right w:type="dxa" w:w="110"/>
            </w:tcMar>
          </w:tcPr>
          <w:p>
            <w:pPr>
              <w:spacing w:after="0" w:line="260"/>
            </w:pPr>
            <w:r>
              <w:rPr>
                <w:b/>
                <w:bCs/>
                <w:color w:val="FFFFFF"/>
                <w:sz w:val="19"/>
                <w:szCs w:val="19"/>
              </w:rPr>
              <w:t xml:space="preserve">Backup role</w:t>
            </w:r>
          </w:p>
        </w:tc>
      </w:tr>
      <w:tr>
        <w:tc>
          <w:tcPr>
            <w:tcW w:type="dxa" w:w="4166"/>
            <w:tcMar>
              <w:top w:type="dxa" w:w="70"/>
              <w:left w:type="dxa" w:w="110"/>
              <w:bottom w:type="dxa" w:w="70"/>
              <w:right w:type="dxa" w:w="110"/>
            </w:tcMar>
          </w:tcPr>
          <w:p>
            <w:pPr>
              <w:spacing w:after="0" w:line="260"/>
            </w:pPr>
            <w:r>
              <w:rPr>
                <w:b w:val="false"/>
                <w:bCs w:val="false"/>
                <w:color w:val="202A32"/>
                <w:sz w:val="19"/>
                <w:szCs w:val="19"/>
              </w:rPr>
              <w:t xml:space="preserve">Maximo ingested tables</w:t>
            </w:r>
          </w:p>
        </w:tc>
        <w:tc>
          <w:tcPr>
            <w:tcW w:type="dxa" w:w="2430"/>
            <w:tcMar>
              <w:top w:type="dxa" w:w="70"/>
              <w:left w:type="dxa" w:w="110"/>
              <w:bottom w:type="dxa" w:w="70"/>
              <w:right w:type="dxa" w:w="110"/>
            </w:tcMar>
          </w:tcPr>
          <w:p>
            <w:pPr>
              <w:spacing w:after="0" w:line="260"/>
            </w:pPr>
            <w:r>
              <w:rPr>
                <w:b w:val="false"/>
                <w:bCs w:val="false"/>
                <w:color w:val="202A32"/>
                <w:sz w:val="19"/>
                <w:szCs w:val="19"/>
              </w:rPr>
              <w:t xml:space="preserve">Data engineer</w:t>
            </w:r>
          </w:p>
        </w:tc>
        <w:tc>
          <w:tcPr>
            <w:tcW w:type="dxa" w:w="2430"/>
            <w:tcMar>
              <w:top w:type="dxa" w:w="70"/>
              <w:left w:type="dxa" w:w="110"/>
              <w:bottom w:type="dxa" w:w="70"/>
              <w:right w:type="dxa" w:w="110"/>
            </w:tcMar>
          </w:tcPr>
          <w:p>
            <w:pPr>
              <w:spacing w:after="0" w:line="260"/>
            </w:pPr>
            <w:r>
              <w:rPr>
                <w:b w:val="false"/>
                <w:bCs w:val="false"/>
                <w:color w:val="202A32"/>
                <w:sz w:val="19"/>
                <w:szCs w:val="19"/>
              </w:rPr>
              <w:t xml:space="preserve">Platform administrator</w:t>
            </w:r>
          </w:p>
        </w:tc>
      </w:tr>
      <w:tr>
        <w:tc>
          <w:tcPr>
            <w:tcW w:type="dxa" w:w="4166"/>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Comparison engine and flag logic</w:t>
            </w:r>
          </w:p>
        </w:tc>
        <w:tc>
          <w:tcPr>
            <w:tcW w:type="dxa" w:w="243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Application engineer</w:t>
            </w:r>
          </w:p>
        </w:tc>
        <w:tc>
          <w:tcPr>
            <w:tcW w:type="dxa" w:w="243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Product owner</w:t>
            </w:r>
          </w:p>
        </w:tc>
      </w:tr>
      <w:tr>
        <w:tc>
          <w:tcPr>
            <w:tcW w:type="dxa" w:w="4166"/>
            <w:tcMar>
              <w:top w:type="dxa" w:w="70"/>
              <w:left w:type="dxa" w:w="110"/>
              <w:bottom w:type="dxa" w:w="70"/>
              <w:right w:type="dxa" w:w="110"/>
            </w:tcMar>
          </w:tcPr>
          <w:p>
            <w:pPr>
              <w:spacing w:after="0" w:line="260"/>
            </w:pPr>
            <w:r>
              <w:rPr>
                <w:b w:val="false"/>
                <w:bCs w:val="false"/>
                <w:color w:val="202A32"/>
                <w:sz w:val="19"/>
                <w:szCs w:val="19"/>
              </w:rPr>
              <w:t xml:space="preserve">Flag thresholds and their values</w:t>
            </w:r>
          </w:p>
        </w:tc>
        <w:tc>
          <w:tcPr>
            <w:tcW w:type="dxa" w:w="2430"/>
            <w:tcMar>
              <w:top w:type="dxa" w:w="70"/>
              <w:left w:type="dxa" w:w="110"/>
              <w:bottom w:type="dxa" w:w="70"/>
              <w:right w:type="dxa" w:w="110"/>
            </w:tcMar>
          </w:tcPr>
          <w:p>
            <w:pPr>
              <w:spacing w:after="0" w:line="260"/>
            </w:pPr>
            <w:r>
              <w:rPr>
                <w:b w:val="false"/>
                <w:bCs w:val="false"/>
                <w:color w:val="202A32"/>
                <w:sz w:val="19"/>
                <w:szCs w:val="19"/>
              </w:rPr>
              <w:t xml:space="preserve">Application engineer</w:t>
            </w:r>
          </w:p>
        </w:tc>
        <w:tc>
          <w:tcPr>
            <w:tcW w:type="dxa" w:w="2430"/>
            <w:tcMar>
              <w:top w:type="dxa" w:w="70"/>
              <w:left w:type="dxa" w:w="110"/>
              <w:bottom w:type="dxa" w:w="70"/>
              <w:right w:type="dxa" w:w="110"/>
            </w:tcMar>
          </w:tcPr>
          <w:p>
            <w:pPr>
              <w:spacing w:after="0" w:line="260"/>
            </w:pPr>
            <w:r>
              <w:rPr>
                <w:b w:val="false"/>
                <w:bCs w:val="false"/>
                <w:color w:val="202A32"/>
                <w:sz w:val="19"/>
                <w:szCs w:val="19"/>
              </w:rPr>
              <w:t xml:space="preserve">Procurement SME</w:t>
            </w:r>
          </w:p>
        </w:tc>
      </w:tr>
      <w:tr>
        <w:tc>
          <w:tcPr>
            <w:tcW w:type="dxa" w:w="4166"/>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Excel extraction parser</w:t>
            </w:r>
          </w:p>
        </w:tc>
        <w:tc>
          <w:tcPr>
            <w:tcW w:type="dxa" w:w="243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Application engineer</w:t>
            </w:r>
          </w:p>
        </w:tc>
        <w:tc>
          <w:tcPr>
            <w:tcW w:type="dxa" w:w="243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Product owner</w:t>
            </w:r>
          </w:p>
        </w:tc>
      </w:tr>
      <w:tr>
        <w:tc>
          <w:tcPr>
            <w:tcW w:type="dxa" w:w="4166"/>
            <w:tcMar>
              <w:top w:type="dxa" w:w="70"/>
              <w:left w:type="dxa" w:w="110"/>
              <w:bottom w:type="dxa" w:w="70"/>
              <w:right w:type="dxa" w:w="110"/>
            </w:tcMar>
          </w:tcPr>
          <w:p>
            <w:pPr>
              <w:spacing w:after="0" w:line="260"/>
            </w:pPr>
            <w:r>
              <w:rPr>
                <w:b w:val="false"/>
                <w:bCs w:val="false"/>
                <w:color w:val="202A32"/>
                <w:sz w:val="19"/>
                <w:szCs w:val="19"/>
              </w:rPr>
              <w:t xml:space="preserve">Application backend and frontend</w:t>
            </w:r>
          </w:p>
        </w:tc>
        <w:tc>
          <w:tcPr>
            <w:tcW w:type="dxa" w:w="2430"/>
            <w:tcMar>
              <w:top w:type="dxa" w:w="70"/>
              <w:left w:type="dxa" w:w="110"/>
              <w:bottom w:type="dxa" w:w="70"/>
              <w:right w:type="dxa" w:w="110"/>
            </w:tcMar>
          </w:tcPr>
          <w:p>
            <w:pPr>
              <w:spacing w:after="0" w:line="260"/>
            </w:pPr>
            <w:r>
              <w:rPr>
                <w:b w:val="false"/>
                <w:bCs w:val="false"/>
                <w:color w:val="202A32"/>
                <w:sz w:val="19"/>
                <w:szCs w:val="19"/>
              </w:rPr>
              <w:t xml:space="preserve">Application engineer</w:t>
            </w:r>
          </w:p>
        </w:tc>
        <w:tc>
          <w:tcPr>
            <w:tcW w:type="dxa" w:w="2430"/>
            <w:tcMar>
              <w:top w:type="dxa" w:w="70"/>
              <w:left w:type="dxa" w:w="110"/>
              <w:bottom w:type="dxa" w:w="70"/>
              <w:right w:type="dxa" w:w="110"/>
            </w:tcMar>
          </w:tcPr>
          <w:p>
            <w:pPr>
              <w:spacing w:after="0" w:line="260"/>
            </w:pPr>
            <w:r>
              <w:rPr>
                <w:b w:val="false"/>
                <w:bCs w:val="false"/>
                <w:color w:val="202A32"/>
                <w:sz w:val="19"/>
                <w:szCs w:val="19"/>
              </w:rPr>
              <w:t xml:space="preserve">Product owner</w:t>
            </w:r>
          </w:p>
        </w:tc>
      </w:tr>
      <w:tr>
        <w:tc>
          <w:tcPr>
            <w:tcW w:type="dxa" w:w="4166"/>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Deployment pipeline and configuration</w:t>
            </w:r>
          </w:p>
        </w:tc>
        <w:tc>
          <w:tcPr>
            <w:tcW w:type="dxa" w:w="243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Application engineer</w:t>
            </w:r>
          </w:p>
        </w:tc>
        <w:tc>
          <w:tcPr>
            <w:tcW w:type="dxa" w:w="243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Platform administrator</w:t>
            </w:r>
          </w:p>
        </w:tc>
      </w:tr>
      <w:tr>
        <w:tc>
          <w:tcPr>
            <w:tcW w:type="dxa" w:w="4166"/>
            <w:tcMar>
              <w:top w:type="dxa" w:w="70"/>
              <w:left w:type="dxa" w:w="110"/>
              <w:bottom w:type="dxa" w:w="70"/>
              <w:right w:type="dxa" w:w="110"/>
            </w:tcMar>
          </w:tcPr>
          <w:p>
            <w:pPr>
              <w:spacing w:after="0" w:line="260"/>
            </w:pPr>
            <w:r>
              <w:rPr>
                <w:b w:val="false"/>
                <w:bCs w:val="false"/>
                <w:color w:val="202A32"/>
                <w:sz w:val="19"/>
                <w:szCs w:val="19"/>
              </w:rPr>
              <w:t xml:space="preserve">Catalog grants and service principal</w:t>
            </w:r>
          </w:p>
        </w:tc>
        <w:tc>
          <w:tcPr>
            <w:tcW w:type="dxa" w:w="2430"/>
            <w:tcMar>
              <w:top w:type="dxa" w:w="70"/>
              <w:left w:type="dxa" w:w="110"/>
              <w:bottom w:type="dxa" w:w="70"/>
              <w:right w:type="dxa" w:w="110"/>
            </w:tcMar>
          </w:tcPr>
          <w:p>
            <w:pPr>
              <w:spacing w:after="0" w:line="260"/>
            </w:pPr>
            <w:r>
              <w:rPr>
                <w:b w:val="false"/>
                <w:bCs w:val="false"/>
                <w:color w:val="202A32"/>
                <w:sz w:val="19"/>
                <w:szCs w:val="19"/>
              </w:rPr>
              <w:t xml:space="preserve">Platform administrator</w:t>
            </w:r>
          </w:p>
        </w:tc>
        <w:tc>
          <w:tcPr>
            <w:tcW w:type="dxa" w:w="2430"/>
            <w:tcMar>
              <w:top w:type="dxa" w:w="70"/>
              <w:left w:type="dxa" w:w="110"/>
              <w:bottom w:type="dxa" w:w="70"/>
              <w:right w:type="dxa" w:w="110"/>
            </w:tcMar>
          </w:tcPr>
          <w:p>
            <w:pPr>
              <w:spacing w:after="0" w:line="260"/>
            </w:pPr>
            <w:r>
              <w:rPr>
                <w:b w:val="false"/>
                <w:bCs w:val="false"/>
                <w:color w:val="202A32"/>
                <w:sz w:val="19"/>
                <w:szCs w:val="19"/>
              </w:rPr>
              <w:t xml:space="preserve">Application engineer</w:t>
            </w:r>
          </w:p>
        </w:tc>
      </w:tr>
      <w:tr>
        <w:tc>
          <w:tcPr>
            <w:tcW w:type="dxa" w:w="4166"/>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AI prompts and guardrails</w:t>
            </w:r>
          </w:p>
        </w:tc>
        <w:tc>
          <w:tcPr>
            <w:tcW w:type="dxa" w:w="243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Application engineer</w:t>
            </w:r>
          </w:p>
        </w:tc>
        <w:tc>
          <w:tcPr>
            <w:tcW w:type="dxa" w:w="243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Product owner</w:t>
            </w:r>
          </w:p>
        </w:tc>
      </w:tr>
      <w:tr>
        <w:tc>
          <w:tcPr>
            <w:tcW w:type="dxa" w:w="4166"/>
            <w:tcMar>
              <w:top w:type="dxa" w:w="70"/>
              <w:left w:type="dxa" w:w="110"/>
              <w:bottom w:type="dxa" w:w="70"/>
              <w:right w:type="dxa" w:w="110"/>
            </w:tcMar>
          </w:tcPr>
          <w:p>
            <w:pPr>
              <w:spacing w:after="0" w:line="260"/>
            </w:pPr>
            <w:r>
              <w:rPr>
                <w:b w:val="false"/>
                <w:bCs w:val="false"/>
                <w:color w:val="202A32"/>
                <w:sz w:val="19"/>
                <w:szCs w:val="19"/>
              </w:rPr>
              <w:t xml:space="preserve">Documentation under technical-documentation/</w:t>
            </w:r>
          </w:p>
        </w:tc>
        <w:tc>
          <w:tcPr>
            <w:tcW w:type="dxa" w:w="2430"/>
            <w:tcMar>
              <w:top w:type="dxa" w:w="70"/>
              <w:left w:type="dxa" w:w="110"/>
              <w:bottom w:type="dxa" w:w="70"/>
              <w:right w:type="dxa" w:w="110"/>
            </w:tcMar>
          </w:tcPr>
          <w:p>
            <w:pPr>
              <w:spacing w:after="0" w:line="260"/>
            </w:pPr>
            <w:r>
              <w:rPr>
                <w:b w:val="false"/>
                <w:bCs w:val="false"/>
                <w:color w:val="202A32"/>
                <w:sz w:val="19"/>
                <w:szCs w:val="19"/>
              </w:rPr>
              <w:t xml:space="preserve">The person making the change</w:t>
            </w:r>
          </w:p>
        </w:tc>
        <w:tc>
          <w:tcPr>
            <w:tcW w:type="dxa" w:w="2430"/>
            <w:tcMar>
              <w:top w:type="dxa" w:w="70"/>
              <w:left w:type="dxa" w:w="110"/>
              <w:bottom w:type="dxa" w:w="70"/>
              <w:right w:type="dxa" w:w="110"/>
            </w:tcMar>
          </w:tcPr>
          <w:p>
            <w:pPr>
              <w:spacing w:after="0" w:line="260"/>
            </w:pPr>
            <w:r>
              <w:rPr>
                <w:b w:val="false"/>
                <w:bCs w:val="false"/>
                <w:color w:val="202A32"/>
                <w:sz w:val="19"/>
                <w:szCs w:val="19"/>
              </w:rPr>
              <w:t xml:space="preserve">Product owner</w:t>
            </w:r>
          </w:p>
        </w:tc>
      </w:tr>
      <w:tr>
        <w:tc>
          <w:tcPr>
            <w:tcW w:type="dxa" w:w="4166"/>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User manual</w:t>
            </w:r>
          </w:p>
        </w:tc>
        <w:tc>
          <w:tcPr>
            <w:tcW w:type="dxa" w:w="243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Product owner</w:t>
            </w:r>
          </w:p>
        </w:tc>
        <w:tc>
          <w:tcPr>
            <w:tcW w:type="dxa" w:w="243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Application engineer</w:t>
            </w:r>
          </w:p>
        </w:tc>
      </w:tr>
      <w:tr>
        <w:tc>
          <w:tcPr>
            <w:tcW w:type="dxa" w:w="4166"/>
            <w:tcMar>
              <w:top w:type="dxa" w:w="70"/>
              <w:left w:type="dxa" w:w="110"/>
              <w:bottom w:type="dxa" w:w="70"/>
              <w:right w:type="dxa" w:w="110"/>
            </w:tcMar>
          </w:tcPr>
          <w:p>
            <w:pPr>
              <w:spacing w:after="0" w:line="260"/>
            </w:pPr>
            <w:r>
              <w:rPr>
                <w:b w:val="false"/>
                <w:bCs w:val="false"/>
                <w:color w:val="202A32"/>
                <w:sz w:val="19"/>
                <w:szCs w:val="19"/>
              </w:rPr>
              <w:t xml:space="preserve">This playbook</w:t>
            </w:r>
          </w:p>
        </w:tc>
        <w:tc>
          <w:tcPr>
            <w:tcW w:type="dxa" w:w="2430"/>
            <w:tcMar>
              <w:top w:type="dxa" w:w="70"/>
              <w:left w:type="dxa" w:w="110"/>
              <w:bottom w:type="dxa" w:w="70"/>
              <w:right w:type="dxa" w:w="110"/>
            </w:tcMar>
          </w:tcPr>
          <w:p>
            <w:pPr>
              <w:spacing w:after="0" w:line="260"/>
            </w:pPr>
            <w:r>
              <w:rPr>
                <w:b w:val="false"/>
                <w:bCs w:val="false"/>
                <w:color w:val="202A32"/>
                <w:sz w:val="19"/>
                <w:szCs w:val="19"/>
              </w:rPr>
              <w:t xml:space="preserve">Product owner</w:t>
            </w:r>
          </w:p>
        </w:tc>
        <w:tc>
          <w:tcPr>
            <w:tcW w:type="dxa" w:w="2430"/>
            <w:tcMar>
              <w:top w:type="dxa" w:w="70"/>
              <w:left w:type="dxa" w:w="110"/>
              <w:bottom w:type="dxa" w:w="70"/>
              <w:right w:type="dxa" w:w="110"/>
            </w:tcMar>
          </w:tcPr>
          <w:p>
            <w:pPr>
              <w:spacing w:after="0" w:line="260"/>
            </w:pPr>
            <w:r>
              <w:rPr>
                <w:b w:val="false"/>
                <w:bCs w:val="false"/>
                <w:color w:val="202A32"/>
                <w:sz w:val="19"/>
                <w:szCs w:val="19"/>
              </w:rPr>
              <w:t xml:space="preserve">Business owner</w:t>
            </w:r>
          </w:p>
        </w:tc>
      </w:tr>
    </w:tbl>
    <w:p>
      <w:pPr>
        <w:spacing w:after="160"/>
      </w:pPr>
    </w:p>
    <w:p>
      <w:pPr>
        <w:pStyle w:val="Heading2"/>
        <w:spacing w:after="120" w:before="260"/>
      </w:pPr>
      <w:r>
        <w:rPr>
          <w:b/>
          <w:bCs/>
          <w:color w:val="243742"/>
          <w:sz w:val="24"/>
          <w:szCs w:val="24"/>
        </w:rPr>
        <w:t xml:space="preserve">4.4 Access required</w:t>
      </w: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2729"/>
        <w:gridCol w:w="6297"/>
      </w:tblGrid>
      <w:tr>
        <w:trPr>
          <w:tblHeader/>
        </w:trPr>
        <w:tc>
          <w:tcPr>
            <w:tcW w:type="dxa" w:w="2729"/>
            <w:shd w:fill="1F4E5F" w:color="auto" w:val="clear"/>
            <w:tcMar>
              <w:top w:type="dxa" w:w="70"/>
              <w:left w:type="dxa" w:w="110"/>
              <w:bottom w:type="dxa" w:w="70"/>
              <w:right w:type="dxa" w:w="110"/>
            </w:tcMar>
          </w:tcPr>
          <w:p>
            <w:pPr>
              <w:spacing w:after="0" w:line="260"/>
            </w:pPr>
            <w:r>
              <w:rPr>
                <w:b/>
                <w:bCs/>
                <w:color w:val="FFFFFF"/>
                <w:sz w:val="19"/>
                <w:szCs w:val="19"/>
              </w:rPr>
              <w:t xml:space="preserve">Role or identity</w:t>
            </w:r>
          </w:p>
        </w:tc>
        <w:tc>
          <w:tcPr>
            <w:tcW w:type="dxa" w:w="6297"/>
            <w:shd w:fill="1F4E5F" w:color="auto" w:val="clear"/>
            <w:tcMar>
              <w:top w:type="dxa" w:w="70"/>
              <w:left w:type="dxa" w:w="110"/>
              <w:bottom w:type="dxa" w:w="70"/>
              <w:right w:type="dxa" w:w="110"/>
            </w:tcMar>
          </w:tcPr>
          <w:p>
            <w:pPr>
              <w:spacing w:after="0" w:line="260"/>
            </w:pPr>
            <w:r>
              <w:rPr>
                <w:b/>
                <w:bCs/>
                <w:color w:val="FFFFFF"/>
                <w:sz w:val="19"/>
                <w:szCs w:val="19"/>
              </w:rPr>
              <w:t xml:space="preserve">Access</w:t>
            </w:r>
          </w:p>
        </w:tc>
      </w:tr>
      <w:tr>
        <w:tc>
          <w:tcPr>
            <w:tcW w:type="dxa" w:w="2729"/>
            <w:tcMar>
              <w:top w:type="dxa" w:w="70"/>
              <w:left w:type="dxa" w:w="110"/>
              <w:bottom w:type="dxa" w:w="70"/>
              <w:right w:type="dxa" w:w="110"/>
            </w:tcMar>
          </w:tcPr>
          <w:p>
            <w:pPr>
              <w:spacing w:after="0" w:line="260"/>
            </w:pPr>
            <w:r>
              <w:rPr>
                <w:b w:val="false"/>
                <w:bCs w:val="false"/>
                <w:color w:val="202A32"/>
                <w:sz w:val="19"/>
                <w:szCs w:val="19"/>
              </w:rPr>
              <w:t xml:space="preserve">Data engineer</w:t>
            </w:r>
          </w:p>
        </w:tc>
        <w:tc>
          <w:tcPr>
            <w:tcW w:type="dxa" w:w="6297"/>
            <w:tcMar>
              <w:top w:type="dxa" w:w="70"/>
              <w:left w:type="dxa" w:w="110"/>
              <w:bottom w:type="dxa" w:w="70"/>
              <w:right w:type="dxa" w:w="110"/>
            </w:tcMar>
          </w:tcPr>
          <w:p>
            <w:pPr>
              <w:spacing w:after="0" w:line="260"/>
            </w:pPr>
            <w:r>
              <w:rPr>
                <w:b w:val="false"/>
                <w:bCs w:val="false"/>
                <w:color w:val="202A32"/>
                <w:sz w:val="19"/>
                <w:szCs w:val="19"/>
              </w:rPr>
              <w:t xml:space="preserve">Workspace and compute. Read and write on the ingestion schema.</w:t>
            </w:r>
          </w:p>
        </w:tc>
      </w:tr>
      <w:tr>
        <w:tc>
          <w:tcPr>
            <w:tcW w:type="dxa" w:w="272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Application engineer</w:t>
            </w:r>
          </w:p>
        </w:tc>
        <w:tc>
          <w:tcPr>
            <w:tcW w:type="dxa" w:w="629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Repository access. Deploy permission on the application. Access to the warehouse.</w:t>
            </w:r>
          </w:p>
        </w:tc>
      </w:tr>
      <w:tr>
        <w:tc>
          <w:tcPr>
            <w:tcW w:type="dxa" w:w="2729"/>
            <w:tcMar>
              <w:top w:type="dxa" w:w="70"/>
              <w:left w:type="dxa" w:w="110"/>
              <w:bottom w:type="dxa" w:w="70"/>
              <w:right w:type="dxa" w:w="110"/>
            </w:tcMar>
          </w:tcPr>
          <w:p>
            <w:pPr>
              <w:spacing w:after="0" w:line="260"/>
            </w:pPr>
            <w:r>
              <w:rPr>
                <w:b w:val="false"/>
                <w:bCs w:val="false"/>
                <w:color w:val="202A32"/>
                <w:sz w:val="19"/>
                <w:szCs w:val="19"/>
              </w:rPr>
              <w:t xml:space="preserve">Application service principal</w:t>
            </w:r>
          </w:p>
        </w:tc>
        <w:tc>
          <w:tcPr>
            <w:tcW w:type="dxa" w:w="6297"/>
            <w:tcMar>
              <w:top w:type="dxa" w:w="70"/>
              <w:left w:type="dxa" w:w="110"/>
              <w:bottom w:type="dxa" w:w="70"/>
              <w:right w:type="dxa" w:w="110"/>
            </w:tcMar>
          </w:tcPr>
          <w:p>
            <w:pPr>
              <w:spacing w:after="0" w:line="260"/>
            </w:pPr>
            <w:r>
              <w:rPr>
                <w:b w:val="false"/>
                <w:bCs w:val="false"/>
                <w:color w:val="202A32"/>
                <w:sz w:val="19"/>
                <w:szCs w:val="19"/>
              </w:rPr>
              <w:t xml:space="preserve">Catalog and schema usage and read. Create table and insert on the application overlay tables. Can Query on the Model Serving endpoint.</w:t>
            </w:r>
          </w:p>
        </w:tc>
      </w:tr>
      <w:tr>
        <w:tc>
          <w:tcPr>
            <w:tcW w:type="dxa" w:w="272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Procurement analyst</w:t>
            </w:r>
          </w:p>
        </w:tc>
        <w:tc>
          <w:tcPr>
            <w:tcW w:type="dxa" w:w="629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The application URL, granted per user on the Databricks App resource.</w:t>
            </w:r>
          </w:p>
        </w:tc>
      </w:tr>
      <w:tr>
        <w:tc>
          <w:tcPr>
            <w:tcW w:type="dxa" w:w="2729"/>
            <w:tcMar>
              <w:top w:type="dxa" w:w="70"/>
              <w:left w:type="dxa" w:w="110"/>
              <w:bottom w:type="dxa" w:w="70"/>
              <w:right w:type="dxa" w:w="110"/>
            </w:tcMar>
          </w:tcPr>
          <w:p>
            <w:pPr>
              <w:spacing w:after="0" w:line="260"/>
            </w:pPr>
            <w:r>
              <w:rPr>
                <w:b w:val="false"/>
                <w:bCs w:val="false"/>
                <w:color w:val="202A32"/>
                <w:sz w:val="19"/>
                <w:szCs w:val="19"/>
              </w:rPr>
              <w:t xml:space="preserve">Platform administrator</w:t>
            </w:r>
          </w:p>
        </w:tc>
        <w:tc>
          <w:tcPr>
            <w:tcW w:type="dxa" w:w="6297"/>
            <w:tcMar>
              <w:top w:type="dxa" w:w="70"/>
              <w:left w:type="dxa" w:w="110"/>
              <w:bottom w:type="dxa" w:w="70"/>
              <w:right w:type="dxa" w:w="110"/>
            </w:tcMar>
          </w:tcPr>
          <w:p>
            <w:pPr>
              <w:spacing w:after="0" w:line="260"/>
            </w:pPr>
            <w:r>
              <w:rPr>
                <w:b w:val="false"/>
                <w:bCs w:val="false"/>
                <w:color w:val="202A32"/>
                <w:sz w:val="19"/>
                <w:szCs w:val="19"/>
              </w:rPr>
              <w:t xml:space="preserve">Authority to grant the above.</w:t>
            </w:r>
          </w:p>
        </w:tc>
      </w:tr>
    </w:tbl>
    <w:p>
      <w:pPr>
        <w:spacing w:after="160"/>
      </w:pPr>
    </w:p>
    <w:p>
      <w:pPr>
        <w:spacing w:after="140" w:line="280"/>
      </w:pPr>
      <w:r>
        <w:rPr>
          <w:sz w:val="21"/>
          <w:szCs w:val="21"/>
        </w:rPr>
        <w:t xml:space="preserve">The service principal currently holds usage, schema and read only. The create table and insert grants have not landed, so every feature that records an analyst's own input returns a clear error instead of saving. This is the single largest operational gap in the use case.</w:t>
      </w:r>
    </w:p>
    <w:p>
      <w:r>
        <w:br w:type="page"/>
      </w:r>
    </w:p>
    <w:p>
      <w:pPr>
        <w:pStyle w:val="Heading1"/>
        <w:spacing w:after="160" w:before="320"/>
      </w:pPr>
      <w:r>
        <w:rPr>
          <w:b/>
          <w:bCs/>
          <w:color w:val="1F4E5F"/>
          <w:sz w:val="30"/>
          <w:szCs w:val="30"/>
        </w:rPr>
        <w:t xml:space="preserve">5. Templates, scripts and checklists</w:t>
      </w:r>
    </w:p>
    <w:p>
      <w:pPr>
        <w:pStyle w:val="Heading2"/>
        <w:spacing w:after="120" w:before="260"/>
      </w:pPr>
      <w:r>
        <w:rPr>
          <w:b/>
          <w:bCs/>
          <w:color w:val="243742"/>
          <w:sz w:val="24"/>
          <w:szCs w:val="24"/>
        </w:rPr>
        <w:t xml:space="preserve">5.1 Commands</w:t>
      </w: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3009"/>
        <w:gridCol w:w="6017"/>
      </w:tblGrid>
      <w:tr>
        <w:trPr>
          <w:tblHeader/>
        </w:trPr>
        <w:tc>
          <w:tcPr>
            <w:tcW w:type="dxa" w:w="3009"/>
            <w:shd w:fill="1F4E5F" w:color="auto" w:val="clear"/>
            <w:tcMar>
              <w:top w:type="dxa" w:w="70"/>
              <w:left w:type="dxa" w:w="110"/>
              <w:bottom w:type="dxa" w:w="70"/>
              <w:right w:type="dxa" w:w="110"/>
            </w:tcMar>
          </w:tcPr>
          <w:p>
            <w:pPr>
              <w:spacing w:after="0" w:line="260"/>
            </w:pPr>
            <w:r>
              <w:rPr>
                <w:b/>
                <w:bCs/>
                <w:color w:val="FFFFFF"/>
                <w:sz w:val="19"/>
                <w:szCs w:val="19"/>
              </w:rPr>
              <w:t xml:space="preserve">Purpose</w:t>
            </w:r>
          </w:p>
        </w:tc>
        <w:tc>
          <w:tcPr>
            <w:tcW w:type="dxa" w:w="6017"/>
            <w:shd w:fill="1F4E5F" w:color="auto" w:val="clear"/>
            <w:tcMar>
              <w:top w:type="dxa" w:w="70"/>
              <w:left w:type="dxa" w:w="110"/>
              <w:bottom w:type="dxa" w:w="70"/>
              <w:right w:type="dxa" w:w="110"/>
            </w:tcMar>
          </w:tcPr>
          <w:p>
            <w:pPr>
              <w:spacing w:after="0" w:line="260"/>
            </w:pPr>
            <w:r>
              <w:rPr>
                <w:b/>
                <w:bCs/>
                <w:color w:val="FFFFFF"/>
                <w:sz w:val="19"/>
                <w:szCs w:val="19"/>
              </w:rPr>
              <w:t xml:space="preserve">Command</w:t>
            </w:r>
          </w:p>
        </w:tc>
      </w:tr>
      <w:tr>
        <w:tc>
          <w:tcPr>
            <w:tcW w:type="dxa" w:w="3009"/>
            <w:tcMar>
              <w:top w:type="dxa" w:w="70"/>
              <w:left w:type="dxa" w:w="110"/>
              <w:bottom w:type="dxa" w:w="70"/>
              <w:right w:type="dxa" w:w="110"/>
            </w:tcMar>
          </w:tcPr>
          <w:p>
            <w:pPr>
              <w:spacing w:after="0" w:line="260"/>
            </w:pPr>
            <w:r>
              <w:rPr>
                <w:b w:val="false"/>
                <w:bCs w:val="false"/>
                <w:color w:val="202A32"/>
                <w:sz w:val="19"/>
                <w:szCs w:val="19"/>
              </w:rPr>
              <w:t xml:space="preserve">Install dependencies</w:t>
            </w:r>
          </w:p>
        </w:tc>
        <w:tc>
          <w:tcPr>
            <w:tcW w:type="dxa" w:w="6017"/>
            <w:tcMar>
              <w:top w:type="dxa" w:w="70"/>
              <w:left w:type="dxa" w:w="110"/>
              <w:bottom w:type="dxa" w:w="70"/>
              <w:right w:type="dxa" w:w="110"/>
            </w:tcMar>
          </w:tcPr>
          <w:p>
            <w:pPr>
              <w:spacing w:after="0" w:line="260"/>
            </w:pPr>
            <w:r>
              <w:rPr>
                <w:b w:val="false"/>
                <w:bCs w:val="false"/>
                <w:color w:val="202A32"/>
                <w:sz w:val="19"/>
                <w:szCs w:val="19"/>
              </w:rPr>
              <w:t xml:space="preserve">uv sync</w:t>
            </w:r>
          </w:p>
        </w:tc>
      </w:tr>
      <w:tr>
        <w:tc>
          <w:tcPr>
            <w:tcW w:type="dxa" w:w="300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Install test tooling</w:t>
            </w:r>
          </w:p>
        </w:tc>
        <w:tc>
          <w:tcPr>
            <w:tcW w:type="dxa" w:w="601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uv pip install -r requirements-dev.txt</w:t>
            </w:r>
          </w:p>
        </w:tc>
      </w:tr>
      <w:tr>
        <w:tc>
          <w:tcPr>
            <w:tcW w:type="dxa" w:w="3009"/>
            <w:tcMar>
              <w:top w:type="dxa" w:w="70"/>
              <w:left w:type="dxa" w:w="110"/>
              <w:bottom w:type="dxa" w:w="70"/>
              <w:right w:type="dxa" w:w="110"/>
            </w:tcMar>
          </w:tcPr>
          <w:p>
            <w:pPr>
              <w:spacing w:after="0" w:line="260"/>
            </w:pPr>
            <w:r>
              <w:rPr>
                <w:b w:val="false"/>
                <w:bCs w:val="false"/>
                <w:color w:val="202A32"/>
                <w:sz w:val="19"/>
                <w:szCs w:val="19"/>
              </w:rPr>
              <w:t xml:space="preserve">Run the backend locally</w:t>
            </w:r>
          </w:p>
        </w:tc>
        <w:tc>
          <w:tcPr>
            <w:tcW w:type="dxa" w:w="6017"/>
            <w:tcMar>
              <w:top w:type="dxa" w:w="70"/>
              <w:left w:type="dxa" w:w="110"/>
              <w:bottom w:type="dxa" w:w="70"/>
              <w:right w:type="dxa" w:w="110"/>
            </w:tcMar>
          </w:tcPr>
          <w:p>
            <w:pPr>
              <w:spacing w:after="0" w:line="260"/>
            </w:pPr>
            <w:r>
              <w:rPr>
                <w:b w:val="false"/>
                <w:bCs w:val="false"/>
                <w:color w:val="202A32"/>
                <w:sz w:val="19"/>
                <w:szCs w:val="19"/>
              </w:rPr>
              <w:t xml:space="preserve">uv run uvicorn backend.main:app --reload --port 8001</w:t>
            </w:r>
          </w:p>
        </w:tc>
      </w:tr>
      <w:tr>
        <w:tc>
          <w:tcPr>
            <w:tcW w:type="dxa" w:w="300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Run the frontend development server</w:t>
            </w:r>
          </w:p>
        </w:tc>
        <w:tc>
          <w:tcPr>
            <w:tcW w:type="dxa" w:w="601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cd frontend &amp;&amp; npm run dev</w:t>
            </w:r>
          </w:p>
        </w:tc>
      </w:tr>
      <w:tr>
        <w:tc>
          <w:tcPr>
            <w:tcW w:type="dxa" w:w="3009"/>
            <w:tcMar>
              <w:top w:type="dxa" w:w="70"/>
              <w:left w:type="dxa" w:w="110"/>
              <w:bottom w:type="dxa" w:w="70"/>
              <w:right w:type="dxa" w:w="110"/>
            </w:tcMar>
          </w:tcPr>
          <w:p>
            <w:pPr>
              <w:spacing w:after="0" w:line="260"/>
            </w:pPr>
            <w:r>
              <w:rPr>
                <w:b w:val="false"/>
                <w:bCs w:val="false"/>
                <w:color w:val="202A32"/>
                <w:sz w:val="19"/>
                <w:szCs w:val="19"/>
              </w:rPr>
              <w:t xml:space="preserve">Run the test suite</w:t>
            </w:r>
          </w:p>
        </w:tc>
        <w:tc>
          <w:tcPr>
            <w:tcW w:type="dxa" w:w="6017"/>
            <w:tcMar>
              <w:top w:type="dxa" w:w="70"/>
              <w:left w:type="dxa" w:w="110"/>
              <w:bottom w:type="dxa" w:w="70"/>
              <w:right w:type="dxa" w:w="110"/>
            </w:tcMar>
          </w:tcPr>
          <w:p>
            <w:pPr>
              <w:spacing w:after="0" w:line="260"/>
            </w:pPr>
            <w:r>
              <w:rPr>
                <w:b w:val="false"/>
                <w:bCs w:val="false"/>
                <w:color w:val="202A32"/>
                <w:sz w:val="19"/>
                <w:szCs w:val="19"/>
              </w:rPr>
              <w:t xml:space="preserve">uv run pytest</w:t>
            </w:r>
          </w:p>
        </w:tc>
      </w:tr>
      <w:tr>
        <w:tc>
          <w:tcPr>
            <w:tcW w:type="dxa" w:w="300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Lint</w:t>
            </w:r>
          </w:p>
        </w:tc>
        <w:tc>
          <w:tcPr>
            <w:tcW w:type="dxa" w:w="601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uv run ruff check backend tests</w:t>
            </w:r>
          </w:p>
        </w:tc>
      </w:tr>
      <w:tr>
        <w:tc>
          <w:tcPr>
            <w:tcW w:type="dxa" w:w="3009"/>
            <w:tcMar>
              <w:top w:type="dxa" w:w="70"/>
              <w:left w:type="dxa" w:w="110"/>
              <w:bottom w:type="dxa" w:w="70"/>
              <w:right w:type="dxa" w:w="110"/>
            </w:tcMar>
          </w:tcPr>
          <w:p>
            <w:pPr>
              <w:spacing w:after="0" w:line="260"/>
            </w:pPr>
            <w:r>
              <w:rPr>
                <w:b w:val="false"/>
                <w:bCs w:val="false"/>
                <w:color w:val="202A32"/>
                <w:sz w:val="19"/>
                <w:szCs w:val="19"/>
              </w:rPr>
              <w:t xml:space="preserve">Typecheck the frontend</w:t>
            </w:r>
          </w:p>
        </w:tc>
        <w:tc>
          <w:tcPr>
            <w:tcW w:type="dxa" w:w="6017"/>
            <w:tcMar>
              <w:top w:type="dxa" w:w="70"/>
              <w:left w:type="dxa" w:w="110"/>
              <w:bottom w:type="dxa" w:w="70"/>
              <w:right w:type="dxa" w:w="110"/>
            </w:tcMar>
          </w:tcPr>
          <w:p>
            <w:pPr>
              <w:spacing w:after="0" w:line="260"/>
            </w:pPr>
            <w:r>
              <w:rPr>
                <w:b w:val="false"/>
                <w:bCs w:val="false"/>
                <w:color w:val="202A32"/>
                <w:sz w:val="19"/>
                <w:szCs w:val="19"/>
              </w:rPr>
              <w:t xml:space="preserve">cd frontend &amp;&amp; npx tsc --noEmit</w:t>
            </w:r>
          </w:p>
        </w:tc>
      </w:tr>
      <w:tr>
        <w:tc>
          <w:tcPr>
            <w:tcW w:type="dxa" w:w="300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Build the frontend</w:t>
            </w:r>
          </w:p>
        </w:tc>
        <w:tc>
          <w:tcPr>
            <w:tcW w:type="dxa" w:w="601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cd frontend &amp;&amp; npm run build</w:t>
            </w:r>
          </w:p>
        </w:tc>
      </w:tr>
      <w:tr>
        <w:tc>
          <w:tcPr>
            <w:tcW w:type="dxa" w:w="3009"/>
            <w:tcMar>
              <w:top w:type="dxa" w:w="70"/>
              <w:left w:type="dxa" w:w="110"/>
              <w:bottom w:type="dxa" w:w="70"/>
              <w:right w:type="dxa" w:w="110"/>
            </w:tcMar>
          </w:tcPr>
          <w:p>
            <w:pPr>
              <w:spacing w:after="0" w:line="260"/>
            </w:pPr>
            <w:r>
              <w:rPr>
                <w:b w:val="false"/>
                <w:bCs w:val="false"/>
                <w:color w:val="202A32"/>
                <w:sz w:val="19"/>
                <w:szCs w:val="19"/>
              </w:rPr>
              <w:t xml:space="preserve">Extract a BOQ from a spreadsheet on the command line</w:t>
            </w:r>
          </w:p>
        </w:tc>
        <w:tc>
          <w:tcPr>
            <w:tcW w:type="dxa" w:w="6017"/>
            <w:tcMar>
              <w:top w:type="dxa" w:w="70"/>
              <w:left w:type="dxa" w:w="110"/>
              <w:bottom w:type="dxa" w:w="70"/>
              <w:right w:type="dxa" w:w="110"/>
            </w:tcMar>
          </w:tcPr>
          <w:p>
            <w:pPr>
              <w:spacing w:after="0" w:line="260"/>
            </w:pPr>
            <w:r>
              <w:rPr>
                <w:b w:val="false"/>
                <w:bCs w:val="false"/>
                <w:color w:val="202A32"/>
                <w:sz w:val="19"/>
                <w:szCs w:val="19"/>
              </w:rPr>
              <w:t xml:space="preserve">python -m backend.excel_boq.cli &lt;files.xlsx&gt;</w:t>
            </w:r>
          </w:p>
        </w:tc>
      </w:tr>
      <w:tr>
        <w:tc>
          <w:tcPr>
            <w:tcW w:type="dxa" w:w="300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Regenerate the user manual</w:t>
            </w:r>
          </w:p>
        </w:tc>
        <w:tc>
          <w:tcPr>
            <w:tcW w:type="dxa" w:w="601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python docs/build_user_manual.py</w:t>
            </w:r>
          </w:p>
        </w:tc>
      </w:tr>
    </w:tbl>
    <w:p>
      <w:pPr>
        <w:spacing w:after="160"/>
      </w:pPr>
    </w:p>
    <w:p>
      <w:pPr>
        <w:spacing w:after="140" w:line="280"/>
      </w:pPr>
      <w:r>
        <w:rPr>
          <w:sz w:val="21"/>
          <w:szCs w:val="21"/>
        </w:rPr>
        <w:t xml:space="preserve">Open the local frontend at http://localhost:3000, never 127.0.0.1. The development server silently rejects hot reload from the latter and the page never finishes loading.</w:t>
      </w:r>
    </w:p>
    <w:p>
      <w:pPr>
        <w:spacing w:after="140" w:line="280"/>
      </w:pPr>
      <w:r>
        <w:rPr>
          <w:sz w:val="21"/>
          <w:szCs w:val="21"/>
        </w:rPr>
        <w:t xml:space="preserve">The frontend is built at deploy time by start.sh, so unlike some other applications in this programme the build output is not committed.</w:t>
      </w:r>
    </w:p>
    <w:p>
      <w:pPr>
        <w:pStyle w:val="Heading2"/>
        <w:spacing w:after="120" w:before="260"/>
      </w:pPr>
      <w:r>
        <w:rPr>
          <w:b/>
          <w:bCs/>
          <w:color w:val="243742"/>
          <w:sz w:val="24"/>
          <w:szCs w:val="24"/>
        </w:rPr>
        <w:t xml:space="preserve">5.2 Release checklist</w:t>
      </w:r>
    </w:p>
    <w:p>
      <w:pPr>
        <w:spacing w:after="60" w:line="280"/>
        <w:ind w:left="200"/>
      </w:pPr>
      <w:r>
        <w:rPr>
          <w:sz w:val="21"/>
          <w:szCs w:val="21"/>
        </w:rPr>
        <w:t xml:space="preserve">☐   The change is on a branch and the pipeline Validate stage is green.</w:t>
      </w:r>
    </w:p>
    <w:p>
      <w:pPr>
        <w:spacing w:after="60" w:line="280"/>
        <w:ind w:left="200"/>
      </w:pPr>
      <w:r>
        <w:rPr>
          <w:sz w:val="21"/>
          <w:szCs w:val="21"/>
        </w:rPr>
        <w:t xml:space="preserve">☐   Tests pass, including the suites covering the changed area.</w:t>
      </w:r>
    </w:p>
    <w:p>
      <w:pPr>
        <w:spacing w:after="60" w:line="280"/>
        <w:ind w:left="200"/>
      </w:pPr>
      <w:r>
        <w:rPr>
          <w:sz w:val="21"/>
          <w:szCs w:val="21"/>
        </w:rPr>
        <w:t xml:space="preserve">☐   Lint and the frontend typecheck pass.</w:t>
      </w:r>
    </w:p>
    <w:p>
      <w:pPr>
        <w:spacing w:after="60" w:line="280"/>
        <w:ind w:left="200"/>
      </w:pPr>
      <w:r>
        <w:rPr>
          <w:sz w:val="21"/>
          <w:szCs w:val="21"/>
        </w:rPr>
        <w:t xml:space="preserve">☐   Where a flag threshold changed, the new behaviour was confirmed against a real tender, not only a fixture.</w:t>
      </w:r>
    </w:p>
    <w:p>
      <w:pPr>
        <w:spacing w:after="60" w:line="280"/>
        <w:ind w:left="200"/>
      </w:pPr>
      <w:r>
        <w:rPr>
          <w:sz w:val="21"/>
          <w:szCs w:val="21"/>
        </w:rPr>
        <w:t xml:space="preserve">☐   Where the comparison engine changed, the Maximo path was confirmed unchanged.</w:t>
      </w:r>
    </w:p>
    <w:p>
      <w:pPr>
        <w:spacing w:after="60" w:line="280"/>
        <w:ind w:left="200"/>
      </w:pPr>
      <w:r>
        <w:rPr>
          <w:sz w:val="21"/>
          <w:szCs w:val="21"/>
        </w:rPr>
        <w:t xml:space="preserve">☐   Documentation updated in the same change, per Appendix B.</w:t>
      </w:r>
    </w:p>
    <w:p>
      <w:pPr>
        <w:spacing w:after="60" w:line="280"/>
        <w:ind w:left="200"/>
      </w:pPr>
      <w:r>
        <w:rPr>
          <w:sz w:val="21"/>
          <w:szCs w:val="21"/>
        </w:rPr>
        <w:t xml:space="preserve">☐   User manual regenerated where user-facing behaviour changed.</w:t>
      </w:r>
    </w:p>
    <w:p>
      <w:pPr>
        <w:spacing w:after="60" w:line="280"/>
        <w:ind w:left="200"/>
      </w:pPr>
      <w:r>
        <w:rPr>
          <w:sz w:val="21"/>
          <w:szCs w:val="21"/>
        </w:rPr>
        <w:t xml:space="preserve">☐   Release note drafted.</w:t>
      </w:r>
    </w:p>
    <w:p>
      <w:pPr>
        <w:spacing w:after="60" w:line="280"/>
        <w:ind w:left="200"/>
      </w:pPr>
      <w:r>
        <w:rPr>
          <w:sz w:val="21"/>
          <w:szCs w:val="21"/>
        </w:rPr>
        <w:t xml:space="preserve">☐   Rollback position identified.</w:t>
      </w:r>
    </w:p>
    <w:p>
      <w:pPr>
        <w:pStyle w:val="Heading2"/>
        <w:spacing w:after="120" w:before="260"/>
      </w:pPr>
      <w:r>
        <w:rPr>
          <w:b/>
          <w:bCs/>
          <w:color w:val="243742"/>
          <w:sz w:val="24"/>
          <w:szCs w:val="24"/>
        </w:rPr>
        <w:t xml:space="preserve">5.3 Pre-deployment checklist</w:t>
      </w:r>
    </w:p>
    <w:p>
      <w:pPr>
        <w:spacing w:after="60" w:line="280"/>
        <w:ind w:left="200"/>
      </w:pPr>
      <w:r>
        <w:rPr>
          <w:sz w:val="21"/>
          <w:szCs w:val="21"/>
        </w:rPr>
        <w:t xml:space="preserve">☐   Merged to main through a pull request.</w:t>
      </w:r>
    </w:p>
    <w:p>
      <w:pPr>
        <w:spacing w:after="60" w:line="280"/>
        <w:ind w:left="200"/>
      </w:pPr>
      <w:r>
        <w:rPr>
          <w:sz w:val="21"/>
          <w:szCs w:val="21"/>
        </w:rPr>
        <w:t xml:space="preserve">☐   No new runtime dependency added without checking it installs from pyproject alone. An undeclared dependency has taken the whole application down before.</w:t>
      </w:r>
    </w:p>
    <w:p>
      <w:pPr>
        <w:spacing w:after="60" w:line="280"/>
        <w:ind w:left="200"/>
      </w:pPr>
      <w:r>
        <w:rPr>
          <w:sz w:val="21"/>
          <w:szCs w:val="21"/>
        </w:rPr>
        <w:t xml:space="preserve">☐   Configuration values set for the target environment.</w:t>
      </w:r>
    </w:p>
    <w:p>
      <w:pPr>
        <w:spacing w:after="60" w:line="280"/>
        <w:ind w:left="200"/>
      </w:pPr>
      <w:r>
        <w:rPr>
          <w:sz w:val="21"/>
          <w:szCs w:val="21"/>
        </w:rPr>
        <w:t xml:space="preserve">☐   Variable group and environment exist and the pipeline has permission on them.</w:t>
      </w:r>
    </w:p>
    <w:p>
      <w:pPr>
        <w:spacing w:after="60" w:line="280"/>
        <w:ind w:left="200"/>
      </w:pPr>
      <w:r>
        <w:rPr>
          <w:sz w:val="21"/>
          <w:szCs w:val="21"/>
        </w:rPr>
        <w:t xml:space="preserve">☐   The Databricks app exists. The deploy command updates an app, it does not create one.</w:t>
      </w:r>
    </w:p>
    <w:p>
      <w:pPr>
        <w:spacing w:after="60" w:line="280"/>
        <w:ind w:left="200"/>
      </w:pPr>
      <w:r>
        <w:rPr>
          <w:sz w:val="21"/>
          <w:szCs w:val="21"/>
        </w:rPr>
        <w:t xml:space="preserve">☐   The service principal holds Can Manage on the app.</w:t>
      </w:r>
    </w:p>
    <w:p>
      <w:pPr>
        <w:pStyle w:val="Heading2"/>
        <w:spacing w:after="120" w:before="260"/>
      </w:pPr>
      <w:r>
        <w:rPr>
          <w:b/>
          <w:bCs/>
          <w:color w:val="243742"/>
          <w:sz w:val="24"/>
          <w:szCs w:val="24"/>
        </w:rPr>
        <w:t xml:space="preserve">5.4 Post-deployment smoke test</w:t>
      </w:r>
    </w:p>
    <w:p>
      <w:pPr>
        <w:spacing w:after="60" w:line="280"/>
        <w:ind w:left="200"/>
      </w:pPr>
      <w:r>
        <w:rPr>
          <w:sz w:val="21"/>
          <w:szCs w:val="21"/>
        </w:rPr>
        <w:t xml:space="preserve">☐   The health endpoint responds.</w:t>
      </w:r>
    </w:p>
    <w:p>
      <w:pPr>
        <w:spacing w:after="60" w:line="280"/>
        <w:ind w:left="200"/>
      </w:pPr>
      <w:r>
        <w:rPr>
          <w:sz w:val="21"/>
          <w:szCs w:val="21"/>
        </w:rPr>
        <w:t xml:space="preserve">☐   The commit reported by the health endpoint matches the commit deployed. A deploy can report success while still serving the previous build.</w:t>
      </w:r>
    </w:p>
    <w:p>
      <w:pPr>
        <w:spacing w:after="60" w:line="280"/>
        <w:ind w:left="200"/>
      </w:pPr>
      <w:r>
        <w:rPr>
          <w:sz w:val="21"/>
          <w:szCs w:val="21"/>
        </w:rPr>
        <w:t xml:space="preserve">☐   The projects page loads and lists projects.</w:t>
      </w:r>
    </w:p>
    <w:p>
      <w:pPr>
        <w:spacing w:after="60" w:line="280"/>
        <w:ind w:left="200"/>
      </w:pPr>
      <w:r>
        <w:rPr>
          <w:sz w:val="21"/>
          <w:szCs w:val="21"/>
        </w:rPr>
        <w:t xml:space="preserve">☐   A known tender opens and the BOQ comparison renders with vendor totals.</w:t>
      </w:r>
    </w:p>
    <w:p>
      <w:pPr>
        <w:spacing w:after="60" w:line="280"/>
        <w:ind w:left="200"/>
      </w:pPr>
      <w:r>
        <w:rPr>
          <w:sz w:val="21"/>
          <w:szCs w:val="21"/>
        </w:rPr>
        <w:t xml:space="preserve">☐   Switching between unit rates and line totals changes the figures.</w:t>
      </w:r>
    </w:p>
    <w:p>
      <w:pPr>
        <w:spacing w:after="60" w:line="280"/>
        <w:ind w:left="200"/>
      </w:pPr>
      <w:r>
        <w:rPr>
          <w:sz w:val="21"/>
          <w:szCs w:val="21"/>
        </w:rPr>
        <w:t xml:space="preserve">☐   Round tracking renders where the tender has rounds.</w:t>
      </w:r>
    </w:p>
    <w:p>
      <w:pPr>
        <w:spacing w:after="60" w:line="280"/>
        <w:ind w:left="200"/>
      </w:pPr>
      <w:r>
        <w:rPr>
          <w:sz w:val="21"/>
          <w:szCs w:val="21"/>
        </w:rPr>
        <w:t xml:space="preserve">☐   The negotiation report renders and states the expected round.</w:t>
      </w:r>
    </w:p>
    <w:p>
      <w:pPr>
        <w:spacing w:after="60" w:line="280"/>
        <w:ind w:left="200"/>
      </w:pPr>
      <w:r>
        <w:rPr>
          <w:sz w:val="21"/>
          <w:szCs w:val="21"/>
        </w:rPr>
        <w:t xml:space="preserve">☐   The Excel export downloads and opens.</w:t>
      </w:r>
    </w:p>
    <w:p>
      <w:pPr>
        <w:pStyle w:val="Heading2"/>
        <w:spacing w:after="120" w:before="260"/>
      </w:pPr>
      <w:r>
        <w:rPr>
          <w:b/>
          <w:bCs/>
          <w:color w:val="243742"/>
          <w:sz w:val="24"/>
          <w:szCs w:val="24"/>
        </w:rPr>
        <w:t xml:space="preserve">5.5 Flag threshold change checklist</w:t>
      </w:r>
    </w:p>
    <w:p>
      <w:pPr>
        <w:spacing w:after="140" w:line="280"/>
      </w:pPr>
      <w:r>
        <w:rPr>
          <w:sz w:val="21"/>
          <w:szCs w:val="21"/>
        </w:rPr>
        <w:t xml:space="preserve">Thresholds govern what the analyst is shown and are the most consequential values in the system. A change here is not a code tidy-up.</w:t>
      </w:r>
    </w:p>
    <w:p>
      <w:pPr>
        <w:spacing w:after="60" w:line="280"/>
        <w:ind w:left="200"/>
      </w:pPr>
      <w:r>
        <w:rPr>
          <w:sz w:val="21"/>
          <w:szCs w:val="21"/>
        </w:rPr>
        <w:t xml:space="preserve">☐   The threshold being changed is identified by name and its current value recorded.</w:t>
      </w:r>
    </w:p>
    <w:p>
      <w:pPr>
        <w:spacing w:after="60" w:line="280"/>
        <w:ind w:left="200"/>
      </w:pPr>
      <w:r>
        <w:rPr>
          <w:sz w:val="21"/>
          <w:szCs w:val="21"/>
        </w:rPr>
        <w:t xml:space="preserve">☐   The reason is recorded, including which tender or which analyst feedback prompted it.</w:t>
      </w:r>
    </w:p>
    <w:p>
      <w:pPr>
        <w:spacing w:after="60" w:line="280"/>
        <w:ind w:left="200"/>
      </w:pPr>
      <w:r>
        <w:rPr>
          <w:sz w:val="21"/>
          <w:szCs w:val="21"/>
        </w:rPr>
        <w:t xml:space="preserve">☐   The test suite passes. Several tests assert specific flag behaviour and will catch an unintended widening.</w:t>
      </w:r>
    </w:p>
    <w:p>
      <w:pPr>
        <w:spacing w:after="60" w:line="280"/>
        <w:ind w:left="200"/>
      </w:pPr>
      <w:r>
        <w:rPr>
          <w:sz w:val="21"/>
          <w:szCs w:val="21"/>
        </w:rPr>
        <w:t xml:space="preserve">☐   The new value was run against at least one real tender and the change in flag count is understood.</w:t>
      </w:r>
    </w:p>
    <w:p>
      <w:pPr>
        <w:spacing w:after="60" w:line="280"/>
        <w:ind w:left="200"/>
      </w:pPr>
      <w:r>
        <w:rPr>
          <w:sz w:val="21"/>
          <w:szCs w:val="21"/>
        </w:rPr>
        <w:t xml:space="preserve">☐   The procurement SME has seen the before and after.</w:t>
      </w:r>
    </w:p>
    <w:p>
      <w:pPr>
        <w:spacing w:after="60" w:line="280"/>
        <w:ind w:left="200"/>
      </w:pPr>
      <w:r>
        <w:rPr>
          <w:sz w:val="21"/>
          <w:szCs w:val="21"/>
        </w:rPr>
        <w:t xml:space="preserve">☐   Section 6.2 of this playbook updated with the new value.</w:t>
      </w:r>
    </w:p>
    <w:p>
      <w:pPr>
        <w:spacing w:after="60" w:line="280"/>
        <w:ind w:left="200"/>
      </w:pPr>
      <w:r>
        <w:rPr>
          <w:sz w:val="21"/>
          <w:szCs w:val="21"/>
        </w:rPr>
        <w:t xml:space="preserve">☐   Change recorded in the release note.</w:t>
      </w:r>
    </w:p>
    <w:p>
      <w:pPr>
        <w:pStyle w:val="Heading2"/>
        <w:spacing w:after="120" w:before="260"/>
      </w:pPr>
      <w:r>
        <w:rPr>
          <w:b/>
          <w:bCs/>
          <w:color w:val="243742"/>
          <w:sz w:val="24"/>
          <w:szCs w:val="24"/>
        </w:rPr>
        <w:t xml:space="preserve">5.6 Incident triage</w:t>
      </w: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2708"/>
        <w:gridCol w:w="2858"/>
        <w:gridCol w:w="3460"/>
      </w:tblGrid>
      <w:tr>
        <w:trPr>
          <w:tblHeader/>
        </w:trPr>
        <w:tc>
          <w:tcPr>
            <w:tcW w:type="dxa" w:w="2708"/>
            <w:shd w:fill="1F4E5F" w:color="auto" w:val="clear"/>
            <w:tcMar>
              <w:top w:type="dxa" w:w="70"/>
              <w:left w:type="dxa" w:w="110"/>
              <w:bottom w:type="dxa" w:w="70"/>
              <w:right w:type="dxa" w:w="110"/>
            </w:tcMar>
          </w:tcPr>
          <w:p>
            <w:pPr>
              <w:spacing w:after="0" w:line="260"/>
            </w:pPr>
            <w:r>
              <w:rPr>
                <w:b/>
                <w:bCs/>
                <w:color w:val="FFFFFF"/>
                <w:sz w:val="19"/>
                <w:szCs w:val="19"/>
              </w:rPr>
              <w:t xml:space="preserve">Symptom</w:t>
            </w:r>
          </w:p>
        </w:tc>
        <w:tc>
          <w:tcPr>
            <w:tcW w:type="dxa" w:w="2858"/>
            <w:shd w:fill="1F4E5F" w:color="auto" w:val="clear"/>
            <w:tcMar>
              <w:top w:type="dxa" w:w="70"/>
              <w:left w:type="dxa" w:w="110"/>
              <w:bottom w:type="dxa" w:w="70"/>
              <w:right w:type="dxa" w:w="110"/>
            </w:tcMar>
          </w:tcPr>
          <w:p>
            <w:pPr>
              <w:spacing w:after="0" w:line="260"/>
            </w:pPr>
            <w:r>
              <w:rPr>
                <w:b/>
                <w:bCs/>
                <w:color w:val="FFFFFF"/>
                <w:sz w:val="19"/>
                <w:szCs w:val="19"/>
              </w:rPr>
              <w:t xml:space="preserve">Likely cause</w:t>
            </w:r>
          </w:p>
        </w:tc>
        <w:tc>
          <w:tcPr>
            <w:tcW w:type="dxa" w:w="3460"/>
            <w:shd w:fill="1F4E5F" w:color="auto" w:val="clear"/>
            <w:tcMar>
              <w:top w:type="dxa" w:w="70"/>
              <w:left w:type="dxa" w:w="110"/>
              <w:bottom w:type="dxa" w:w="70"/>
              <w:right w:type="dxa" w:w="110"/>
            </w:tcMar>
          </w:tcPr>
          <w:p>
            <w:pPr>
              <w:spacing w:after="0" w:line="260"/>
            </w:pPr>
            <w:r>
              <w:rPr>
                <w:b/>
                <w:bCs/>
                <w:color w:val="FFFFFF"/>
                <w:sz w:val="19"/>
                <w:szCs w:val="19"/>
              </w:rPr>
              <w:t xml:space="preserve">Action</w:t>
            </w:r>
          </w:p>
        </w:tc>
      </w:tr>
      <w:tr>
        <w:tc>
          <w:tcPr>
            <w:tcW w:type="dxa" w:w="2708"/>
            <w:tcMar>
              <w:top w:type="dxa" w:w="70"/>
              <w:left w:type="dxa" w:w="110"/>
              <w:bottom w:type="dxa" w:w="70"/>
              <w:right w:type="dxa" w:w="110"/>
            </w:tcMar>
          </w:tcPr>
          <w:p>
            <w:pPr>
              <w:spacing w:after="0" w:line="260"/>
            </w:pPr>
            <w:r>
              <w:rPr>
                <w:b w:val="false"/>
                <w:bCs w:val="false"/>
                <w:color w:val="202A32"/>
                <w:sz w:val="19"/>
                <w:szCs w:val="19"/>
              </w:rPr>
              <w:t xml:space="preserve">App Not Available page</w:t>
            </w:r>
          </w:p>
        </w:tc>
        <w:tc>
          <w:tcPr>
            <w:tcW w:type="dxa" w:w="2858"/>
            <w:tcMar>
              <w:top w:type="dxa" w:w="70"/>
              <w:left w:type="dxa" w:w="110"/>
              <w:bottom w:type="dxa" w:w="70"/>
              <w:right w:type="dxa" w:w="110"/>
            </w:tcMar>
          </w:tcPr>
          <w:p>
            <w:pPr>
              <w:spacing w:after="0" w:line="260"/>
            </w:pPr>
            <w:r>
              <w:rPr>
                <w:b w:val="false"/>
                <w:bCs w:val="false"/>
                <w:color w:val="202A32"/>
                <w:sz w:val="19"/>
                <w:szCs w:val="19"/>
              </w:rPr>
              <w:t xml:space="preserve">The container is not running: stopped, mid-deploy, or it crashed at startup.</w:t>
            </w:r>
          </w:p>
        </w:tc>
        <w:tc>
          <w:tcPr>
            <w:tcW w:type="dxa" w:w="3460"/>
            <w:tcMar>
              <w:top w:type="dxa" w:w="70"/>
              <w:left w:type="dxa" w:w="110"/>
              <w:bottom w:type="dxa" w:w="70"/>
              <w:right w:type="dxa" w:w="110"/>
            </w:tcMar>
          </w:tcPr>
          <w:p>
            <w:pPr>
              <w:spacing w:after="0" w:line="260"/>
            </w:pPr>
            <w:r>
              <w:rPr>
                <w:b w:val="false"/>
                <w:bCs w:val="false"/>
                <w:color w:val="202A32"/>
                <w:sz w:val="19"/>
                <w:szCs w:val="19"/>
              </w:rPr>
              <w:t xml:space="preserve">Check the app status and the Logs pane. start.sh prints a FATAL line if the backend died.</w:t>
            </w:r>
          </w:p>
        </w:tc>
      </w:tr>
      <w:tr>
        <w:tc>
          <w:tcPr>
            <w:tcW w:type="dxa" w:w="2708"/>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Error installing packages during deploy</w:t>
            </w:r>
          </w:p>
        </w:tc>
        <w:tc>
          <w:tcPr>
            <w:tcW w:type="dxa" w:w="2858"/>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 dependency the environment cannot resolve.</w:t>
            </w:r>
          </w:p>
        </w:tc>
        <w:tc>
          <w:tcPr>
            <w:tcW w:type="dxa" w:w="346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Check whether a dependency was recently added to pyproject. This has broken the deploy before.</w:t>
            </w:r>
          </w:p>
        </w:tc>
      </w:tr>
      <w:tr>
        <w:tc>
          <w:tcPr>
            <w:tcW w:type="dxa" w:w="2708"/>
            <w:tcMar>
              <w:top w:type="dxa" w:w="70"/>
              <w:left w:type="dxa" w:w="110"/>
              <w:bottom w:type="dxa" w:w="70"/>
              <w:right w:type="dxa" w:w="110"/>
            </w:tcMar>
          </w:tcPr>
          <w:p>
            <w:pPr>
              <w:spacing w:after="0" w:line="260"/>
            </w:pPr>
            <w:r>
              <w:rPr>
                <w:b w:val="false"/>
                <w:bCs w:val="false"/>
                <w:color w:val="202A32"/>
                <w:sz w:val="19"/>
                <w:szCs w:val="19"/>
              </w:rPr>
              <w:t xml:space="preserve">A correction or disqualification will not save</w:t>
            </w:r>
          </w:p>
        </w:tc>
        <w:tc>
          <w:tcPr>
            <w:tcW w:type="dxa" w:w="2858"/>
            <w:tcMar>
              <w:top w:type="dxa" w:w="70"/>
              <w:left w:type="dxa" w:w="110"/>
              <w:bottom w:type="dxa" w:w="70"/>
              <w:right w:type="dxa" w:w="110"/>
            </w:tcMar>
          </w:tcPr>
          <w:p>
            <w:pPr>
              <w:spacing w:after="0" w:line="260"/>
            </w:pPr>
            <w:r>
              <w:rPr>
                <w:b w:val="false"/>
                <w:bCs w:val="false"/>
                <w:color w:val="202A32"/>
                <w:sz w:val="19"/>
                <w:szCs w:val="19"/>
              </w:rPr>
              <w:t xml:space="preserve">The Unity Catalog grant has not landed.</w:t>
            </w:r>
          </w:p>
        </w:tc>
        <w:tc>
          <w:tcPr>
            <w:tcW w:type="dxa" w:w="3460"/>
            <w:tcMar>
              <w:top w:type="dxa" w:w="70"/>
              <w:left w:type="dxa" w:w="110"/>
              <w:bottom w:type="dxa" w:w="70"/>
              <w:right w:type="dxa" w:w="110"/>
            </w:tcMar>
          </w:tcPr>
          <w:p>
            <w:pPr>
              <w:spacing w:after="0" w:line="260"/>
            </w:pPr>
            <w:r>
              <w:rPr>
                <w:b w:val="false"/>
                <w:bCs w:val="false"/>
                <w:color w:val="202A32"/>
                <w:sz w:val="19"/>
                <w:szCs w:val="19"/>
              </w:rPr>
              <w:t xml:space="preserve">Expected, not a defect. The message names the real cause. Raise the grant request.</w:t>
            </w:r>
          </w:p>
        </w:tc>
      </w:tr>
      <w:tr>
        <w:tc>
          <w:tcPr>
            <w:tcW w:type="dxa" w:w="2708"/>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 flag the analyst expected is absent</w:t>
            </w:r>
          </w:p>
        </w:tc>
        <w:tc>
          <w:tcPr>
            <w:tcW w:type="dxa" w:w="2858"/>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Not enough data to judge, or the overlay table is unreadable and failed open.</w:t>
            </w:r>
          </w:p>
        </w:tc>
        <w:tc>
          <w:tcPr>
            <w:tcW w:type="dxa" w:w="346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Check the minimums in section 6.2 before suspecting the logic. Confirm the grant status.</w:t>
            </w:r>
          </w:p>
        </w:tc>
      </w:tr>
      <w:tr>
        <w:tc>
          <w:tcPr>
            <w:tcW w:type="dxa" w:w="2708"/>
            <w:tcMar>
              <w:top w:type="dxa" w:w="70"/>
              <w:left w:type="dxa" w:w="110"/>
              <w:bottom w:type="dxa" w:w="70"/>
              <w:right w:type="dxa" w:w="110"/>
            </w:tcMar>
          </w:tcPr>
          <w:p>
            <w:pPr>
              <w:spacing w:after="0" w:line="260"/>
            </w:pPr>
            <w:r>
              <w:rPr>
                <w:b w:val="false"/>
                <w:bCs w:val="false"/>
                <w:color w:val="202A32"/>
                <w:sz w:val="19"/>
                <w:szCs w:val="19"/>
              </w:rPr>
              <w:t xml:space="preserve">Every tender page errors</w:t>
            </w:r>
          </w:p>
        </w:tc>
        <w:tc>
          <w:tcPr>
            <w:tcW w:type="dxa" w:w="2858"/>
            <w:tcMar>
              <w:top w:type="dxa" w:w="70"/>
              <w:left w:type="dxa" w:w="110"/>
              <w:bottom w:type="dxa" w:w="70"/>
              <w:right w:type="dxa" w:w="110"/>
            </w:tcMar>
          </w:tcPr>
          <w:p>
            <w:pPr>
              <w:spacing w:after="0" w:line="260"/>
            </w:pPr>
            <w:r>
              <w:rPr>
                <w:b w:val="false"/>
                <w:bCs w:val="false"/>
                <w:color w:val="202A32"/>
                <w:sz w:val="19"/>
                <w:szCs w:val="19"/>
              </w:rPr>
              <w:t xml:space="preserve">The warehouse is unreachable or grants are missing.</w:t>
            </w:r>
          </w:p>
        </w:tc>
        <w:tc>
          <w:tcPr>
            <w:tcW w:type="dxa" w:w="3460"/>
            <w:tcMar>
              <w:top w:type="dxa" w:w="70"/>
              <w:left w:type="dxa" w:w="110"/>
              <w:bottom w:type="dxa" w:w="70"/>
              <w:right w:type="dxa" w:w="110"/>
            </w:tcMar>
          </w:tcPr>
          <w:p>
            <w:pPr>
              <w:spacing w:after="0" w:line="260"/>
            </w:pPr>
            <w:r>
              <w:rPr>
                <w:b w:val="false"/>
                <w:bCs w:val="false"/>
                <w:color w:val="202A32"/>
                <w:sz w:val="19"/>
                <w:szCs w:val="19"/>
              </w:rPr>
              <w:t xml:space="preserve">Read the reason in the response. It carries the real exception text rather than a guess.</w:t>
            </w:r>
          </w:p>
        </w:tc>
      </w:tr>
      <w:tr>
        <w:tc>
          <w:tcPr>
            <w:tcW w:type="dxa" w:w="2708"/>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AI prices all appear as round numbers close to a vendor's own price</w:t>
            </w:r>
          </w:p>
        </w:tc>
        <w:tc>
          <w:tcPr>
            <w:tcW w:type="dxa" w:w="2858"/>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The model was unreachable and the heuristic fallback is in use.</w:t>
            </w:r>
          </w:p>
        </w:tc>
        <w:tc>
          <w:tcPr>
            <w:tcW w:type="dxa" w:w="346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Check source and fallback_reason in the API response. The screen does not distinguish the two.</w:t>
            </w:r>
          </w:p>
        </w:tc>
      </w:tr>
      <w:tr>
        <w:tc>
          <w:tcPr>
            <w:tcW w:type="dxa" w:w="2708"/>
            <w:tcMar>
              <w:top w:type="dxa" w:w="70"/>
              <w:left w:type="dxa" w:w="110"/>
              <w:bottom w:type="dxa" w:w="70"/>
              <w:right w:type="dxa" w:w="110"/>
            </w:tcMar>
          </w:tcPr>
          <w:p>
            <w:pPr>
              <w:spacing w:after="0" w:line="260"/>
            </w:pPr>
            <w:r>
              <w:rPr>
                <w:b w:val="false"/>
                <w:bCs w:val="false"/>
                <w:color w:val="202A32"/>
                <w:sz w:val="19"/>
                <w:szCs w:val="19"/>
              </w:rPr>
              <w:t xml:space="preserve">AI summary says it is not set up</w:t>
            </w:r>
          </w:p>
        </w:tc>
        <w:tc>
          <w:tcPr>
            <w:tcW w:type="dxa" w:w="2858"/>
            <w:tcMar>
              <w:top w:type="dxa" w:w="70"/>
              <w:left w:type="dxa" w:w="110"/>
              <w:bottom w:type="dxa" w:w="70"/>
              <w:right w:type="dxa" w:w="110"/>
            </w:tcMar>
          </w:tcPr>
          <w:p>
            <w:pPr>
              <w:spacing w:after="0" w:line="260"/>
            </w:pPr>
            <w:r>
              <w:rPr>
                <w:b w:val="false"/>
                <w:bCs w:val="false"/>
                <w:color w:val="202A32"/>
                <w:sz w:val="19"/>
                <w:szCs w:val="19"/>
              </w:rPr>
              <w:t xml:space="preserve">The Model Serving endpoint is unset or the Can Query grant is missing.</w:t>
            </w:r>
          </w:p>
        </w:tc>
        <w:tc>
          <w:tcPr>
            <w:tcW w:type="dxa" w:w="3460"/>
            <w:tcMar>
              <w:top w:type="dxa" w:w="70"/>
              <w:left w:type="dxa" w:w="110"/>
              <w:bottom w:type="dxa" w:w="70"/>
              <w:right w:type="dxa" w:w="110"/>
            </w:tcMar>
          </w:tcPr>
          <w:p>
            <w:pPr>
              <w:spacing w:after="0" w:line="260"/>
            </w:pPr>
            <w:r>
              <w:rPr>
                <w:b w:val="false"/>
                <w:bCs w:val="false"/>
                <w:color w:val="202A32"/>
                <w:sz w:val="19"/>
                <w:szCs w:val="19"/>
              </w:rPr>
              <w:t xml:space="preserve">Everything else continues to work. Raise with the platform administrator.</w:t>
            </w:r>
          </w:p>
        </w:tc>
      </w:tr>
      <w:tr>
        <w:tc>
          <w:tcPr>
            <w:tcW w:type="dxa" w:w="2708"/>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An uploaded project has disappeared</w:t>
            </w:r>
          </w:p>
        </w:tc>
        <w:tc>
          <w:tcPr>
            <w:tcW w:type="dxa" w:w="2858"/>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Uploaded BOQs are held in the running application and are lost on restart.</w:t>
            </w:r>
          </w:p>
        </w:tc>
        <w:tc>
          <w:tcPr>
            <w:tcW w:type="dxa" w:w="346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Known beta limitation. Re-upload the files.</w:t>
            </w:r>
          </w:p>
        </w:tc>
      </w:tr>
      <w:tr>
        <w:tc>
          <w:tcPr>
            <w:tcW w:type="dxa" w:w="2708"/>
            <w:tcMar>
              <w:top w:type="dxa" w:w="70"/>
              <w:left w:type="dxa" w:w="110"/>
              <w:bottom w:type="dxa" w:w="70"/>
              <w:right w:type="dxa" w:w="110"/>
            </w:tcMar>
          </w:tcPr>
          <w:p>
            <w:pPr>
              <w:spacing w:after="0" w:line="260"/>
            </w:pPr>
            <w:r>
              <w:rPr>
                <w:b w:val="false"/>
                <w:bCs w:val="false"/>
                <w:color w:val="202A32"/>
                <w:sz w:val="19"/>
                <w:szCs w:val="19"/>
              </w:rPr>
              <w:t xml:space="preserve">The same BOQ item appears twice after upload</w:t>
            </w:r>
          </w:p>
        </w:tc>
        <w:tc>
          <w:tcPr>
            <w:tcW w:type="dxa" w:w="2858"/>
            <w:tcMar>
              <w:top w:type="dxa" w:w="70"/>
              <w:left w:type="dxa" w:w="110"/>
              <w:bottom w:type="dxa" w:w="70"/>
              <w:right w:type="dxa" w:w="110"/>
            </w:tcMar>
          </w:tcPr>
          <w:p>
            <w:pPr>
              <w:spacing w:after="0" w:line="260"/>
            </w:pPr>
            <w:r>
              <w:rPr>
                <w:b w:val="false"/>
                <w:bCs w:val="false"/>
                <w:color w:val="202A32"/>
                <w:sz w:val="19"/>
                <w:szCs w:val="19"/>
              </w:rPr>
              <w:t xml:space="preserve">Two vendors numbered the item differently so they could not be matched.</w:t>
            </w:r>
          </w:p>
        </w:tc>
        <w:tc>
          <w:tcPr>
            <w:tcW w:type="dxa" w:w="3460"/>
            <w:tcMar>
              <w:top w:type="dxa" w:w="70"/>
              <w:left w:type="dxa" w:w="110"/>
              <w:bottom w:type="dxa" w:w="70"/>
              <w:right w:type="dxa" w:w="110"/>
            </w:tcMar>
          </w:tcPr>
          <w:p>
            <w:pPr>
              <w:spacing w:after="0" w:line="260"/>
            </w:pPr>
            <w:r>
              <w:rPr>
                <w:b w:val="false"/>
                <w:bCs w:val="false"/>
                <w:color w:val="202A32"/>
                <w:sz w:val="19"/>
                <w:szCs w:val="19"/>
              </w:rPr>
              <w:t xml:space="preserve">Fix in the review screen before confirming.</w:t>
            </w:r>
          </w:p>
        </w:tc>
      </w:tr>
    </w:tbl>
    <w:p>
      <w:pPr>
        <w:spacing w:after="160"/>
      </w:pPr>
    </w:p>
    <w:p>
      <w:r>
        <w:br w:type="page"/>
      </w:r>
    </w:p>
    <w:p>
      <w:pPr>
        <w:pStyle w:val="Heading1"/>
        <w:spacing w:after="160" w:before="320"/>
      </w:pPr>
      <w:r>
        <w:rPr>
          <w:b/>
          <w:bCs/>
          <w:color w:val="1F4E5F"/>
          <w:sz w:val="30"/>
          <w:szCs w:val="30"/>
        </w:rPr>
        <w:t xml:space="preserve">6. Observability and performance</w:t>
      </w:r>
    </w:p>
    <w:p>
      <w:pPr>
        <w:pStyle w:val="Heading2"/>
        <w:spacing w:after="120" w:before="260"/>
      </w:pPr>
      <w:r>
        <w:rPr>
          <w:b/>
          <w:bCs/>
          <w:color w:val="243742"/>
          <w:sz w:val="24"/>
          <w:szCs w:val="24"/>
        </w:rPr>
        <w:t xml:space="preserve">6.1 What this use case does and does not have</w:t>
      </w:r>
    </w:p>
    <w:p>
      <w:pPr>
        <w:spacing w:after="140" w:line="280"/>
      </w:pPr>
      <w:r>
        <w:rPr>
          <w:sz w:val="21"/>
          <w:szCs w:val="21"/>
        </w:rPr>
        <w:t xml:space="preserve">This section departs from the equivalent section in other playbooks in this programme, and the difference is worth stating plainly rather than filling the same headings.</w:t>
      </w:r>
    </w:p>
    <w:p>
      <w:pPr>
        <w:spacing w:after="140" w:line="280"/>
      </w:pPr>
      <w:r>
        <w:rPr>
          <w:sz w:val="21"/>
          <w:szCs w:val="21"/>
        </w:rPr>
        <w:t xml:space="preserve">There is no trained machine learning model here. No MLflow experiment, no registered model, no training run, no held-out test split and no accuracy metric. The comparison is deterministic: given the same bid data it produces the same result every time, and that result can be checked by hand against the vendor's own spreadsheet.</w:t>
      </w:r>
    </w:p>
    <w:p>
      <w:pPr>
        <w:spacing w:after="140" w:line="280"/>
      </w:pPr>
      <w:r>
        <w:rPr>
          <w:sz w:val="21"/>
          <w:szCs w:val="21"/>
        </w:rPr>
        <w:t xml:space="preserve">What governs the output instead is a set of named thresholds, and two language model features layered on top of the deterministic result. Those are what this section covers.</w:t>
      </w:r>
    </w:p>
    <w:p>
      <w:pPr>
        <w:spacing w:after="160"/>
      </w:pP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2257"/>
        <w:gridCol w:w="3385"/>
        <w:gridCol w:w="3384"/>
      </w:tblGrid>
      <w:tr>
        <w:trPr>
          <w:tblHeader/>
        </w:trPr>
        <w:tc>
          <w:tcPr>
            <w:tcW w:type="dxa" w:w="2257"/>
            <w:shd w:fill="1F4E5F" w:color="auto" w:val="clear"/>
            <w:tcMar>
              <w:top w:type="dxa" w:w="70"/>
              <w:left w:type="dxa" w:w="110"/>
              <w:bottom w:type="dxa" w:w="70"/>
              <w:right w:type="dxa" w:w="110"/>
            </w:tcMar>
          </w:tcPr>
          <w:p>
            <w:pPr>
              <w:spacing w:after="0" w:line="260"/>
            </w:pPr>
            <w:r>
              <w:rPr>
                <w:b/>
                <w:bCs/>
                <w:color w:val="FFFFFF"/>
                <w:sz w:val="19"/>
                <w:szCs w:val="19"/>
              </w:rPr>
              <w:t xml:space="preserve">Artefact</w:t>
            </w:r>
          </w:p>
        </w:tc>
        <w:tc>
          <w:tcPr>
            <w:tcW w:type="dxa" w:w="3385"/>
            <w:shd w:fill="1F4E5F" w:color="auto" w:val="clear"/>
            <w:tcMar>
              <w:top w:type="dxa" w:w="70"/>
              <w:left w:type="dxa" w:w="110"/>
              <w:bottom w:type="dxa" w:w="70"/>
              <w:right w:type="dxa" w:w="110"/>
            </w:tcMar>
          </w:tcPr>
          <w:p>
            <w:pPr>
              <w:spacing w:after="0" w:line="260"/>
            </w:pPr>
            <w:r>
              <w:rPr>
                <w:b/>
                <w:bCs/>
                <w:color w:val="FFFFFF"/>
                <w:sz w:val="19"/>
                <w:szCs w:val="19"/>
              </w:rPr>
              <w:t xml:space="preserve">Where it is held</w:t>
            </w:r>
          </w:p>
        </w:tc>
        <w:tc>
          <w:tcPr>
            <w:tcW w:type="dxa" w:w="3384"/>
            <w:shd w:fill="1F4E5F" w:color="auto" w:val="clear"/>
            <w:tcMar>
              <w:top w:type="dxa" w:w="70"/>
              <w:left w:type="dxa" w:w="110"/>
              <w:bottom w:type="dxa" w:w="70"/>
              <w:right w:type="dxa" w:w="110"/>
            </w:tcMar>
          </w:tcPr>
          <w:p>
            <w:pPr>
              <w:spacing w:after="0" w:line="260"/>
            </w:pPr>
            <w:r>
              <w:rPr>
                <w:b/>
                <w:bCs/>
                <w:color w:val="FFFFFF"/>
                <w:sz w:val="19"/>
                <w:szCs w:val="19"/>
              </w:rPr>
              <w:t xml:space="preserve">What it carries</w:t>
            </w:r>
          </w:p>
        </w:tc>
      </w:tr>
      <w:tr>
        <w:tc>
          <w:tcPr>
            <w:tcW w:type="dxa" w:w="2257"/>
            <w:tcMar>
              <w:top w:type="dxa" w:w="70"/>
              <w:left w:type="dxa" w:w="110"/>
              <w:bottom w:type="dxa" w:w="70"/>
              <w:right w:type="dxa" w:w="110"/>
            </w:tcMar>
          </w:tcPr>
          <w:p>
            <w:pPr>
              <w:spacing w:after="0" w:line="260"/>
            </w:pPr>
            <w:r>
              <w:rPr>
                <w:b w:val="false"/>
                <w:bCs w:val="false"/>
                <w:color w:val="202A32"/>
                <w:sz w:val="19"/>
                <w:szCs w:val="19"/>
              </w:rPr>
              <w:t xml:space="preserve">Flag thresholds</w:t>
            </w:r>
          </w:p>
        </w:tc>
        <w:tc>
          <w:tcPr>
            <w:tcW w:type="dxa" w:w="3385"/>
            <w:tcMar>
              <w:top w:type="dxa" w:w="70"/>
              <w:left w:type="dxa" w:w="110"/>
              <w:bottom w:type="dxa" w:w="70"/>
              <w:right w:type="dxa" w:w="110"/>
            </w:tcMar>
          </w:tcPr>
          <w:p>
            <w:pPr>
              <w:spacing w:after="0" w:line="260"/>
            </w:pPr>
            <w:r>
              <w:rPr>
                <w:b w:val="false"/>
                <w:bCs w:val="false"/>
                <w:color w:val="202A32"/>
                <w:sz w:val="19"/>
                <w:szCs w:val="19"/>
              </w:rPr>
              <w:t xml:space="preserve">Constants at the top of backend/api/comparison.py and backend/api/rounds.py</w:t>
            </w:r>
          </w:p>
        </w:tc>
        <w:tc>
          <w:tcPr>
            <w:tcW w:type="dxa" w:w="3384"/>
            <w:tcMar>
              <w:top w:type="dxa" w:w="70"/>
              <w:left w:type="dxa" w:w="110"/>
              <w:bottom w:type="dxa" w:w="70"/>
              <w:right w:type="dxa" w:w="110"/>
            </w:tcMar>
          </w:tcPr>
          <w:p>
            <w:pPr>
              <w:spacing w:after="0" w:line="260"/>
            </w:pPr>
            <w:r>
              <w:rPr>
                <w:b w:val="false"/>
                <w:bCs w:val="false"/>
                <w:color w:val="202A32"/>
                <w:sz w:val="19"/>
                <w:szCs w:val="19"/>
              </w:rPr>
              <w:t xml:space="preserve">The values that decide what is flagged</w:t>
            </w:r>
          </w:p>
        </w:tc>
      </w:tr>
      <w:tr>
        <w:tc>
          <w:tcPr>
            <w:tcW w:type="dxa" w:w="225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Test suite</w:t>
            </w:r>
          </w:p>
        </w:tc>
        <w:tc>
          <w:tcPr>
            <w:tcW w:type="dxa" w:w="3385"/>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tests/, run by the pipeline on every change</w:t>
            </w:r>
          </w:p>
        </w:tc>
        <w:tc>
          <w:tcPr>
            <w:tcW w:type="dxa" w:w="3384"/>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66 assertions covering extraction, the engine, uploads and the AI fallback</w:t>
            </w:r>
          </w:p>
        </w:tc>
      </w:tr>
      <w:tr>
        <w:tc>
          <w:tcPr>
            <w:tcW w:type="dxa" w:w="2257"/>
            <w:tcMar>
              <w:top w:type="dxa" w:w="70"/>
              <w:left w:type="dxa" w:w="110"/>
              <w:bottom w:type="dxa" w:w="70"/>
              <w:right w:type="dxa" w:w="110"/>
            </w:tcMar>
          </w:tcPr>
          <w:p>
            <w:pPr>
              <w:spacing w:after="0" w:line="260"/>
            </w:pPr>
            <w:r>
              <w:rPr>
                <w:b w:val="false"/>
                <w:bCs w:val="false"/>
                <w:color w:val="202A32"/>
                <w:sz w:val="19"/>
                <w:szCs w:val="19"/>
              </w:rPr>
              <w:t xml:space="preserve">Build marker</w:t>
            </w:r>
          </w:p>
        </w:tc>
        <w:tc>
          <w:tcPr>
            <w:tcW w:type="dxa" w:w="3385"/>
            <w:tcMar>
              <w:top w:type="dxa" w:w="70"/>
              <w:left w:type="dxa" w:w="110"/>
              <w:bottom w:type="dxa" w:w="70"/>
              <w:right w:type="dxa" w:w="110"/>
            </w:tcMar>
          </w:tcPr>
          <w:p>
            <w:pPr>
              <w:spacing w:after="0" w:line="260"/>
            </w:pPr>
            <w:r>
              <w:rPr>
                <w:b w:val="false"/>
                <w:bCs w:val="false"/>
                <w:color w:val="202A32"/>
                <w:sz w:val="19"/>
                <w:szCs w:val="19"/>
              </w:rPr>
              <w:t xml:space="preserve">The health endpoint</w:t>
            </w:r>
          </w:p>
        </w:tc>
        <w:tc>
          <w:tcPr>
            <w:tcW w:type="dxa" w:w="3384"/>
            <w:tcMar>
              <w:top w:type="dxa" w:w="70"/>
              <w:left w:type="dxa" w:w="110"/>
              <w:bottom w:type="dxa" w:w="70"/>
              <w:right w:type="dxa" w:w="110"/>
            </w:tcMar>
          </w:tcPr>
          <w:p>
            <w:pPr>
              <w:spacing w:after="0" w:line="260"/>
            </w:pPr>
            <w:r>
              <w:rPr>
                <w:b w:val="false"/>
                <w:bCs w:val="false"/>
                <w:color w:val="202A32"/>
                <w:sz w:val="19"/>
                <w:szCs w:val="19"/>
              </w:rPr>
              <w:t xml:space="preserve">The build and the commit currently serving</w:t>
            </w:r>
          </w:p>
        </w:tc>
      </w:tr>
      <w:tr>
        <w:tc>
          <w:tcPr>
            <w:tcW w:type="dxa" w:w="225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Model Serving endpoint</w:t>
            </w:r>
          </w:p>
        </w:tc>
        <w:tc>
          <w:tcPr>
            <w:tcW w:type="dxa" w:w="3385"/>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Configured per environment</w:t>
            </w:r>
          </w:p>
        </w:tc>
        <w:tc>
          <w:tcPr>
            <w:tcW w:type="dxa" w:w="3384"/>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The language model behind the two AI features</w:t>
            </w:r>
          </w:p>
        </w:tc>
      </w:tr>
    </w:tbl>
    <w:p>
      <w:pPr>
        <w:spacing w:after="160"/>
      </w:pPr>
    </w:p>
    <w:p>
      <w:pPr>
        <w:pStyle w:val="Heading2"/>
        <w:spacing w:after="120" w:before="260"/>
      </w:pPr>
      <w:r>
        <w:rPr>
          <w:b/>
          <w:bCs/>
          <w:color w:val="243742"/>
          <w:sz w:val="24"/>
          <w:szCs w:val="24"/>
        </w:rPr>
        <w:t xml:space="preserve">6.2 The values that govern the output</w:t>
      </w:r>
    </w:p>
    <w:p>
      <w:pPr>
        <w:spacing w:after="140" w:line="280"/>
      </w:pPr>
      <w:r>
        <w:rPr>
          <w:sz w:val="21"/>
          <w:szCs w:val="21"/>
        </w:rPr>
        <w:t xml:space="preserve">Each is a deliberate choice, and each is a first-pass value that has not been tuned against a large volume of real tenders. They are listed here because changing one changes what every analyst sees.</w:t>
      </w:r>
    </w:p>
    <w:p>
      <w:pPr>
        <w:spacing w:after="160"/>
      </w:pP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2740"/>
        <w:gridCol w:w="1289"/>
        <w:gridCol w:w="4997"/>
      </w:tblGrid>
      <w:tr>
        <w:trPr>
          <w:tblHeader/>
        </w:trPr>
        <w:tc>
          <w:tcPr>
            <w:tcW w:type="dxa" w:w="2740"/>
            <w:shd w:fill="1F4E5F" w:color="auto" w:val="clear"/>
            <w:tcMar>
              <w:top w:type="dxa" w:w="70"/>
              <w:left w:type="dxa" w:w="110"/>
              <w:bottom w:type="dxa" w:w="70"/>
              <w:right w:type="dxa" w:w="110"/>
            </w:tcMar>
          </w:tcPr>
          <w:p>
            <w:pPr>
              <w:spacing w:after="0" w:line="260"/>
            </w:pPr>
            <w:r>
              <w:rPr>
                <w:b/>
                <w:bCs/>
                <w:color w:val="FFFFFF"/>
                <w:sz w:val="19"/>
                <w:szCs w:val="19"/>
              </w:rPr>
              <w:t xml:space="preserve">Value</w:t>
            </w:r>
          </w:p>
        </w:tc>
        <w:tc>
          <w:tcPr>
            <w:tcW w:type="dxa" w:w="1289"/>
            <w:shd w:fill="1F4E5F" w:color="auto" w:val="clear"/>
            <w:tcMar>
              <w:top w:type="dxa" w:w="70"/>
              <w:left w:type="dxa" w:w="110"/>
              <w:bottom w:type="dxa" w:w="70"/>
              <w:right w:type="dxa" w:w="110"/>
            </w:tcMar>
          </w:tcPr>
          <w:p>
            <w:pPr>
              <w:spacing w:after="0" w:line="260"/>
            </w:pPr>
            <w:r>
              <w:rPr>
                <w:b/>
                <w:bCs/>
                <w:color w:val="FFFFFF"/>
                <w:sz w:val="19"/>
                <w:szCs w:val="19"/>
              </w:rPr>
              <w:t xml:space="preserve">Current</w:t>
            </w:r>
          </w:p>
        </w:tc>
        <w:tc>
          <w:tcPr>
            <w:tcW w:type="dxa" w:w="4997"/>
            <w:shd w:fill="1F4E5F" w:color="auto" w:val="clear"/>
            <w:tcMar>
              <w:top w:type="dxa" w:w="70"/>
              <w:left w:type="dxa" w:w="110"/>
              <w:bottom w:type="dxa" w:w="70"/>
              <w:right w:type="dxa" w:w="110"/>
            </w:tcMar>
          </w:tcPr>
          <w:p>
            <w:pPr>
              <w:spacing w:after="0" w:line="260"/>
            </w:pPr>
            <w:r>
              <w:rPr>
                <w:b/>
                <w:bCs/>
                <w:color w:val="FFFFFF"/>
                <w:sz w:val="19"/>
                <w:szCs w:val="19"/>
              </w:rPr>
              <w:t xml:space="preserve">What it controls</w:t>
            </w:r>
          </w:p>
        </w:tc>
      </w:tr>
      <w:tr>
        <w:tc>
          <w:tcPr>
            <w:tcW w:type="dxa" w:w="2740"/>
            <w:tcMar>
              <w:top w:type="dxa" w:w="70"/>
              <w:left w:type="dxa" w:w="110"/>
              <w:bottom w:type="dxa" w:w="70"/>
              <w:right w:type="dxa" w:w="110"/>
            </w:tcMar>
          </w:tcPr>
          <w:p>
            <w:pPr>
              <w:spacing w:after="0" w:line="260"/>
            </w:pPr>
            <w:r>
              <w:rPr>
                <w:b w:val="false"/>
                <w:bCs w:val="false"/>
                <w:color w:val="202A32"/>
                <w:sz w:val="19"/>
                <w:szCs w:val="19"/>
              </w:rPr>
              <w:t xml:space="preserve">Outlier z-score threshold</w:t>
            </w:r>
          </w:p>
        </w:tc>
        <w:tc>
          <w:tcPr>
            <w:tcW w:type="dxa" w:w="1289"/>
            <w:tcMar>
              <w:top w:type="dxa" w:w="70"/>
              <w:left w:type="dxa" w:w="110"/>
              <w:bottom w:type="dxa" w:w="70"/>
              <w:right w:type="dxa" w:w="110"/>
            </w:tcMar>
          </w:tcPr>
          <w:p>
            <w:pPr>
              <w:spacing w:after="0" w:line="260"/>
            </w:pPr>
            <w:r>
              <w:rPr>
                <w:b w:val="false"/>
                <w:bCs w:val="false"/>
                <w:color w:val="202A32"/>
                <w:sz w:val="19"/>
                <w:szCs w:val="19"/>
              </w:rPr>
              <w:t xml:space="preserve">3.0</w:t>
            </w:r>
          </w:p>
        </w:tc>
        <w:tc>
          <w:tcPr>
            <w:tcW w:type="dxa" w:w="4997"/>
            <w:tcMar>
              <w:top w:type="dxa" w:w="70"/>
              <w:left w:type="dxa" w:w="110"/>
              <w:bottom w:type="dxa" w:w="70"/>
              <w:right w:type="dxa" w:w="110"/>
            </w:tcMar>
          </w:tcPr>
          <w:p>
            <w:pPr>
              <w:spacing w:after="0" w:line="260"/>
            </w:pPr>
            <w:r>
              <w:rPr>
                <w:b w:val="false"/>
                <w:bCs w:val="false"/>
                <w:color w:val="202A32"/>
                <w:sz w:val="19"/>
                <w:szCs w:val="19"/>
              </w:rPr>
              <w:t xml:space="preserve">How far a line must sit from the vendor's own typical ratio before it is flagged. A modified z-score on the median and median absolute deviation, not the mean, so one extreme price cannot mask itself.</w:t>
            </w:r>
          </w:p>
        </w:tc>
      </w:tr>
      <w:tr>
        <w:tc>
          <w:tcPr>
            <w:tcW w:type="dxa" w:w="274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Minimum quotes on a line</w:t>
            </w:r>
          </w:p>
        </w:tc>
        <w:tc>
          <w:tcPr>
            <w:tcW w:type="dxa" w:w="128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3</w:t>
            </w:r>
          </w:p>
        </w:tc>
        <w:tc>
          <w:tcPr>
            <w:tcW w:type="dxa" w:w="499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Below this there is no meaningful peer median, so no outlier is flagged.</w:t>
            </w:r>
          </w:p>
        </w:tc>
      </w:tr>
      <w:tr>
        <w:tc>
          <w:tcPr>
            <w:tcW w:type="dxa" w:w="2740"/>
            <w:tcMar>
              <w:top w:type="dxa" w:w="70"/>
              <w:left w:type="dxa" w:w="110"/>
              <w:bottom w:type="dxa" w:w="70"/>
              <w:right w:type="dxa" w:w="110"/>
            </w:tcMar>
          </w:tcPr>
          <w:p>
            <w:pPr>
              <w:spacing w:after="0" w:line="260"/>
            </w:pPr>
            <w:r>
              <w:rPr>
                <w:b w:val="false"/>
                <w:bCs w:val="false"/>
                <w:color w:val="202A32"/>
                <w:sz w:val="19"/>
                <w:szCs w:val="19"/>
              </w:rPr>
              <w:t xml:space="preserve">Minimum lines for a vendor baseline</w:t>
            </w:r>
          </w:p>
        </w:tc>
        <w:tc>
          <w:tcPr>
            <w:tcW w:type="dxa" w:w="1289"/>
            <w:tcMar>
              <w:top w:type="dxa" w:w="70"/>
              <w:left w:type="dxa" w:w="110"/>
              <w:bottom w:type="dxa" w:w="70"/>
              <w:right w:type="dxa" w:w="110"/>
            </w:tcMar>
          </w:tcPr>
          <w:p>
            <w:pPr>
              <w:spacing w:after="0" w:line="260"/>
            </w:pPr>
            <w:r>
              <w:rPr>
                <w:b w:val="false"/>
                <w:bCs w:val="false"/>
                <w:color w:val="202A32"/>
                <w:sz w:val="19"/>
                <w:szCs w:val="19"/>
              </w:rPr>
              <w:t xml:space="preserve">5</w:t>
            </w:r>
          </w:p>
        </w:tc>
        <w:tc>
          <w:tcPr>
            <w:tcW w:type="dxa" w:w="4997"/>
            <w:tcMar>
              <w:top w:type="dxa" w:w="70"/>
              <w:left w:type="dxa" w:w="110"/>
              <w:bottom w:type="dxa" w:w="70"/>
              <w:right w:type="dxa" w:w="110"/>
            </w:tcMar>
          </w:tcPr>
          <w:p>
            <w:pPr>
              <w:spacing w:after="0" w:line="260"/>
            </w:pPr>
            <w:r>
              <w:rPr>
                <w:b w:val="false"/>
                <w:bCs w:val="false"/>
                <w:color w:val="202A32"/>
                <w:sz w:val="19"/>
                <w:szCs w:val="19"/>
              </w:rPr>
              <w:t xml:space="preserve">Below this there is no reliable sense of what is typical for that vendor.</w:t>
            </w:r>
          </w:p>
        </w:tc>
      </w:tr>
      <w:tr>
        <w:tc>
          <w:tcPr>
            <w:tcW w:type="dxa" w:w="274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Median absolute deviation floor</w:t>
            </w:r>
          </w:p>
        </w:tc>
        <w:tc>
          <w:tcPr>
            <w:tcW w:type="dxa" w:w="128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3 percent</w:t>
            </w:r>
          </w:p>
        </w:tc>
        <w:tc>
          <w:tcPr>
            <w:tcW w:type="dxa" w:w="499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Prevents a vendor with one consistent markup from having every small wobble read as infinitely anomalous.</w:t>
            </w:r>
          </w:p>
        </w:tc>
      </w:tr>
      <w:tr>
        <w:tc>
          <w:tcPr>
            <w:tcW w:type="dxa" w:w="2740"/>
            <w:tcMar>
              <w:top w:type="dxa" w:w="70"/>
              <w:left w:type="dxa" w:w="110"/>
              <w:bottom w:type="dxa" w:w="70"/>
              <w:right w:type="dxa" w:w="110"/>
            </w:tcMar>
          </w:tcPr>
          <w:p>
            <w:pPr>
              <w:spacing w:after="0" w:line="260"/>
            </w:pPr>
            <w:r>
              <w:rPr>
                <w:b w:val="false"/>
                <w:bCs w:val="false"/>
                <w:color w:val="202A32"/>
                <w:sz w:val="19"/>
                <w:szCs w:val="19"/>
              </w:rPr>
              <w:t xml:space="preserve">Arithmetic tolerance</w:t>
            </w:r>
          </w:p>
        </w:tc>
        <w:tc>
          <w:tcPr>
            <w:tcW w:type="dxa" w:w="1289"/>
            <w:tcMar>
              <w:top w:type="dxa" w:w="70"/>
              <w:left w:type="dxa" w:w="110"/>
              <w:bottom w:type="dxa" w:w="70"/>
              <w:right w:type="dxa" w:w="110"/>
            </w:tcMar>
          </w:tcPr>
          <w:p>
            <w:pPr>
              <w:spacing w:after="0" w:line="260"/>
            </w:pPr>
            <w:r>
              <w:rPr>
                <w:b w:val="false"/>
                <w:bCs w:val="false"/>
                <w:color w:val="202A32"/>
                <w:sz w:val="19"/>
                <w:szCs w:val="19"/>
              </w:rPr>
              <w:t xml:space="preserve">0.01</w:t>
            </w:r>
          </w:p>
        </w:tc>
        <w:tc>
          <w:tcPr>
            <w:tcW w:type="dxa" w:w="4997"/>
            <w:tcMar>
              <w:top w:type="dxa" w:w="70"/>
              <w:left w:type="dxa" w:w="110"/>
              <w:bottom w:type="dxa" w:w="70"/>
              <w:right w:type="dxa" w:w="110"/>
            </w:tcMar>
          </w:tcPr>
          <w:p>
            <w:pPr>
              <w:spacing w:after="0" w:line="260"/>
            </w:pPr>
            <w:r>
              <w:rPr>
                <w:b w:val="false"/>
                <w:bCs w:val="false"/>
                <w:color w:val="202A32"/>
                <w:sz w:val="19"/>
                <w:szCs w:val="19"/>
              </w:rPr>
              <w:t xml:space="preserve">Rounding at the second decimal is not an error.</w:t>
            </w:r>
          </w:p>
        </w:tc>
      </w:tr>
      <w:tr>
        <w:tc>
          <w:tcPr>
            <w:tcW w:type="dxa" w:w="274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Round increase tolerance</w:t>
            </w:r>
          </w:p>
        </w:tc>
        <w:tc>
          <w:tcPr>
            <w:tcW w:type="dxa" w:w="128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1.00 AED</w:t>
            </w:r>
          </w:p>
        </w:tc>
        <w:tc>
          <w:tcPr>
            <w:tcW w:type="dxa" w:w="499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Below this an increase between rounds is rounding noise.</w:t>
            </w:r>
          </w:p>
        </w:tc>
      </w:tr>
      <w:tr>
        <w:tc>
          <w:tcPr>
            <w:tcW w:type="dxa" w:w="2740"/>
            <w:tcMar>
              <w:top w:type="dxa" w:w="70"/>
              <w:left w:type="dxa" w:w="110"/>
              <w:bottom w:type="dxa" w:w="70"/>
              <w:right w:type="dxa" w:w="110"/>
            </w:tcMar>
          </w:tcPr>
          <w:p>
            <w:pPr>
              <w:spacing w:after="0" w:line="260"/>
            </w:pPr>
            <w:r>
              <w:rPr>
                <w:b w:val="false"/>
                <w:bCs w:val="false"/>
                <w:color w:val="202A32"/>
                <w:sz w:val="19"/>
                <w:szCs w:val="19"/>
              </w:rPr>
              <w:t xml:space="preserve">Peer deviation threshold</w:t>
            </w:r>
          </w:p>
        </w:tc>
        <w:tc>
          <w:tcPr>
            <w:tcW w:type="dxa" w:w="1289"/>
            <w:tcMar>
              <w:top w:type="dxa" w:w="70"/>
              <w:left w:type="dxa" w:w="110"/>
              <w:bottom w:type="dxa" w:w="70"/>
              <w:right w:type="dxa" w:w="110"/>
            </w:tcMar>
          </w:tcPr>
          <w:p>
            <w:pPr>
              <w:spacing w:after="0" w:line="260"/>
            </w:pPr>
            <w:r>
              <w:rPr>
                <w:b w:val="false"/>
                <w:bCs w:val="false"/>
                <w:color w:val="202A32"/>
                <w:sz w:val="19"/>
                <w:szCs w:val="19"/>
              </w:rPr>
              <w:t xml:space="preserve">4.0</w:t>
            </w:r>
          </w:p>
        </w:tc>
        <w:tc>
          <w:tcPr>
            <w:tcW w:type="dxa" w:w="4997"/>
            <w:tcMar>
              <w:top w:type="dxa" w:w="70"/>
              <w:left w:type="dxa" w:w="110"/>
              <w:bottom w:type="dxa" w:w="70"/>
              <w:right w:type="dxa" w:w="110"/>
            </w:tcMar>
          </w:tcPr>
          <w:p>
            <w:pPr>
              <w:spacing w:after="0" w:line="260"/>
            </w:pPr>
            <w:r>
              <w:rPr>
                <w:b w:val="false"/>
                <w:bCs w:val="false"/>
                <w:color w:val="202A32"/>
                <w:sz w:val="19"/>
                <w:szCs w:val="19"/>
              </w:rPr>
              <w:t xml:space="preserve">How much steeper than peers a discount must be before it is questioned.</w:t>
            </w:r>
          </w:p>
        </w:tc>
      </w:tr>
      <w:tr>
        <w:tc>
          <w:tcPr>
            <w:tcW w:type="dxa" w:w="274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Minimum peers for a round flag</w:t>
            </w:r>
          </w:p>
        </w:tc>
        <w:tc>
          <w:tcPr>
            <w:tcW w:type="dxa" w:w="128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3</w:t>
            </w:r>
          </w:p>
        </w:tc>
        <w:tc>
          <w:tcPr>
            <w:tcW w:type="dxa" w:w="499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Below this there is no reliable peer movement to compare against.</w:t>
            </w:r>
          </w:p>
        </w:tc>
      </w:tr>
      <w:tr>
        <w:tc>
          <w:tcPr>
            <w:tcW w:type="dxa" w:w="2740"/>
            <w:tcMar>
              <w:top w:type="dxa" w:w="70"/>
              <w:left w:type="dxa" w:w="110"/>
              <w:bottom w:type="dxa" w:w="70"/>
              <w:right w:type="dxa" w:w="110"/>
            </w:tcMar>
          </w:tcPr>
          <w:p>
            <w:pPr>
              <w:spacing w:after="0" w:line="260"/>
            </w:pPr>
            <w:r>
              <w:rPr>
                <w:b w:val="false"/>
                <w:bCs w:val="false"/>
                <w:color w:val="202A32"/>
                <w:sz w:val="19"/>
                <w:szCs w:val="19"/>
              </w:rPr>
              <w:t xml:space="preserve">Displayed line cap</w:t>
            </w:r>
          </w:p>
        </w:tc>
        <w:tc>
          <w:tcPr>
            <w:tcW w:type="dxa" w:w="1289"/>
            <w:tcMar>
              <w:top w:type="dxa" w:w="70"/>
              <w:left w:type="dxa" w:w="110"/>
              <w:bottom w:type="dxa" w:w="70"/>
              <w:right w:type="dxa" w:w="110"/>
            </w:tcMar>
          </w:tcPr>
          <w:p>
            <w:pPr>
              <w:spacing w:after="0" w:line="260"/>
            </w:pPr>
            <w:r>
              <w:rPr>
                <w:b w:val="false"/>
                <w:bCs w:val="false"/>
                <w:color w:val="202A32"/>
                <w:sz w:val="19"/>
                <w:szCs w:val="19"/>
              </w:rPr>
              <w:t xml:space="preserve">500</w:t>
            </w:r>
          </w:p>
        </w:tc>
        <w:tc>
          <w:tcPr>
            <w:tcW w:type="dxa" w:w="4997"/>
            <w:tcMar>
              <w:top w:type="dxa" w:w="70"/>
              <w:left w:type="dxa" w:w="110"/>
              <w:bottom w:type="dxa" w:w="70"/>
              <w:right w:type="dxa" w:w="110"/>
            </w:tcMar>
          </w:tcPr>
          <w:p>
            <w:pPr>
              <w:spacing w:after="0" w:line="260"/>
            </w:pPr>
            <w:r>
              <w:rPr>
                <w:b w:val="false"/>
                <w:bCs w:val="false"/>
                <w:color w:val="202A32"/>
                <w:sz w:val="19"/>
                <w:szCs w:val="19"/>
              </w:rPr>
              <w:t xml:space="preserve">Lines shown on screen. Every total and count is still computed over the full BOQ.</w:t>
            </w:r>
          </w:p>
        </w:tc>
      </w:tr>
      <w:tr>
        <w:tc>
          <w:tcPr>
            <w:tcW w:type="dxa" w:w="274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AI estimate line cap</w:t>
            </w:r>
          </w:p>
        </w:tc>
        <w:tc>
          <w:tcPr>
            <w:tcW w:type="dxa" w:w="128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60</w:t>
            </w:r>
          </w:p>
        </w:tc>
        <w:tc>
          <w:tcPr>
            <w:tcW w:type="dxa" w:w="499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Lines sent to the model per tender.</w:t>
            </w:r>
          </w:p>
        </w:tc>
      </w:tr>
      <w:tr>
        <w:tc>
          <w:tcPr>
            <w:tcW w:type="dxa" w:w="2740"/>
            <w:tcMar>
              <w:top w:type="dxa" w:w="70"/>
              <w:left w:type="dxa" w:w="110"/>
              <w:bottom w:type="dxa" w:w="70"/>
              <w:right w:type="dxa" w:w="110"/>
            </w:tcMar>
          </w:tcPr>
          <w:p>
            <w:pPr>
              <w:spacing w:after="0" w:line="260"/>
            </w:pPr>
            <w:r>
              <w:rPr>
                <w:b w:val="false"/>
                <w:bCs w:val="false"/>
                <w:color w:val="202A32"/>
                <w:sz w:val="19"/>
                <w:szCs w:val="19"/>
              </w:rPr>
              <w:t xml:space="preserve">AI total time budget</w:t>
            </w:r>
          </w:p>
        </w:tc>
        <w:tc>
          <w:tcPr>
            <w:tcW w:type="dxa" w:w="1289"/>
            <w:tcMar>
              <w:top w:type="dxa" w:w="70"/>
              <w:left w:type="dxa" w:w="110"/>
              <w:bottom w:type="dxa" w:w="70"/>
              <w:right w:type="dxa" w:w="110"/>
            </w:tcMar>
          </w:tcPr>
          <w:p>
            <w:pPr>
              <w:spacing w:after="0" w:line="260"/>
            </w:pPr>
            <w:r>
              <w:rPr>
                <w:b w:val="false"/>
                <w:bCs w:val="false"/>
                <w:color w:val="202A32"/>
                <w:sz w:val="19"/>
                <w:szCs w:val="19"/>
              </w:rPr>
              <w:t xml:space="preserve">20 seconds</w:t>
            </w:r>
          </w:p>
        </w:tc>
        <w:tc>
          <w:tcPr>
            <w:tcW w:type="dxa" w:w="4997"/>
            <w:tcMar>
              <w:top w:type="dxa" w:w="70"/>
              <w:left w:type="dxa" w:w="110"/>
              <w:bottom w:type="dxa" w:w="70"/>
              <w:right w:type="dxa" w:w="110"/>
            </w:tcMar>
          </w:tcPr>
          <w:p>
            <w:pPr>
              <w:spacing w:after="0" w:line="260"/>
            </w:pPr>
            <w:r>
              <w:rPr>
                <w:b w:val="false"/>
                <w:bCs w:val="false"/>
                <w:color w:val="202A32"/>
                <w:sz w:val="19"/>
                <w:szCs w:val="19"/>
              </w:rPr>
              <w:t xml:space="preserve">The whole model phase. Exceeding the gateway timeout surfaces as an error the application never produced and cannot catch.</w:t>
            </w:r>
          </w:p>
        </w:tc>
      </w:tr>
    </w:tbl>
    <w:p>
      <w:pPr>
        <w:spacing w:after="160"/>
      </w:pPr>
    </w:p>
    <w:p>
      <w:pPr>
        <w:spacing w:after="140" w:line="280"/>
      </w:pPr>
      <w:r>
        <w:rPr>
          <w:sz w:val="21"/>
          <w:szCs w:val="21"/>
        </w:rPr>
        <w:t xml:space="preserve">A critical property of the outlier logic: silence is not clearance. Where the minimums above are not met the system flags nothing, and that is indistinguishable on screen from a clean line. Analysts are told this in the user manual and it belongs in training.</w:t>
      </w:r>
    </w:p>
    <w:p>
      <w:pPr>
        <w:pStyle w:val="Heading2"/>
        <w:spacing w:after="120" w:before="260"/>
      </w:pPr>
      <w:r>
        <w:rPr>
          <w:b/>
          <w:bCs/>
          <w:color w:val="243742"/>
          <w:sz w:val="24"/>
          <w:szCs w:val="24"/>
        </w:rPr>
        <w:t xml:space="preserve">6.3 The AI features and their guardrails</w:t>
      </w:r>
    </w:p>
    <w:p>
      <w:pPr>
        <w:spacing w:after="140" w:line="280"/>
      </w:pPr>
      <w:r>
        <w:rPr>
          <w:sz w:val="21"/>
          <w:szCs w:val="21"/>
        </w:rPr>
        <w:t xml:space="preserve">Both run on a Databricks Model Serving endpoint inside the workspace. No bid data reaches an external provider. Neither runs on page load and neither is persisted, so AI output is always something an analyst asked for.</w:t>
      </w:r>
    </w:p>
    <w:p>
      <w:pPr>
        <w:spacing w:after="160"/>
      </w:pP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1778"/>
        <w:gridCol w:w="3145"/>
        <w:gridCol w:w="4103"/>
      </w:tblGrid>
      <w:tr>
        <w:trPr>
          <w:tblHeader/>
        </w:trPr>
        <w:tc>
          <w:tcPr>
            <w:tcW w:type="dxa" w:w="1778"/>
            <w:shd w:fill="1F4E5F" w:color="auto" w:val="clear"/>
            <w:tcMar>
              <w:top w:type="dxa" w:w="70"/>
              <w:left w:type="dxa" w:w="110"/>
              <w:bottom w:type="dxa" w:w="70"/>
              <w:right w:type="dxa" w:w="110"/>
            </w:tcMar>
          </w:tcPr>
          <w:p>
            <w:pPr>
              <w:spacing w:after="0" w:line="260"/>
            </w:pPr>
            <w:r>
              <w:rPr>
                <w:b/>
                <w:bCs/>
                <w:color w:val="FFFFFF"/>
                <w:sz w:val="19"/>
                <w:szCs w:val="19"/>
              </w:rPr>
              <w:t xml:space="preserve">Feature</w:t>
            </w:r>
          </w:p>
        </w:tc>
        <w:tc>
          <w:tcPr>
            <w:tcW w:type="dxa" w:w="3145"/>
            <w:shd w:fill="1F4E5F" w:color="auto" w:val="clear"/>
            <w:tcMar>
              <w:top w:type="dxa" w:w="70"/>
              <w:left w:type="dxa" w:w="110"/>
              <w:bottom w:type="dxa" w:w="70"/>
              <w:right w:type="dxa" w:w="110"/>
            </w:tcMar>
          </w:tcPr>
          <w:p>
            <w:pPr>
              <w:spacing w:after="0" w:line="260"/>
            </w:pPr>
            <w:r>
              <w:rPr>
                <w:b/>
                <w:bCs/>
                <w:color w:val="FFFFFF"/>
                <w:sz w:val="19"/>
                <w:szCs w:val="19"/>
              </w:rPr>
              <w:t xml:space="preserve">What it does</w:t>
            </w:r>
          </w:p>
        </w:tc>
        <w:tc>
          <w:tcPr>
            <w:tcW w:type="dxa" w:w="4103"/>
            <w:shd w:fill="1F4E5F" w:color="auto" w:val="clear"/>
            <w:tcMar>
              <w:top w:type="dxa" w:w="70"/>
              <w:left w:type="dxa" w:w="110"/>
              <w:bottom w:type="dxa" w:w="70"/>
              <w:right w:type="dxa" w:w="110"/>
            </w:tcMar>
          </w:tcPr>
          <w:p>
            <w:pPr>
              <w:spacing w:after="0" w:line="260"/>
            </w:pPr>
            <w:r>
              <w:rPr>
                <w:b/>
                <w:bCs/>
                <w:color w:val="FFFFFF"/>
                <w:sz w:val="19"/>
                <w:szCs w:val="19"/>
              </w:rPr>
              <w:t xml:space="preserve">Guardrail</w:t>
            </w:r>
          </w:p>
        </w:tc>
      </w:tr>
      <w:tr>
        <w:tc>
          <w:tcPr>
            <w:tcW w:type="dxa" w:w="1778"/>
            <w:tcMar>
              <w:top w:type="dxa" w:w="70"/>
              <w:left w:type="dxa" w:w="110"/>
              <w:bottom w:type="dxa" w:w="70"/>
              <w:right w:type="dxa" w:w="110"/>
            </w:tcMar>
          </w:tcPr>
          <w:p>
            <w:pPr>
              <w:spacing w:after="0" w:line="260"/>
            </w:pPr>
            <w:r>
              <w:rPr>
                <w:b w:val="false"/>
                <w:bCs w:val="false"/>
                <w:color w:val="202A32"/>
                <w:sz w:val="19"/>
                <w:szCs w:val="19"/>
              </w:rPr>
              <w:t xml:space="preserve">Negotiation summary</w:t>
            </w:r>
          </w:p>
        </w:tc>
        <w:tc>
          <w:tcPr>
            <w:tcW w:type="dxa" w:w="3145"/>
            <w:tcMar>
              <w:top w:type="dxa" w:w="70"/>
              <w:left w:type="dxa" w:w="110"/>
              <w:bottom w:type="dxa" w:w="70"/>
              <w:right w:type="dxa" w:w="110"/>
            </w:tcMar>
          </w:tcPr>
          <w:p>
            <w:pPr>
              <w:spacing w:after="0" w:line="260"/>
            </w:pPr>
            <w:r>
              <w:rPr>
                <w:b w:val="false"/>
                <w:bCs w:val="false"/>
                <w:color w:val="202A32"/>
                <w:sz w:val="19"/>
                <w:szCs w:val="19"/>
              </w:rPr>
              <w:t xml:space="preserve">Writes an overview and per-vendor talking points from the ranked report.</w:t>
            </w:r>
          </w:p>
        </w:tc>
        <w:tc>
          <w:tcPr>
            <w:tcW w:type="dxa" w:w="4103"/>
            <w:tcMar>
              <w:top w:type="dxa" w:w="70"/>
              <w:left w:type="dxa" w:w="110"/>
              <w:bottom w:type="dxa" w:w="70"/>
              <w:right w:type="dxa" w:w="110"/>
            </w:tcMar>
          </w:tcPr>
          <w:p>
            <w:pPr>
              <w:spacing w:after="0" w:line="260"/>
            </w:pPr>
            <w:r>
              <w:rPr>
                <w:b w:val="false"/>
                <w:bCs w:val="false"/>
                <w:color w:val="202A32"/>
                <w:sz w:val="19"/>
                <w:szCs w:val="19"/>
              </w:rPr>
              <w:t xml:space="preserve">May only describe figures already in the report. A deterministic check after the response strips any reference to a vendor not bidding on the tender. It does not recommend an award.</w:t>
            </w:r>
          </w:p>
        </w:tc>
      </w:tr>
      <w:tr>
        <w:tc>
          <w:tcPr>
            <w:tcW w:type="dxa" w:w="1778"/>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AI generated prices</w:t>
            </w:r>
          </w:p>
        </w:tc>
        <w:tc>
          <w:tcPr>
            <w:tcW w:type="dxa" w:w="3145"/>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Estimates a fair price per line from the model's own general knowledge.</w:t>
            </w:r>
          </w:p>
        </w:tc>
        <w:tc>
          <w:tcPr>
            <w:tcW w:type="dxa" w:w="4103"/>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An invented figure with no verifiable source, and labelled as advisory. Confidence is self-reported and defaulted down to low where the model did not state one.</w:t>
            </w:r>
          </w:p>
        </w:tc>
      </w:tr>
    </w:tbl>
    <w:p>
      <w:pPr>
        <w:spacing w:after="160"/>
      </w:pPr>
    </w:p>
    <w:p>
      <w:pPr>
        <w:spacing w:after="140" w:line="280"/>
      </w:pPr>
      <w:r>
        <w:rPr>
          <w:sz w:val="21"/>
          <w:szCs w:val="21"/>
        </w:rPr>
        <w:t xml:space="preserve">The AI price feature degrades rather than failing. Where the model is unreachable, times out or returns something unusable, each line falls back to the median of the vendor quotes already on it.</w:t>
      </w:r>
    </w:p>
    <w:p>
      <w:pPr>
        <w:spacing w:after="140" w:line="280"/>
      </w:pPr>
      <w:r>
        <w:rPr>
          <w:sz w:val="21"/>
          <w:szCs w:val="21"/>
        </w:rPr>
        <w:t xml:space="preserve">Note for anyone reading that column: by product decision the screen does not distinguish a fallback figure from a model estimate. A fallback is computed from the quotes beside it, so it will often equal one of them exactly. That is arithmetic, not the model independently confirming a vendor's price. The distinction remains in the API response as source, alongside degraded and the failure reason.</w:t>
      </w:r>
    </w:p>
    <w:p>
      <w:pPr>
        <w:pStyle w:val="Heading2"/>
        <w:spacing w:after="120" w:before="260"/>
      </w:pPr>
      <w:r>
        <w:rPr>
          <w:b/>
          <w:bCs/>
          <w:color w:val="243742"/>
          <w:sz w:val="24"/>
          <w:szCs w:val="24"/>
        </w:rPr>
        <w:t xml:space="preserve">6.4 Checks before a release</w:t>
      </w: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2292"/>
        <w:gridCol w:w="2436"/>
        <w:gridCol w:w="4298"/>
      </w:tblGrid>
      <w:tr>
        <w:trPr>
          <w:tblHeader/>
        </w:trPr>
        <w:tc>
          <w:tcPr>
            <w:tcW w:type="dxa" w:w="2292"/>
            <w:shd w:fill="1F4E5F" w:color="auto" w:val="clear"/>
            <w:tcMar>
              <w:top w:type="dxa" w:w="70"/>
              <w:left w:type="dxa" w:w="110"/>
              <w:bottom w:type="dxa" w:w="70"/>
              <w:right w:type="dxa" w:w="110"/>
            </w:tcMar>
          </w:tcPr>
          <w:p>
            <w:pPr>
              <w:spacing w:after="0" w:line="260"/>
            </w:pPr>
            <w:r>
              <w:rPr>
                <w:b/>
                <w:bCs/>
                <w:color w:val="FFFFFF"/>
                <w:sz w:val="19"/>
                <w:szCs w:val="19"/>
              </w:rPr>
              <w:t xml:space="preserve">Check</w:t>
            </w:r>
          </w:p>
        </w:tc>
        <w:tc>
          <w:tcPr>
            <w:tcW w:type="dxa" w:w="2436"/>
            <w:shd w:fill="1F4E5F" w:color="auto" w:val="clear"/>
            <w:tcMar>
              <w:top w:type="dxa" w:w="70"/>
              <w:left w:type="dxa" w:w="110"/>
              <w:bottom w:type="dxa" w:w="70"/>
              <w:right w:type="dxa" w:w="110"/>
            </w:tcMar>
          </w:tcPr>
          <w:p>
            <w:pPr>
              <w:spacing w:after="0" w:line="260"/>
            </w:pPr>
            <w:r>
              <w:rPr>
                <w:b/>
                <w:bCs/>
                <w:color w:val="FFFFFF"/>
                <w:sz w:val="19"/>
                <w:szCs w:val="19"/>
              </w:rPr>
              <w:t xml:space="preserve">Source</w:t>
            </w:r>
          </w:p>
        </w:tc>
        <w:tc>
          <w:tcPr>
            <w:tcW w:type="dxa" w:w="4298"/>
            <w:shd w:fill="1F4E5F" w:color="auto" w:val="clear"/>
            <w:tcMar>
              <w:top w:type="dxa" w:w="70"/>
              <w:left w:type="dxa" w:w="110"/>
              <w:bottom w:type="dxa" w:w="70"/>
              <w:right w:type="dxa" w:w="110"/>
            </w:tcMar>
          </w:tcPr>
          <w:p>
            <w:pPr>
              <w:spacing w:after="0" w:line="260"/>
            </w:pPr>
            <w:r>
              <w:rPr>
                <w:b/>
                <w:bCs/>
                <w:color w:val="FFFFFF"/>
                <w:sz w:val="19"/>
                <w:szCs w:val="19"/>
              </w:rPr>
              <w:t xml:space="preserve">Accept when</w:t>
            </w:r>
          </w:p>
        </w:tc>
      </w:tr>
      <w:tr>
        <w:tc>
          <w:tcPr>
            <w:tcW w:type="dxa" w:w="2292"/>
            <w:tcMar>
              <w:top w:type="dxa" w:w="70"/>
              <w:left w:type="dxa" w:w="110"/>
              <w:bottom w:type="dxa" w:w="70"/>
              <w:right w:type="dxa" w:w="110"/>
            </w:tcMar>
          </w:tcPr>
          <w:p>
            <w:pPr>
              <w:spacing w:after="0" w:line="260"/>
            </w:pPr>
            <w:r>
              <w:rPr>
                <w:b w:val="false"/>
                <w:bCs w:val="false"/>
                <w:color w:val="202A32"/>
                <w:sz w:val="19"/>
                <w:szCs w:val="19"/>
              </w:rPr>
              <w:t xml:space="preserve">Test suite</w:t>
            </w:r>
          </w:p>
        </w:tc>
        <w:tc>
          <w:tcPr>
            <w:tcW w:type="dxa" w:w="2436"/>
            <w:tcMar>
              <w:top w:type="dxa" w:w="70"/>
              <w:left w:type="dxa" w:w="110"/>
              <w:bottom w:type="dxa" w:w="70"/>
              <w:right w:type="dxa" w:w="110"/>
            </w:tcMar>
          </w:tcPr>
          <w:p>
            <w:pPr>
              <w:spacing w:after="0" w:line="260"/>
            </w:pPr>
            <w:r>
              <w:rPr>
                <w:b w:val="false"/>
                <w:bCs w:val="false"/>
                <w:color w:val="202A32"/>
                <w:sz w:val="19"/>
                <w:szCs w:val="19"/>
              </w:rPr>
              <w:t xml:space="preserve">Pipeline Validate stage</w:t>
            </w:r>
          </w:p>
        </w:tc>
        <w:tc>
          <w:tcPr>
            <w:tcW w:type="dxa" w:w="4298"/>
            <w:tcMar>
              <w:top w:type="dxa" w:w="70"/>
              <w:left w:type="dxa" w:w="110"/>
              <w:bottom w:type="dxa" w:w="70"/>
              <w:right w:type="dxa" w:w="110"/>
            </w:tcMar>
          </w:tcPr>
          <w:p>
            <w:pPr>
              <w:spacing w:after="0" w:line="260"/>
            </w:pPr>
            <w:r>
              <w:rPr>
                <w:b w:val="false"/>
                <w:bCs w:val="false"/>
                <w:color w:val="202A32"/>
                <w:sz w:val="19"/>
                <w:szCs w:val="19"/>
              </w:rPr>
              <w:t xml:space="preserve">All assertions pass. A failure in the engine suites is a behaviour change, not a flaky test.</w:t>
            </w:r>
          </w:p>
        </w:tc>
      </w:tr>
      <w:tr>
        <w:tc>
          <w:tcPr>
            <w:tcW w:type="dxa" w:w="2292"/>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Maximo path unchanged</w:t>
            </w:r>
          </w:p>
        </w:tc>
        <w:tc>
          <w:tcPr>
            <w:tcW w:type="dxa" w:w="2436"/>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The parity assertions in the engine suite</w:t>
            </w:r>
          </w:p>
        </w:tc>
        <w:tc>
          <w:tcPr>
            <w:tcW w:type="dxa" w:w="4298"/>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The Maximo path still reads Maximo and still defaults to the original round.</w:t>
            </w:r>
          </w:p>
        </w:tc>
      </w:tr>
      <w:tr>
        <w:tc>
          <w:tcPr>
            <w:tcW w:type="dxa" w:w="2292"/>
            <w:tcMar>
              <w:top w:type="dxa" w:w="70"/>
              <w:left w:type="dxa" w:w="110"/>
              <w:bottom w:type="dxa" w:w="70"/>
              <w:right w:type="dxa" w:w="110"/>
            </w:tcMar>
          </w:tcPr>
          <w:p>
            <w:pPr>
              <w:spacing w:after="0" w:line="260"/>
            </w:pPr>
            <w:r>
              <w:rPr>
                <w:b w:val="false"/>
                <w:bCs w:val="false"/>
                <w:color w:val="202A32"/>
                <w:sz w:val="19"/>
                <w:szCs w:val="19"/>
              </w:rPr>
              <w:t xml:space="preserve">Extraction accuracy</w:t>
            </w:r>
          </w:p>
        </w:tc>
        <w:tc>
          <w:tcPr>
            <w:tcW w:type="dxa" w:w="2436"/>
            <w:tcMar>
              <w:top w:type="dxa" w:w="70"/>
              <w:left w:type="dxa" w:w="110"/>
              <w:bottom w:type="dxa" w:w="70"/>
              <w:right w:type="dxa" w:w="110"/>
            </w:tcMar>
          </w:tcPr>
          <w:p>
            <w:pPr>
              <w:spacing w:after="0" w:line="260"/>
            </w:pPr>
            <w:r>
              <w:rPr>
                <w:b w:val="false"/>
                <w:bCs w:val="false"/>
                <w:color w:val="202A32"/>
                <w:sz w:val="19"/>
                <w:szCs w:val="19"/>
              </w:rPr>
              <w:t xml:space="preserve">The reconciliation check on each uploaded file</w:t>
            </w:r>
          </w:p>
        </w:tc>
        <w:tc>
          <w:tcPr>
            <w:tcW w:type="dxa" w:w="4298"/>
            <w:tcMar>
              <w:top w:type="dxa" w:w="70"/>
              <w:left w:type="dxa" w:w="110"/>
              <w:bottom w:type="dxa" w:w="70"/>
              <w:right w:type="dxa" w:w="110"/>
            </w:tcMar>
          </w:tcPr>
          <w:p>
            <w:pPr>
              <w:spacing w:after="0" w:line="260"/>
            </w:pPr>
            <w:r>
              <w:rPr>
                <w:b w:val="false"/>
                <w:bCs w:val="false"/>
                <w:color w:val="202A32"/>
                <w:sz w:val="19"/>
                <w:szCs w:val="19"/>
              </w:rPr>
              <w:t xml:space="preserve">Extracted lines agree with the vendor's own summary sheet.</w:t>
            </w:r>
          </w:p>
        </w:tc>
      </w:tr>
      <w:tr>
        <w:tc>
          <w:tcPr>
            <w:tcW w:type="dxa" w:w="2292"/>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Flag counts on a real tender</w:t>
            </w:r>
          </w:p>
        </w:tc>
        <w:tc>
          <w:tcPr>
            <w:tcW w:type="dxa" w:w="2436"/>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Manual, before and after</w:t>
            </w:r>
          </w:p>
        </w:tc>
        <w:tc>
          <w:tcPr>
            <w:tcW w:type="dxa" w:w="4298"/>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Any change in flag volume is explained, not merely observed.</w:t>
            </w:r>
          </w:p>
        </w:tc>
      </w:tr>
      <w:tr>
        <w:tc>
          <w:tcPr>
            <w:tcW w:type="dxa" w:w="2292"/>
            <w:tcMar>
              <w:top w:type="dxa" w:w="70"/>
              <w:left w:type="dxa" w:w="110"/>
              <w:bottom w:type="dxa" w:w="70"/>
              <w:right w:type="dxa" w:w="110"/>
            </w:tcMar>
          </w:tcPr>
          <w:p>
            <w:pPr>
              <w:spacing w:after="0" w:line="260"/>
            </w:pPr>
            <w:r>
              <w:rPr>
                <w:b w:val="false"/>
                <w:bCs w:val="false"/>
                <w:color w:val="202A32"/>
                <w:sz w:val="19"/>
                <w:szCs w:val="19"/>
              </w:rPr>
              <w:t xml:space="preserve">Deployment took effect</w:t>
            </w:r>
          </w:p>
        </w:tc>
        <w:tc>
          <w:tcPr>
            <w:tcW w:type="dxa" w:w="2436"/>
            <w:tcMar>
              <w:top w:type="dxa" w:w="70"/>
              <w:left w:type="dxa" w:w="110"/>
              <w:bottom w:type="dxa" w:w="70"/>
              <w:right w:type="dxa" w:w="110"/>
            </w:tcMar>
          </w:tcPr>
          <w:p>
            <w:pPr>
              <w:spacing w:after="0" w:line="260"/>
            </w:pPr>
            <w:r>
              <w:rPr>
                <w:b w:val="false"/>
                <w:bCs w:val="false"/>
                <w:color w:val="202A32"/>
                <w:sz w:val="19"/>
                <w:szCs w:val="19"/>
              </w:rPr>
              <w:t xml:space="preserve">The health endpoint</w:t>
            </w:r>
          </w:p>
        </w:tc>
        <w:tc>
          <w:tcPr>
            <w:tcW w:type="dxa" w:w="4298"/>
            <w:tcMar>
              <w:top w:type="dxa" w:w="70"/>
              <w:left w:type="dxa" w:w="110"/>
              <w:bottom w:type="dxa" w:w="70"/>
              <w:right w:type="dxa" w:w="110"/>
            </w:tcMar>
          </w:tcPr>
          <w:p>
            <w:pPr>
              <w:spacing w:after="0" w:line="260"/>
            </w:pPr>
            <w:r>
              <w:rPr>
                <w:b w:val="false"/>
                <w:bCs w:val="false"/>
                <w:color w:val="202A32"/>
                <w:sz w:val="19"/>
                <w:szCs w:val="19"/>
              </w:rPr>
              <w:t xml:space="preserve">The reported commit matches the commit deployed.</w:t>
            </w:r>
          </w:p>
        </w:tc>
      </w:tr>
    </w:tbl>
    <w:p>
      <w:pPr>
        <w:spacing w:after="160"/>
      </w:pPr>
    </w:p>
    <w:p>
      <w:pPr>
        <w:pStyle w:val="Heading2"/>
        <w:spacing w:after="120" w:before="260"/>
      </w:pPr>
      <w:r>
        <w:rPr>
          <w:b/>
          <w:bCs/>
          <w:color w:val="243742"/>
          <w:sz w:val="24"/>
          <w:szCs w:val="24"/>
        </w:rPr>
        <w:t xml:space="preserve">6.5 Application signals</w:t>
      </w: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3139"/>
        <w:gridCol w:w="5887"/>
      </w:tblGrid>
      <w:tr>
        <w:trPr>
          <w:tblHeader/>
        </w:trPr>
        <w:tc>
          <w:tcPr>
            <w:tcW w:type="dxa" w:w="3139"/>
            <w:shd w:fill="1F4E5F" w:color="auto" w:val="clear"/>
            <w:tcMar>
              <w:top w:type="dxa" w:w="70"/>
              <w:left w:type="dxa" w:w="110"/>
              <w:bottom w:type="dxa" w:w="70"/>
              <w:right w:type="dxa" w:w="110"/>
            </w:tcMar>
          </w:tcPr>
          <w:p>
            <w:pPr>
              <w:spacing w:after="0" w:line="260"/>
            </w:pPr>
            <w:r>
              <w:rPr>
                <w:b/>
                <w:bCs/>
                <w:color w:val="FFFFFF"/>
                <w:sz w:val="19"/>
                <w:szCs w:val="19"/>
              </w:rPr>
              <w:t xml:space="preserve">Signal</w:t>
            </w:r>
          </w:p>
        </w:tc>
        <w:tc>
          <w:tcPr>
            <w:tcW w:type="dxa" w:w="5887"/>
            <w:shd w:fill="1F4E5F" w:color="auto" w:val="clear"/>
            <w:tcMar>
              <w:top w:type="dxa" w:w="70"/>
              <w:left w:type="dxa" w:w="110"/>
              <w:bottom w:type="dxa" w:w="70"/>
              <w:right w:type="dxa" w:w="110"/>
            </w:tcMar>
          </w:tcPr>
          <w:p>
            <w:pPr>
              <w:spacing w:after="0" w:line="260"/>
            </w:pPr>
            <w:r>
              <w:rPr>
                <w:b/>
                <w:bCs/>
                <w:color w:val="FFFFFF"/>
                <w:sz w:val="19"/>
                <w:szCs w:val="19"/>
              </w:rPr>
              <w:t xml:space="preserve">Where</w:t>
            </w:r>
          </w:p>
        </w:tc>
      </w:tr>
      <w:tr>
        <w:tc>
          <w:tcPr>
            <w:tcW w:type="dxa" w:w="3139"/>
            <w:tcMar>
              <w:top w:type="dxa" w:w="70"/>
              <w:left w:type="dxa" w:w="110"/>
              <w:bottom w:type="dxa" w:w="70"/>
              <w:right w:type="dxa" w:w="110"/>
            </w:tcMar>
          </w:tcPr>
          <w:p>
            <w:pPr>
              <w:spacing w:after="0" w:line="260"/>
            </w:pPr>
            <w:r>
              <w:rPr>
                <w:b w:val="false"/>
                <w:bCs w:val="false"/>
                <w:color w:val="202A32"/>
                <w:sz w:val="19"/>
                <w:szCs w:val="19"/>
              </w:rPr>
              <w:t xml:space="preserve">Liveness, build and deployed commit</w:t>
            </w:r>
          </w:p>
        </w:tc>
        <w:tc>
          <w:tcPr>
            <w:tcW w:type="dxa" w:w="5887"/>
            <w:tcMar>
              <w:top w:type="dxa" w:w="70"/>
              <w:left w:type="dxa" w:w="110"/>
              <w:bottom w:type="dxa" w:w="70"/>
              <w:right w:type="dxa" w:w="110"/>
            </w:tcMar>
          </w:tcPr>
          <w:p>
            <w:pPr>
              <w:spacing w:after="0" w:line="260"/>
            </w:pPr>
            <w:r>
              <w:rPr>
                <w:b w:val="false"/>
                <w:bCs w:val="false"/>
                <w:color w:val="202A32"/>
                <w:sz w:val="19"/>
                <w:szCs w:val="19"/>
              </w:rPr>
              <w:t xml:space="preserve">GET /health</w:t>
            </w:r>
          </w:p>
        </w:tc>
      </w:tr>
      <w:tr>
        <w:tc>
          <w:tcPr>
            <w:tcW w:type="dxa" w:w="313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Request and error logs</w:t>
            </w:r>
          </w:p>
        </w:tc>
        <w:tc>
          <w:tcPr>
            <w:tcW w:type="dxa" w:w="588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Uvicorn defaults, in the Databricks Apps log pane</w:t>
            </w:r>
          </w:p>
        </w:tc>
      </w:tr>
      <w:tr>
        <w:tc>
          <w:tcPr>
            <w:tcW w:type="dxa" w:w="3139"/>
            <w:tcMar>
              <w:top w:type="dxa" w:w="70"/>
              <w:left w:type="dxa" w:w="110"/>
              <w:bottom w:type="dxa" w:w="70"/>
              <w:right w:type="dxa" w:w="110"/>
            </w:tcMar>
          </w:tcPr>
          <w:p>
            <w:pPr>
              <w:spacing w:after="0" w:line="260"/>
            </w:pPr>
            <w:r>
              <w:rPr>
                <w:b w:val="false"/>
                <w:bCs w:val="false"/>
                <w:color w:val="202A32"/>
                <w:sz w:val="19"/>
                <w:szCs w:val="19"/>
              </w:rPr>
              <w:t xml:space="preserve">Failed warehouse calls</w:t>
            </w:r>
          </w:p>
        </w:tc>
        <w:tc>
          <w:tcPr>
            <w:tcW w:type="dxa" w:w="5887"/>
            <w:tcMar>
              <w:top w:type="dxa" w:w="70"/>
              <w:left w:type="dxa" w:w="110"/>
              <w:bottom w:type="dxa" w:w="70"/>
              <w:right w:type="dxa" w:w="110"/>
            </w:tcMar>
          </w:tcPr>
          <w:p>
            <w:pPr>
              <w:spacing w:after="0" w:line="260"/>
            </w:pPr>
            <w:r>
              <w:rPr>
                <w:b w:val="false"/>
                <w:bCs w:val="false"/>
                <w:color w:val="202A32"/>
                <w:sz w:val="19"/>
                <w:szCs w:val="19"/>
              </w:rPr>
              <w:t xml:space="preserve">Returned to the caller as HTTP 503 with the real reason, never a guessed one</w:t>
            </w:r>
          </w:p>
        </w:tc>
      </w:tr>
      <w:tr>
        <w:tc>
          <w:tcPr>
            <w:tcW w:type="dxa" w:w="313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Missing grant on a write</w:t>
            </w:r>
          </w:p>
        </w:tc>
        <w:tc>
          <w:tcPr>
            <w:tcW w:type="dxa" w:w="588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Returned as HTTP 503 naming the grant required</w:t>
            </w:r>
          </w:p>
        </w:tc>
      </w:tr>
      <w:tr>
        <w:tc>
          <w:tcPr>
            <w:tcW w:type="dxa" w:w="3139"/>
            <w:tcMar>
              <w:top w:type="dxa" w:w="70"/>
              <w:left w:type="dxa" w:w="110"/>
              <w:bottom w:type="dxa" w:w="70"/>
              <w:right w:type="dxa" w:w="110"/>
            </w:tcMar>
          </w:tcPr>
          <w:p>
            <w:pPr>
              <w:spacing w:after="0" w:line="260"/>
            </w:pPr>
            <w:r>
              <w:rPr>
                <w:b w:val="false"/>
                <w:bCs w:val="false"/>
                <w:color w:val="202A32"/>
                <w:sz w:val="19"/>
                <w:szCs w:val="19"/>
              </w:rPr>
              <w:t xml:space="preserve">AI degradation</w:t>
            </w:r>
          </w:p>
        </w:tc>
        <w:tc>
          <w:tcPr>
            <w:tcW w:type="dxa" w:w="5887"/>
            <w:tcMar>
              <w:top w:type="dxa" w:w="70"/>
              <w:left w:type="dxa" w:w="110"/>
              <w:bottom w:type="dxa" w:w="70"/>
              <w:right w:type="dxa" w:w="110"/>
            </w:tcMar>
          </w:tcPr>
          <w:p>
            <w:pPr>
              <w:spacing w:after="0" w:line="260"/>
            </w:pPr>
            <w:r>
              <w:rPr>
                <w:b w:val="false"/>
                <w:bCs w:val="false"/>
                <w:color w:val="202A32"/>
                <w:sz w:val="19"/>
                <w:szCs w:val="19"/>
              </w:rPr>
              <w:t xml:space="preserve">degraded and fallback_reason in the AI pricing response</w:t>
            </w:r>
          </w:p>
        </w:tc>
      </w:tr>
    </w:tbl>
    <w:p>
      <w:pPr>
        <w:spacing w:after="160"/>
      </w:pPr>
    </w:p>
    <w:p>
      <w:pPr>
        <w:spacing w:after="140" w:line="280"/>
      </w:pPr>
      <w:r>
        <w:rPr>
          <w:sz w:val="21"/>
          <w:szCs w:val="21"/>
        </w:rPr>
        <w:t xml:space="preserve">What is not measured today: usage volume, time saved per bid, how often an analyst overrides a flag, and whether the flags correlate with issues the analyst would have found anyway. Section 8 lists these as the measures to put in place, and they are the figures the business case will eventually be judged on.</w:t>
      </w:r>
    </w:p>
    <w:p>
      <w:r>
        <w:br w:type="page"/>
      </w:r>
    </w:p>
    <w:p>
      <w:pPr>
        <w:pStyle w:val="Heading1"/>
        <w:spacing w:after="160" w:before="320"/>
      </w:pPr>
      <w:r>
        <w:rPr>
          <w:b/>
          <w:bCs/>
          <w:color w:val="1F4E5F"/>
          <w:sz w:val="30"/>
          <w:szCs w:val="30"/>
        </w:rPr>
        <w:t xml:space="preserve">7. Adoption and change considerations</w:t>
      </w:r>
    </w:p>
    <w:p>
      <w:pPr>
        <w:pStyle w:val="Heading2"/>
        <w:spacing w:after="120" w:before="260"/>
      </w:pPr>
      <w:r>
        <w:rPr>
          <w:b/>
          <w:bCs/>
          <w:color w:val="243742"/>
          <w:sz w:val="24"/>
          <w:szCs w:val="24"/>
        </w:rPr>
        <w:t xml:space="preserve">7.1 Rollout stages</w:t>
      </w: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1456"/>
        <w:gridCol w:w="3785"/>
        <w:gridCol w:w="3785"/>
      </w:tblGrid>
      <w:tr>
        <w:trPr>
          <w:tblHeader/>
        </w:trPr>
        <w:tc>
          <w:tcPr>
            <w:tcW w:type="dxa" w:w="1456"/>
            <w:shd w:fill="1F4E5F" w:color="auto" w:val="clear"/>
            <w:tcMar>
              <w:top w:type="dxa" w:w="70"/>
              <w:left w:type="dxa" w:w="110"/>
              <w:bottom w:type="dxa" w:w="70"/>
              <w:right w:type="dxa" w:w="110"/>
            </w:tcMar>
          </w:tcPr>
          <w:p>
            <w:pPr>
              <w:spacing w:after="0" w:line="260"/>
            </w:pPr>
            <w:r>
              <w:rPr>
                <w:b/>
                <w:bCs/>
                <w:color w:val="FFFFFF"/>
                <w:sz w:val="19"/>
                <w:szCs w:val="19"/>
              </w:rPr>
              <w:t xml:space="preserve">Stage</w:t>
            </w:r>
          </w:p>
        </w:tc>
        <w:tc>
          <w:tcPr>
            <w:tcW w:type="dxa" w:w="3785"/>
            <w:shd w:fill="1F4E5F" w:color="auto" w:val="clear"/>
            <w:tcMar>
              <w:top w:type="dxa" w:w="70"/>
              <w:left w:type="dxa" w:w="110"/>
              <w:bottom w:type="dxa" w:w="70"/>
              <w:right w:type="dxa" w:w="110"/>
            </w:tcMar>
          </w:tcPr>
          <w:p>
            <w:pPr>
              <w:spacing w:after="0" w:line="260"/>
            </w:pPr>
            <w:r>
              <w:rPr>
                <w:b/>
                <w:bCs/>
                <w:color w:val="FFFFFF"/>
                <w:sz w:val="19"/>
                <w:szCs w:val="19"/>
              </w:rPr>
              <w:t xml:space="preserve">Activity</w:t>
            </w:r>
          </w:p>
        </w:tc>
        <w:tc>
          <w:tcPr>
            <w:tcW w:type="dxa" w:w="3785"/>
            <w:shd w:fill="1F4E5F" w:color="auto" w:val="clear"/>
            <w:tcMar>
              <w:top w:type="dxa" w:w="70"/>
              <w:left w:type="dxa" w:w="110"/>
              <w:bottom w:type="dxa" w:w="70"/>
              <w:right w:type="dxa" w:w="110"/>
            </w:tcMar>
          </w:tcPr>
          <w:p>
            <w:pPr>
              <w:spacing w:after="0" w:line="260"/>
            </w:pPr>
            <w:r>
              <w:rPr>
                <w:b/>
                <w:bCs/>
                <w:color w:val="FFFFFF"/>
                <w:sz w:val="19"/>
                <w:szCs w:val="19"/>
              </w:rPr>
              <w:t xml:space="preserve">Exit condition</w:t>
            </w:r>
          </w:p>
        </w:tc>
      </w:tr>
      <w:tr>
        <w:tc>
          <w:tcPr>
            <w:tcW w:type="dxa" w:w="1456"/>
            <w:tcMar>
              <w:top w:type="dxa" w:w="70"/>
              <w:left w:type="dxa" w:w="110"/>
              <w:bottom w:type="dxa" w:w="70"/>
              <w:right w:type="dxa" w:w="110"/>
            </w:tcMar>
          </w:tcPr>
          <w:p>
            <w:pPr>
              <w:spacing w:after="0" w:line="260"/>
            </w:pPr>
            <w:r>
              <w:rPr>
                <w:b w:val="false"/>
                <w:bCs w:val="false"/>
                <w:color w:val="202A32"/>
                <w:sz w:val="19"/>
                <w:szCs w:val="19"/>
              </w:rPr>
              <w:t xml:space="preserve">1. UAT</w:t>
            </w:r>
          </w:p>
        </w:tc>
        <w:tc>
          <w:tcPr>
            <w:tcW w:type="dxa" w:w="3785"/>
            <w:tcMar>
              <w:top w:type="dxa" w:w="70"/>
              <w:left w:type="dxa" w:w="110"/>
              <w:bottom w:type="dxa" w:w="70"/>
              <w:right w:type="dxa" w:w="110"/>
            </w:tcMar>
          </w:tcPr>
          <w:p>
            <w:pPr>
              <w:spacing w:after="0" w:line="260"/>
            </w:pPr>
            <w:r>
              <w:rPr>
                <w:b w:val="false"/>
                <w:bCs w:val="false"/>
                <w:color w:val="202A32"/>
                <w:sz w:val="19"/>
                <w:szCs w:val="19"/>
              </w:rPr>
              <w:t xml:space="preserve">Named analysts work real tenders in the system with the delivery team present.</w:t>
            </w:r>
          </w:p>
        </w:tc>
        <w:tc>
          <w:tcPr>
            <w:tcW w:type="dxa" w:w="3785"/>
            <w:tcMar>
              <w:top w:type="dxa" w:w="70"/>
              <w:left w:type="dxa" w:w="110"/>
              <w:bottom w:type="dxa" w:w="70"/>
              <w:right w:type="dxa" w:w="110"/>
            </w:tcMar>
          </w:tcPr>
          <w:p>
            <w:pPr>
              <w:spacing w:after="0" w:line="260"/>
            </w:pPr>
            <w:r>
              <w:rPr>
                <w:b w:val="false"/>
                <w:bCs w:val="false"/>
                <w:color w:val="202A32"/>
                <w:sz w:val="19"/>
                <w:szCs w:val="19"/>
              </w:rPr>
              <w:t xml:space="preserve">Complete. Closed 18 September 2026.</w:t>
            </w:r>
          </w:p>
        </w:tc>
      </w:tr>
      <w:tr>
        <w:tc>
          <w:tcPr>
            <w:tcW w:type="dxa" w:w="1456"/>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2. Hypercare</w:t>
            </w:r>
          </w:p>
        </w:tc>
        <w:tc>
          <w:tcPr>
            <w:tcW w:type="dxa" w:w="3785"/>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Live use with the delivery team available for defects and questions.</w:t>
            </w:r>
          </w:p>
        </w:tc>
        <w:tc>
          <w:tcPr>
            <w:tcW w:type="dxa" w:w="3785"/>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Complete. Ran 21 September to 2 October 2026.</w:t>
            </w:r>
          </w:p>
        </w:tc>
      </w:tr>
      <w:tr>
        <w:tc>
          <w:tcPr>
            <w:tcW w:type="dxa" w:w="1456"/>
            <w:tcMar>
              <w:top w:type="dxa" w:w="70"/>
              <w:left w:type="dxa" w:w="110"/>
              <w:bottom w:type="dxa" w:w="70"/>
              <w:right w:type="dxa" w:w="110"/>
            </w:tcMar>
          </w:tcPr>
          <w:p>
            <w:pPr>
              <w:spacing w:after="0" w:line="260"/>
            </w:pPr>
            <w:r>
              <w:rPr>
                <w:b w:val="false"/>
                <w:bCs w:val="false"/>
                <w:color w:val="202A32"/>
                <w:sz w:val="19"/>
                <w:szCs w:val="19"/>
              </w:rPr>
              <w:t xml:space="preserve">3. Parallel</w:t>
            </w:r>
          </w:p>
        </w:tc>
        <w:tc>
          <w:tcPr>
            <w:tcW w:type="dxa" w:w="3785"/>
            <w:tcMar>
              <w:top w:type="dxa" w:w="70"/>
              <w:left w:type="dxa" w:w="110"/>
              <w:bottom w:type="dxa" w:w="70"/>
              <w:right w:type="dxa" w:w="110"/>
            </w:tcMar>
          </w:tcPr>
          <w:p>
            <w:pPr>
              <w:spacing w:after="0" w:line="260"/>
            </w:pPr>
            <w:r>
              <w:rPr>
                <w:b w:val="false"/>
                <w:bCs w:val="false"/>
                <w:color w:val="202A32"/>
                <w:sz w:val="19"/>
                <w:szCs w:val="19"/>
              </w:rPr>
              <w:t xml:space="preserve">Analysts run the system alongside their existing spreadsheet for the same tender.</w:t>
            </w:r>
          </w:p>
        </w:tc>
        <w:tc>
          <w:tcPr>
            <w:tcW w:type="dxa" w:w="3785"/>
            <w:tcMar>
              <w:top w:type="dxa" w:w="70"/>
              <w:left w:type="dxa" w:w="110"/>
              <w:bottom w:type="dxa" w:w="70"/>
              <w:right w:type="dxa" w:w="110"/>
            </w:tcMar>
          </w:tcPr>
          <w:p>
            <w:pPr>
              <w:spacing w:after="0" w:line="260"/>
            </w:pPr>
            <w:r>
              <w:rPr>
                <w:b w:val="false"/>
                <w:bCs w:val="false"/>
                <w:color w:val="202A32"/>
                <w:sz w:val="19"/>
                <w:szCs w:val="19"/>
              </w:rPr>
              <w:t xml:space="preserve">The two sets of figures are compared and every difference accounted for.</w:t>
            </w:r>
          </w:p>
        </w:tc>
      </w:tr>
      <w:tr>
        <w:tc>
          <w:tcPr>
            <w:tcW w:type="dxa" w:w="1456"/>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4. Default</w:t>
            </w:r>
          </w:p>
        </w:tc>
        <w:tc>
          <w:tcPr>
            <w:tcW w:type="dxa" w:w="3785"/>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The system is the first step for a new tender.</w:t>
            </w:r>
          </w:p>
        </w:tc>
        <w:tc>
          <w:tcPr>
            <w:tcW w:type="dxa" w:w="3785"/>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Analysts work a full cycle without delivery-team support.</w:t>
            </w:r>
          </w:p>
        </w:tc>
      </w:tr>
    </w:tbl>
    <w:p>
      <w:pPr>
        <w:spacing w:after="160"/>
      </w:pPr>
    </w:p>
    <w:p>
      <w:pPr>
        <w:spacing w:after="140" w:line="280"/>
      </w:pPr>
      <w:r>
        <w:rPr>
          <w:sz w:val="21"/>
          <w:szCs w:val="21"/>
        </w:rPr>
        <w:t xml:space="preserve">Stages 3 and 4 are outstanding. The system has been tested but has not yet replaced the spreadsheet for day-to-day work.</w:t>
      </w:r>
    </w:p>
    <w:p>
      <w:pPr>
        <w:pStyle w:val="Heading2"/>
        <w:spacing w:after="120" w:before="260"/>
      </w:pPr>
      <w:r>
        <w:rPr>
          <w:b/>
          <w:bCs/>
          <w:color w:val="243742"/>
          <w:sz w:val="24"/>
          <w:szCs w:val="24"/>
        </w:rPr>
        <w:t xml:space="preserve">7.2 Training</w:t>
      </w:r>
    </w:p>
    <w:p>
      <w:pPr>
        <w:pStyle w:val="ListParagraph"/>
        <w:numPr>
          <w:ilvl w:val="0"/>
          <w:numId w:val="2"/>
        </w:numPr>
        <w:spacing w:after="70" w:line="280"/>
      </w:pPr>
      <w:r>
        <w:rPr>
          <w:sz w:val="21"/>
          <w:szCs w:val="21"/>
        </w:rPr>
        <w:t xml:space="preserve">One walkthrough of the application for analysts, using a tender the audience already knows.</w:t>
      </w:r>
    </w:p>
    <w:p>
      <w:pPr>
        <w:pStyle w:val="ListParagraph"/>
        <w:numPr>
          <w:ilvl w:val="0"/>
          <w:numId w:val="2"/>
        </w:numPr>
        <w:spacing w:after="70" w:line="280"/>
      </w:pPr>
      <w:r>
        <w:rPr>
          <w:sz w:val="21"/>
          <w:szCs w:val="21"/>
        </w:rPr>
        <w:t xml:space="preserve">One tender worked end to end, from finding it through to the exported negotiation report.</w:t>
      </w:r>
    </w:p>
    <w:p>
      <w:pPr>
        <w:pStyle w:val="ListParagraph"/>
        <w:numPr>
          <w:ilvl w:val="0"/>
          <w:numId w:val="2"/>
        </w:numPr>
        <w:spacing w:after="70" w:line="280"/>
      </w:pPr>
      <w:r>
        <w:rPr>
          <w:sz w:val="21"/>
          <w:szCs w:val="21"/>
        </w:rPr>
        <w:t xml:space="preserve">The user manual, which covers every flag and every limit. Appendix B.</w:t>
      </w:r>
    </w:p>
    <w:p>
      <w:pPr>
        <w:pStyle w:val="ListParagraph"/>
        <w:numPr>
          <w:ilvl w:val="0"/>
          <w:numId w:val="2"/>
        </w:numPr>
        <w:spacing w:after="70" w:line="280"/>
      </w:pPr>
      <w:r>
        <w:rPr>
          <w:sz w:val="21"/>
          <w:szCs w:val="21"/>
        </w:rPr>
        <w:t xml:space="preserve">Specific time on what the flags mean and, in particular, on what an absent flag does not mean.</w:t>
      </w:r>
    </w:p>
    <w:p>
      <w:pPr>
        <w:pStyle w:val="Heading2"/>
        <w:spacing w:after="120" w:before="260"/>
      </w:pPr>
      <w:r>
        <w:rPr>
          <w:b/>
          <w:bCs/>
          <w:color w:val="243742"/>
          <w:sz w:val="24"/>
          <w:szCs w:val="24"/>
        </w:rPr>
        <w:t xml:space="preserve">7.3 Notes for users</w:t>
      </w:r>
    </w:p>
    <w:p>
      <w:pPr>
        <w:pStyle w:val="ListParagraph"/>
        <w:numPr>
          <w:ilvl w:val="0"/>
          <w:numId w:val="2"/>
        </w:numPr>
        <w:spacing w:after="70" w:line="280"/>
      </w:pPr>
      <w:r>
        <w:rPr>
          <w:sz w:val="21"/>
          <w:szCs w:val="21"/>
        </w:rPr>
        <w:t xml:space="preserve">Nothing recorded in the system reaches Maximo. A correction here does not fix the record at source, so raise it through the normal channel as well.</w:t>
      </w:r>
    </w:p>
    <w:p>
      <w:pPr>
        <w:pStyle w:val="ListParagraph"/>
        <w:numPr>
          <w:ilvl w:val="0"/>
          <w:numId w:val="2"/>
        </w:numPr>
        <w:spacing w:after="70" w:line="280"/>
      </w:pPr>
      <w:r>
        <w:rPr>
          <w:sz w:val="21"/>
          <w:szCs w:val="21"/>
        </w:rPr>
        <w:t xml:space="preserve">An absent outlier flag can mean the system had too little data to judge. It is not a clearance.</w:t>
      </w:r>
    </w:p>
    <w:p>
      <w:pPr>
        <w:pStyle w:val="ListParagraph"/>
        <w:numPr>
          <w:ilvl w:val="0"/>
          <w:numId w:val="2"/>
        </w:numPr>
        <w:spacing w:after="70" w:line="280"/>
      </w:pPr>
      <w:r>
        <w:rPr>
          <w:sz w:val="21"/>
          <w:szCs w:val="21"/>
        </w:rPr>
        <w:t xml:space="preserve">A manual disqualification can only ever add. Nothing in the system can re-qualify a line the technical evaluation rejected.</w:t>
      </w:r>
    </w:p>
    <w:p>
      <w:pPr>
        <w:pStyle w:val="ListParagraph"/>
        <w:numPr>
          <w:ilvl w:val="0"/>
          <w:numId w:val="2"/>
        </w:numPr>
        <w:spacing w:after="70" w:line="280"/>
      </w:pPr>
      <w:r>
        <w:rPr>
          <w:sz w:val="21"/>
          <w:szCs w:val="21"/>
        </w:rPr>
        <w:t xml:space="preserve">The negotiation report prices at the latest round. Reports taken before October 2026 used the original quote and should be re-run.</w:t>
      </w:r>
    </w:p>
    <w:p>
      <w:pPr>
        <w:pStyle w:val="ListParagraph"/>
        <w:numPr>
          <w:ilvl w:val="0"/>
          <w:numId w:val="2"/>
        </w:numPr>
        <w:spacing w:after="70" w:line="280"/>
      </w:pPr>
      <w:r>
        <w:rPr>
          <w:sz w:val="21"/>
          <w:szCs w:val="21"/>
        </w:rPr>
        <w:t xml:space="preserve">AI output is advisory and is never an award recommendation.</w:t>
      </w:r>
    </w:p>
    <w:p>
      <w:pPr>
        <w:pStyle w:val="ListParagraph"/>
        <w:numPr>
          <w:ilvl w:val="0"/>
          <w:numId w:val="2"/>
        </w:numPr>
        <w:spacing w:after="70" w:line="280"/>
      </w:pPr>
      <w:r>
        <w:rPr>
          <w:sz w:val="21"/>
          <w:szCs w:val="21"/>
        </w:rPr>
        <w:t xml:space="preserve">Excel upload is a beta feature. Uploaded BOQs are lost if the application restarts.</w:t>
      </w:r>
    </w:p>
    <w:p>
      <w:pPr>
        <w:pStyle w:val="ListParagraph"/>
        <w:numPr>
          <w:ilvl w:val="0"/>
          <w:numId w:val="2"/>
        </w:numPr>
        <w:spacing w:after="70" w:line="280"/>
      </w:pPr>
      <w:r>
        <w:rPr>
          <w:sz w:val="21"/>
          <w:szCs w:val="21"/>
        </w:rPr>
        <w:t xml:space="preserve">The award decision sits with TAQA procurement, outside the system.</w:t>
      </w:r>
    </w:p>
    <w:p>
      <w:pPr>
        <w:pStyle w:val="Heading2"/>
        <w:spacing w:after="120" w:before="260"/>
      </w:pPr>
      <w:r>
        <w:rPr>
          <w:b/>
          <w:bCs/>
          <w:color w:val="243742"/>
          <w:sz w:val="24"/>
          <w:szCs w:val="24"/>
        </w:rPr>
        <w:t xml:space="preserve">7.4 Risks and mitigations</w:t>
      </w: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3139"/>
        <w:gridCol w:w="5887"/>
      </w:tblGrid>
      <w:tr>
        <w:trPr>
          <w:tblHeader/>
        </w:trPr>
        <w:tc>
          <w:tcPr>
            <w:tcW w:type="dxa" w:w="3139"/>
            <w:shd w:fill="1F4E5F" w:color="auto" w:val="clear"/>
            <w:tcMar>
              <w:top w:type="dxa" w:w="70"/>
              <w:left w:type="dxa" w:w="110"/>
              <w:bottom w:type="dxa" w:w="70"/>
              <w:right w:type="dxa" w:w="110"/>
            </w:tcMar>
          </w:tcPr>
          <w:p>
            <w:pPr>
              <w:spacing w:after="0" w:line="260"/>
            </w:pPr>
            <w:r>
              <w:rPr>
                <w:b/>
                <w:bCs/>
                <w:color w:val="FFFFFF"/>
                <w:sz w:val="19"/>
                <w:szCs w:val="19"/>
              </w:rPr>
              <w:t xml:space="preserve">Risk</w:t>
            </w:r>
          </w:p>
        </w:tc>
        <w:tc>
          <w:tcPr>
            <w:tcW w:type="dxa" w:w="5887"/>
            <w:shd w:fill="1F4E5F" w:color="auto" w:val="clear"/>
            <w:tcMar>
              <w:top w:type="dxa" w:w="70"/>
              <w:left w:type="dxa" w:w="110"/>
              <w:bottom w:type="dxa" w:w="70"/>
              <w:right w:type="dxa" w:w="110"/>
            </w:tcMar>
          </w:tcPr>
          <w:p>
            <w:pPr>
              <w:spacing w:after="0" w:line="260"/>
            </w:pPr>
            <w:r>
              <w:rPr>
                <w:b/>
                <w:bCs/>
                <w:color w:val="FFFFFF"/>
                <w:sz w:val="19"/>
                <w:szCs w:val="19"/>
              </w:rPr>
              <w:t xml:space="preserve">Mitigation</w:t>
            </w:r>
          </w:p>
        </w:tc>
      </w:tr>
      <w:tr>
        <w:tc>
          <w:tcPr>
            <w:tcW w:type="dxa" w:w="3139"/>
            <w:tcMar>
              <w:top w:type="dxa" w:w="70"/>
              <w:left w:type="dxa" w:w="110"/>
              <w:bottom w:type="dxa" w:w="70"/>
              <w:right w:type="dxa" w:w="110"/>
            </w:tcMar>
          </w:tcPr>
          <w:p>
            <w:pPr>
              <w:spacing w:after="0" w:line="260"/>
            </w:pPr>
            <w:r>
              <w:rPr>
                <w:b w:val="false"/>
                <w:bCs w:val="false"/>
                <w:color w:val="202A32"/>
                <w:sz w:val="19"/>
                <w:szCs w:val="19"/>
              </w:rPr>
              <w:t xml:space="preserve">The Unity Catalog grants do not land, so no analyst entry can be saved</w:t>
            </w:r>
          </w:p>
        </w:tc>
        <w:tc>
          <w:tcPr>
            <w:tcW w:type="dxa" w:w="5887"/>
            <w:tcMar>
              <w:top w:type="dxa" w:w="70"/>
              <w:left w:type="dxa" w:w="110"/>
              <w:bottom w:type="dxa" w:w="70"/>
              <w:right w:type="dxa" w:w="110"/>
            </w:tcMar>
          </w:tcPr>
          <w:p>
            <w:pPr>
              <w:spacing w:after="0" w:line="260"/>
            </w:pPr>
            <w:r>
              <w:rPr>
                <w:b w:val="false"/>
                <w:bCs w:val="false"/>
                <w:color w:val="202A32"/>
                <w:sz w:val="19"/>
                <w:szCs w:val="19"/>
              </w:rPr>
              <w:t xml:space="preserve">Tracked as the primary blocker. Every write path already returns a clear message and needs no code change once granted.</w:t>
            </w:r>
          </w:p>
        </w:tc>
      </w:tr>
      <w:tr>
        <w:tc>
          <w:tcPr>
            <w:tcW w:type="dxa" w:w="313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 bid revision is missed because the largest Maximo table has no change timestamp</w:t>
            </w:r>
          </w:p>
        </w:tc>
        <w:tc>
          <w:tcPr>
            <w:tcW w:type="dxa" w:w="588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Composite watermark design recorded and raised with the data platform team. Until then, round currency is checked manually per section 3.2.</w:t>
            </w:r>
          </w:p>
        </w:tc>
      </w:tr>
      <w:tr>
        <w:tc>
          <w:tcPr>
            <w:tcW w:type="dxa" w:w="3139"/>
            <w:tcMar>
              <w:top w:type="dxa" w:w="70"/>
              <w:left w:type="dxa" w:w="110"/>
              <w:bottom w:type="dxa" w:w="70"/>
              <w:right w:type="dxa" w:w="110"/>
            </w:tcMar>
          </w:tcPr>
          <w:p>
            <w:pPr>
              <w:spacing w:after="0" w:line="260"/>
            </w:pPr>
            <w:r>
              <w:rPr>
                <w:b w:val="false"/>
                <w:bCs w:val="false"/>
                <w:color w:val="202A32"/>
                <w:sz w:val="19"/>
                <w:szCs w:val="19"/>
              </w:rPr>
              <w:t xml:space="preserve">An absent flag is read as a clean line</w:t>
            </w:r>
          </w:p>
        </w:tc>
        <w:tc>
          <w:tcPr>
            <w:tcW w:type="dxa" w:w="5887"/>
            <w:tcMar>
              <w:top w:type="dxa" w:w="70"/>
              <w:left w:type="dxa" w:w="110"/>
              <w:bottom w:type="dxa" w:w="70"/>
              <w:right w:type="dxa" w:w="110"/>
            </w:tcMar>
          </w:tcPr>
          <w:p>
            <w:pPr>
              <w:spacing w:after="0" w:line="260"/>
            </w:pPr>
            <w:r>
              <w:rPr>
                <w:b w:val="false"/>
                <w:bCs w:val="false"/>
                <w:color w:val="202A32"/>
                <w:sz w:val="19"/>
                <w:szCs w:val="19"/>
              </w:rPr>
              <w:t xml:space="preserve">Stated in the user manual, in training, and in this playbook. Worth repeating at each rollout stage.</w:t>
            </w:r>
          </w:p>
        </w:tc>
      </w:tr>
      <w:tr>
        <w:tc>
          <w:tcPr>
            <w:tcW w:type="dxa" w:w="313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Thresholds are untuned and prove noisy or quiet in practice</w:t>
            </w:r>
          </w:p>
        </w:tc>
        <w:tc>
          <w:tcPr>
            <w:tcW w:type="dxa" w:w="588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Analyst feedback routed through section 8.3. Threshold changes follow the checklist in 5.5.</w:t>
            </w:r>
          </w:p>
        </w:tc>
      </w:tr>
      <w:tr>
        <w:tc>
          <w:tcPr>
            <w:tcW w:type="dxa" w:w="3139"/>
            <w:tcMar>
              <w:top w:type="dxa" w:w="70"/>
              <w:left w:type="dxa" w:w="110"/>
              <w:bottom w:type="dxa" w:w="70"/>
              <w:right w:type="dxa" w:w="110"/>
            </w:tcMar>
          </w:tcPr>
          <w:p>
            <w:pPr>
              <w:spacing w:after="0" w:line="260"/>
            </w:pPr>
            <w:r>
              <w:rPr>
                <w:b w:val="false"/>
                <w:bCs w:val="false"/>
                <w:color w:val="202A32"/>
                <w:sz w:val="19"/>
                <w:szCs w:val="19"/>
              </w:rPr>
              <w:t xml:space="preserve">Analysts continue with the existing spreadsheet</w:t>
            </w:r>
          </w:p>
        </w:tc>
        <w:tc>
          <w:tcPr>
            <w:tcW w:type="dxa" w:w="5887"/>
            <w:tcMar>
              <w:top w:type="dxa" w:w="70"/>
              <w:left w:type="dxa" w:w="110"/>
              <w:bottom w:type="dxa" w:w="70"/>
              <w:right w:type="dxa" w:w="110"/>
            </w:tcMar>
          </w:tcPr>
          <w:p>
            <w:pPr>
              <w:spacing w:after="0" w:line="260"/>
            </w:pPr>
            <w:r>
              <w:rPr>
                <w:b w:val="false"/>
                <w:bCs w:val="false"/>
                <w:color w:val="202A32"/>
                <w:sz w:val="19"/>
                <w:szCs w:val="19"/>
              </w:rPr>
              <w:t xml:space="preserve">Parallel running in stage 3 so the two can be compared on the same tender before anyone is asked to switch.</w:t>
            </w:r>
          </w:p>
        </w:tc>
      </w:tr>
      <w:tr>
        <w:tc>
          <w:tcPr>
            <w:tcW w:type="dxa" w:w="313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Knowledge is held by one person</w:t>
            </w:r>
          </w:p>
        </w:tc>
        <w:tc>
          <w:tcPr>
            <w:tcW w:type="dxa" w:w="588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 named backup per artefact in 4.3. Documentation updated with each change.</w:t>
            </w:r>
          </w:p>
        </w:tc>
      </w:tr>
      <w:tr>
        <w:tc>
          <w:tcPr>
            <w:tcW w:type="dxa" w:w="3139"/>
            <w:tcMar>
              <w:top w:type="dxa" w:w="70"/>
              <w:left w:type="dxa" w:w="110"/>
              <w:bottom w:type="dxa" w:w="70"/>
              <w:right w:type="dxa" w:w="110"/>
            </w:tcMar>
          </w:tcPr>
          <w:p>
            <w:pPr>
              <w:spacing w:after="0" w:line="260"/>
            </w:pPr>
            <w:r>
              <w:rPr>
                <w:b w:val="false"/>
                <w:bCs w:val="false"/>
                <w:color w:val="202A32"/>
                <w:sz w:val="19"/>
                <w:szCs w:val="19"/>
              </w:rPr>
              <w:t xml:space="preserve">A bid arrives as a PDF and was never transcribed into Maximo</w:t>
            </w:r>
          </w:p>
        </w:tc>
        <w:tc>
          <w:tcPr>
            <w:tcW w:type="dxa" w:w="5887"/>
            <w:tcMar>
              <w:top w:type="dxa" w:w="70"/>
              <w:left w:type="dxa" w:w="110"/>
              <w:bottom w:type="dxa" w:w="70"/>
              <w:right w:type="dxa" w:w="110"/>
            </w:tcMar>
          </w:tcPr>
          <w:p>
            <w:pPr>
              <w:spacing w:after="0" w:line="260"/>
            </w:pPr>
            <w:r>
              <w:rPr>
                <w:b w:val="false"/>
                <w:bCs w:val="false"/>
                <w:color w:val="202A32"/>
                <w:sz w:val="19"/>
                <w:szCs w:val="19"/>
              </w:rPr>
              <w:t xml:space="preserve">The system cannot see those prices. Excel can now be uploaded directly; PDF extraction remains unbuilt and is on the improvement list.</w:t>
            </w:r>
          </w:p>
        </w:tc>
      </w:tr>
    </w:tbl>
    <w:p>
      <w:pPr>
        <w:spacing w:after="160"/>
      </w:pPr>
    </w:p>
    <w:p>
      <w:pPr>
        <w:pStyle w:val="Heading2"/>
        <w:spacing w:after="120" w:before="260"/>
      </w:pPr>
      <w:r>
        <w:rPr>
          <w:b/>
          <w:bCs/>
          <w:color w:val="243742"/>
          <w:sz w:val="24"/>
          <w:szCs w:val="24"/>
        </w:rPr>
        <w:t xml:space="preserve">7.5 Support route</w:t>
      </w: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4601"/>
        <w:gridCol w:w="2301"/>
        <w:gridCol w:w="2124"/>
      </w:tblGrid>
      <w:tr>
        <w:trPr>
          <w:tblHeader/>
        </w:trPr>
        <w:tc>
          <w:tcPr>
            <w:tcW w:type="dxa" w:w="4601"/>
            <w:shd w:fill="1F4E5F" w:color="auto" w:val="clear"/>
            <w:tcMar>
              <w:top w:type="dxa" w:w="70"/>
              <w:left w:type="dxa" w:w="110"/>
              <w:bottom w:type="dxa" w:w="70"/>
              <w:right w:type="dxa" w:w="110"/>
            </w:tcMar>
          </w:tcPr>
          <w:p>
            <w:pPr>
              <w:spacing w:after="0" w:line="260"/>
            </w:pPr>
            <w:r>
              <w:rPr>
                <w:b/>
                <w:bCs/>
                <w:color w:val="FFFFFF"/>
                <w:sz w:val="19"/>
                <w:szCs w:val="19"/>
              </w:rPr>
              <w:t xml:space="preserve">Step</w:t>
            </w:r>
          </w:p>
        </w:tc>
        <w:tc>
          <w:tcPr>
            <w:tcW w:type="dxa" w:w="2301"/>
            <w:shd w:fill="1F4E5F" w:color="auto" w:val="clear"/>
            <w:tcMar>
              <w:top w:type="dxa" w:w="70"/>
              <w:left w:type="dxa" w:w="110"/>
              <w:bottom w:type="dxa" w:w="70"/>
              <w:right w:type="dxa" w:w="110"/>
            </w:tcMar>
          </w:tcPr>
          <w:p>
            <w:pPr>
              <w:spacing w:after="0" w:line="260"/>
            </w:pPr>
            <w:r>
              <w:rPr>
                <w:b/>
                <w:bCs/>
                <w:color w:val="FFFFFF"/>
                <w:sz w:val="19"/>
                <w:szCs w:val="19"/>
              </w:rPr>
              <w:t xml:space="preserve">Who</w:t>
            </w:r>
          </w:p>
        </w:tc>
        <w:tc>
          <w:tcPr>
            <w:tcW w:type="dxa" w:w="2124"/>
            <w:shd w:fill="1F4E5F" w:color="auto" w:val="clear"/>
            <w:tcMar>
              <w:top w:type="dxa" w:w="70"/>
              <w:left w:type="dxa" w:w="110"/>
              <w:bottom w:type="dxa" w:w="70"/>
              <w:right w:type="dxa" w:w="110"/>
            </w:tcMar>
          </w:tcPr>
          <w:p>
            <w:pPr>
              <w:spacing w:after="0" w:line="260"/>
            </w:pPr>
            <w:r>
              <w:rPr>
                <w:b/>
                <w:bCs/>
                <w:color w:val="FFFFFF"/>
                <w:sz w:val="19"/>
                <w:szCs w:val="19"/>
              </w:rPr>
              <w:t xml:space="preserve">Within</w:t>
            </w:r>
          </w:p>
        </w:tc>
      </w:tr>
      <w:tr>
        <w:tc>
          <w:tcPr>
            <w:tcW w:type="dxa" w:w="4601"/>
            <w:tcMar>
              <w:top w:type="dxa" w:w="70"/>
              <w:left w:type="dxa" w:w="110"/>
              <w:bottom w:type="dxa" w:w="70"/>
              <w:right w:type="dxa" w:w="110"/>
            </w:tcMar>
          </w:tcPr>
          <w:p>
            <w:pPr>
              <w:spacing w:after="0" w:line="260"/>
            </w:pPr>
            <w:r>
              <w:rPr>
                <w:b w:val="false"/>
                <w:bCs w:val="false"/>
                <w:color w:val="202A32"/>
                <w:sz w:val="19"/>
                <w:szCs w:val="19"/>
              </w:rPr>
              <w:t xml:space="preserve">A user reports an issue</w:t>
            </w:r>
          </w:p>
        </w:tc>
        <w:tc>
          <w:tcPr>
            <w:tcW w:type="dxa" w:w="2301"/>
            <w:tcMar>
              <w:top w:type="dxa" w:w="70"/>
              <w:left w:type="dxa" w:w="110"/>
              <w:bottom w:type="dxa" w:w="70"/>
              <w:right w:type="dxa" w:w="110"/>
            </w:tcMar>
          </w:tcPr>
          <w:p>
            <w:pPr>
              <w:spacing w:after="0" w:line="260"/>
            </w:pPr>
            <w:r>
              <w:rPr>
                <w:b w:val="false"/>
                <w:bCs w:val="false"/>
                <w:color w:val="202A32"/>
                <w:sz w:val="19"/>
                <w:szCs w:val="19"/>
              </w:rPr>
              <w:t xml:space="preserve">Product owner</w:t>
            </w:r>
          </w:p>
        </w:tc>
        <w:tc>
          <w:tcPr>
            <w:tcW w:type="dxa" w:w="2124"/>
            <w:tcMar>
              <w:top w:type="dxa" w:w="70"/>
              <w:left w:type="dxa" w:w="110"/>
              <w:bottom w:type="dxa" w:w="70"/>
              <w:right w:type="dxa" w:w="110"/>
            </w:tcMar>
          </w:tcPr>
          <w:p>
            <w:pPr>
              <w:spacing w:after="0" w:line="260"/>
            </w:pPr>
            <w:r>
              <w:rPr>
                <w:b w:val="false"/>
                <w:bCs w:val="false"/>
                <w:color w:val="202A32"/>
                <w:sz w:val="19"/>
                <w:szCs w:val="19"/>
              </w:rPr>
              <w:t xml:space="preserve">Same working day</w:t>
            </w:r>
          </w:p>
        </w:tc>
      </w:tr>
      <w:tr>
        <w:tc>
          <w:tcPr>
            <w:tcW w:type="dxa" w:w="4601"/>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Triage against section 5.6</w:t>
            </w:r>
          </w:p>
        </w:tc>
        <w:tc>
          <w:tcPr>
            <w:tcW w:type="dxa" w:w="2301"/>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Product owner</w:t>
            </w:r>
          </w:p>
        </w:tc>
        <w:tc>
          <w:tcPr>
            <w:tcW w:type="dxa" w:w="2124"/>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One working day</w:t>
            </w:r>
          </w:p>
        </w:tc>
      </w:tr>
      <w:tr>
        <w:tc>
          <w:tcPr>
            <w:tcW w:type="dxa" w:w="4601"/>
            <w:tcMar>
              <w:top w:type="dxa" w:w="70"/>
              <w:left w:type="dxa" w:w="110"/>
              <w:bottom w:type="dxa" w:w="70"/>
              <w:right w:type="dxa" w:w="110"/>
            </w:tcMar>
          </w:tcPr>
          <w:p>
            <w:pPr>
              <w:spacing w:after="0" w:line="260"/>
            </w:pPr>
            <w:r>
              <w:rPr>
                <w:b w:val="false"/>
                <w:bCs w:val="false"/>
                <w:color w:val="202A32"/>
                <w:sz w:val="19"/>
                <w:szCs w:val="19"/>
              </w:rPr>
              <w:t xml:space="preserve">Assign to the artefact owner</w:t>
            </w:r>
          </w:p>
        </w:tc>
        <w:tc>
          <w:tcPr>
            <w:tcW w:type="dxa" w:w="2301"/>
            <w:tcMar>
              <w:top w:type="dxa" w:w="70"/>
              <w:left w:type="dxa" w:w="110"/>
              <w:bottom w:type="dxa" w:w="70"/>
              <w:right w:type="dxa" w:w="110"/>
            </w:tcMar>
          </w:tcPr>
          <w:p>
            <w:pPr>
              <w:spacing w:after="0" w:line="260"/>
            </w:pPr>
            <w:r>
              <w:rPr>
                <w:b w:val="false"/>
                <w:bCs w:val="false"/>
                <w:color w:val="202A32"/>
                <w:sz w:val="19"/>
                <w:szCs w:val="19"/>
              </w:rPr>
              <w:t xml:space="preserve">Product owner</w:t>
            </w:r>
          </w:p>
        </w:tc>
        <w:tc>
          <w:tcPr>
            <w:tcW w:type="dxa" w:w="2124"/>
            <w:tcMar>
              <w:top w:type="dxa" w:w="70"/>
              <w:left w:type="dxa" w:w="110"/>
              <w:bottom w:type="dxa" w:w="70"/>
              <w:right w:type="dxa" w:w="110"/>
            </w:tcMar>
          </w:tcPr>
          <w:p>
            <w:pPr>
              <w:spacing w:after="0" w:line="260"/>
            </w:pPr>
            <w:r>
              <w:rPr>
                <w:b w:val="false"/>
                <w:bCs w:val="false"/>
                <w:color w:val="202A32"/>
                <w:sz w:val="19"/>
                <w:szCs w:val="19"/>
              </w:rPr>
              <w:t xml:space="preserve">One working day</w:t>
            </w:r>
          </w:p>
        </w:tc>
      </w:tr>
      <w:tr>
        <w:tc>
          <w:tcPr>
            <w:tcW w:type="dxa" w:w="4601"/>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Resolve and record in the incident log</w:t>
            </w:r>
          </w:p>
        </w:tc>
        <w:tc>
          <w:tcPr>
            <w:tcW w:type="dxa" w:w="2301"/>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Artefact owner</w:t>
            </w:r>
          </w:p>
        </w:tc>
        <w:tc>
          <w:tcPr>
            <w:tcW w:type="dxa" w:w="2124"/>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Per severity</w:t>
            </w:r>
          </w:p>
        </w:tc>
      </w:tr>
      <w:tr>
        <w:tc>
          <w:tcPr>
            <w:tcW w:type="dxa" w:w="4601"/>
            <w:tcMar>
              <w:top w:type="dxa" w:w="70"/>
              <w:left w:type="dxa" w:w="110"/>
              <w:bottom w:type="dxa" w:w="70"/>
              <w:right w:type="dxa" w:w="110"/>
            </w:tcMar>
          </w:tcPr>
          <w:p>
            <w:pPr>
              <w:spacing w:after="0" w:line="260"/>
            </w:pPr>
            <w:r>
              <w:rPr>
                <w:b w:val="false"/>
                <w:bCs w:val="false"/>
                <w:color w:val="202A32"/>
                <w:sz w:val="19"/>
                <w:szCs w:val="19"/>
              </w:rPr>
              <w:t xml:space="preserve">Confirm the outcome with the reporter</w:t>
            </w:r>
          </w:p>
        </w:tc>
        <w:tc>
          <w:tcPr>
            <w:tcW w:type="dxa" w:w="2301"/>
            <w:tcMar>
              <w:top w:type="dxa" w:w="70"/>
              <w:left w:type="dxa" w:w="110"/>
              <w:bottom w:type="dxa" w:w="70"/>
              <w:right w:type="dxa" w:w="110"/>
            </w:tcMar>
          </w:tcPr>
          <w:p>
            <w:pPr>
              <w:spacing w:after="0" w:line="260"/>
            </w:pPr>
            <w:r>
              <w:rPr>
                <w:b w:val="false"/>
                <w:bCs w:val="false"/>
                <w:color w:val="202A32"/>
                <w:sz w:val="19"/>
                <w:szCs w:val="19"/>
              </w:rPr>
              <w:t xml:space="preserve">Product owner</w:t>
            </w:r>
          </w:p>
        </w:tc>
        <w:tc>
          <w:tcPr>
            <w:tcW w:type="dxa" w:w="2124"/>
            <w:tcMar>
              <w:top w:type="dxa" w:w="70"/>
              <w:left w:type="dxa" w:w="110"/>
              <w:bottom w:type="dxa" w:w="70"/>
              <w:right w:type="dxa" w:w="110"/>
            </w:tcMar>
          </w:tcPr>
          <w:p>
            <w:pPr>
              <w:spacing w:after="0" w:line="260"/>
            </w:pPr>
            <w:r>
              <w:rPr>
                <w:b w:val="false"/>
                <w:bCs w:val="false"/>
                <w:color w:val="202A32"/>
                <w:sz w:val="19"/>
                <w:szCs w:val="19"/>
              </w:rPr>
              <w:t xml:space="preserve">On resolution</w:t>
            </w:r>
          </w:p>
        </w:tc>
      </w:tr>
    </w:tbl>
    <w:p>
      <w:pPr>
        <w:spacing w:after="160"/>
      </w:pPr>
    </w:p>
    <w:p>
      <w:pPr>
        <w:pStyle w:val="Heading1"/>
        <w:spacing w:after="160" w:before="320"/>
      </w:pPr>
      <w:r>
        <w:rPr>
          <w:b/>
          <w:bCs/>
          <w:color w:val="1F4E5F"/>
          <w:sz w:val="30"/>
          <w:szCs w:val="30"/>
        </w:rPr>
        <w:t xml:space="preserve">8. Continuous improvement</w:t>
      </w:r>
    </w:p>
    <w:p>
      <w:pPr>
        <w:pStyle w:val="Heading2"/>
        <w:spacing w:after="120" w:before="260"/>
      </w:pPr>
      <w:r>
        <w:rPr>
          <w:b/>
          <w:bCs/>
          <w:color w:val="243742"/>
          <w:sz w:val="24"/>
          <w:szCs w:val="24"/>
        </w:rPr>
        <w:t xml:space="preserve">8.1 What is measured</w:t>
      </w:r>
    </w:p>
    <w:p>
      <w:pPr>
        <w:spacing w:after="140" w:line="280"/>
      </w:pPr>
      <w:r>
        <w:rPr>
          <w:sz w:val="21"/>
          <w:szCs w:val="21"/>
        </w:rPr>
        <w:t xml:space="preserve">The first four are not instrumented today. They are listed because the business case rests on them and because instrumenting them is the clearest next step in making this use case accountable.</w:t>
      </w:r>
    </w:p>
    <w:p>
      <w:pPr>
        <w:spacing w:after="160"/>
      </w:pP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3868"/>
        <w:gridCol w:w="2740"/>
        <w:gridCol w:w="1451"/>
        <w:gridCol w:w="967"/>
      </w:tblGrid>
      <w:tr>
        <w:trPr>
          <w:tblHeader/>
        </w:trPr>
        <w:tc>
          <w:tcPr>
            <w:tcW w:type="dxa" w:w="3868"/>
            <w:shd w:fill="1F4E5F" w:color="auto" w:val="clear"/>
            <w:tcMar>
              <w:top w:type="dxa" w:w="70"/>
              <w:left w:type="dxa" w:w="110"/>
              <w:bottom w:type="dxa" w:w="70"/>
              <w:right w:type="dxa" w:w="110"/>
            </w:tcMar>
          </w:tcPr>
          <w:p>
            <w:pPr>
              <w:spacing w:after="0" w:line="260"/>
            </w:pPr>
            <w:r>
              <w:rPr>
                <w:b/>
                <w:bCs/>
                <w:color w:val="FFFFFF"/>
                <w:sz w:val="19"/>
                <w:szCs w:val="19"/>
              </w:rPr>
              <w:t xml:space="preserve">Measure</w:t>
            </w:r>
          </w:p>
        </w:tc>
        <w:tc>
          <w:tcPr>
            <w:tcW w:type="dxa" w:w="2740"/>
            <w:shd w:fill="1F4E5F" w:color="auto" w:val="clear"/>
            <w:tcMar>
              <w:top w:type="dxa" w:w="70"/>
              <w:left w:type="dxa" w:w="110"/>
              <w:bottom w:type="dxa" w:w="70"/>
              <w:right w:type="dxa" w:w="110"/>
            </w:tcMar>
          </w:tcPr>
          <w:p>
            <w:pPr>
              <w:spacing w:after="0" w:line="260"/>
            </w:pPr>
            <w:r>
              <w:rPr>
                <w:b/>
                <w:bCs/>
                <w:color w:val="FFFFFF"/>
                <w:sz w:val="19"/>
                <w:szCs w:val="19"/>
              </w:rPr>
              <w:t xml:space="preserve">Source</w:t>
            </w:r>
          </w:p>
        </w:tc>
        <w:tc>
          <w:tcPr>
            <w:tcW w:type="dxa" w:w="1451"/>
            <w:shd w:fill="1F4E5F" w:color="auto" w:val="clear"/>
            <w:tcMar>
              <w:top w:type="dxa" w:w="70"/>
              <w:left w:type="dxa" w:w="110"/>
              <w:bottom w:type="dxa" w:w="70"/>
              <w:right w:type="dxa" w:w="110"/>
            </w:tcMar>
          </w:tcPr>
          <w:p>
            <w:pPr>
              <w:spacing w:after="0" w:line="260"/>
            </w:pPr>
            <w:r>
              <w:rPr>
                <w:b/>
                <w:bCs/>
                <w:color w:val="FFFFFF"/>
                <w:sz w:val="19"/>
                <w:szCs w:val="19"/>
              </w:rPr>
              <w:t xml:space="preserve">Frequency</w:t>
            </w:r>
          </w:p>
        </w:tc>
        <w:tc>
          <w:tcPr>
            <w:tcW w:type="dxa" w:w="967"/>
            <w:shd w:fill="1F4E5F" w:color="auto" w:val="clear"/>
            <w:tcMar>
              <w:top w:type="dxa" w:w="70"/>
              <w:left w:type="dxa" w:w="110"/>
              <w:bottom w:type="dxa" w:w="70"/>
              <w:right w:type="dxa" w:w="110"/>
            </w:tcMar>
          </w:tcPr>
          <w:p>
            <w:pPr>
              <w:spacing w:after="0" w:line="260"/>
            </w:pPr>
            <w:r>
              <w:rPr>
                <w:b/>
                <w:bCs/>
                <w:color w:val="FFFFFF"/>
                <w:sz w:val="19"/>
                <w:szCs w:val="19"/>
              </w:rPr>
              <w:t xml:space="preserve">In place</w:t>
            </w:r>
          </w:p>
        </w:tc>
      </w:tr>
      <w:tr>
        <w:tc>
          <w:tcPr>
            <w:tcW w:type="dxa" w:w="3868"/>
            <w:tcMar>
              <w:top w:type="dxa" w:w="70"/>
              <w:left w:type="dxa" w:w="110"/>
              <w:bottom w:type="dxa" w:w="70"/>
              <w:right w:type="dxa" w:w="110"/>
            </w:tcMar>
          </w:tcPr>
          <w:p>
            <w:pPr>
              <w:spacing w:after="0" w:line="260"/>
            </w:pPr>
            <w:r>
              <w:rPr>
                <w:b w:val="false"/>
                <w:bCs w:val="false"/>
                <w:color w:val="202A32"/>
                <w:sz w:val="19"/>
                <w:szCs w:val="19"/>
              </w:rPr>
              <w:t xml:space="preserve">Tenders analysed in the system</w:t>
            </w:r>
          </w:p>
        </w:tc>
        <w:tc>
          <w:tcPr>
            <w:tcW w:type="dxa" w:w="2740"/>
            <w:tcMar>
              <w:top w:type="dxa" w:w="70"/>
              <w:left w:type="dxa" w:w="110"/>
              <w:bottom w:type="dxa" w:w="70"/>
              <w:right w:type="dxa" w:w="110"/>
            </w:tcMar>
          </w:tcPr>
          <w:p>
            <w:pPr>
              <w:spacing w:after="0" w:line="260"/>
            </w:pPr>
            <w:r>
              <w:rPr>
                <w:b w:val="false"/>
                <w:bCs w:val="false"/>
                <w:color w:val="202A32"/>
                <w:sz w:val="19"/>
                <w:szCs w:val="19"/>
              </w:rPr>
              <w:t xml:space="preserve">Project records</w:t>
            </w:r>
          </w:p>
        </w:tc>
        <w:tc>
          <w:tcPr>
            <w:tcW w:type="dxa" w:w="1451"/>
            <w:tcMar>
              <w:top w:type="dxa" w:w="70"/>
              <w:left w:type="dxa" w:w="110"/>
              <w:bottom w:type="dxa" w:w="70"/>
              <w:right w:type="dxa" w:w="110"/>
            </w:tcMar>
          </w:tcPr>
          <w:p>
            <w:pPr>
              <w:spacing w:after="0" w:line="260"/>
            </w:pPr>
            <w:r>
              <w:rPr>
                <w:b w:val="false"/>
                <w:bCs w:val="false"/>
                <w:color w:val="202A32"/>
                <w:sz w:val="19"/>
                <w:szCs w:val="19"/>
              </w:rPr>
              <w:t xml:space="preserve">Monthly</w:t>
            </w:r>
          </w:p>
        </w:tc>
        <w:tc>
          <w:tcPr>
            <w:tcW w:type="dxa" w:w="967"/>
            <w:tcMar>
              <w:top w:type="dxa" w:w="70"/>
              <w:left w:type="dxa" w:w="110"/>
              <w:bottom w:type="dxa" w:w="70"/>
              <w:right w:type="dxa" w:w="110"/>
            </w:tcMar>
          </w:tcPr>
          <w:p>
            <w:pPr>
              <w:spacing w:after="0" w:line="260"/>
            </w:pPr>
            <w:r>
              <w:rPr>
                <w:b w:val="false"/>
                <w:bCs w:val="false"/>
                <w:color w:val="202A32"/>
                <w:sz w:val="19"/>
                <w:szCs w:val="19"/>
              </w:rPr>
              <w:t xml:space="preserve">No</w:t>
            </w:r>
          </w:p>
        </w:tc>
      </w:tr>
      <w:tr>
        <w:tc>
          <w:tcPr>
            <w:tcW w:type="dxa" w:w="3868"/>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Time to complete a bid analysis, against the seven-hour manual baseline</w:t>
            </w:r>
          </w:p>
        </w:tc>
        <w:tc>
          <w:tcPr>
            <w:tcW w:type="dxa" w:w="274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Analyst-reported at first, instrumented later</w:t>
            </w:r>
          </w:p>
        </w:tc>
        <w:tc>
          <w:tcPr>
            <w:tcW w:type="dxa" w:w="1451"/>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Per tender</w:t>
            </w:r>
          </w:p>
        </w:tc>
        <w:tc>
          <w:tcPr>
            <w:tcW w:type="dxa" w:w="96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No</w:t>
            </w:r>
          </w:p>
        </w:tc>
      </w:tr>
      <w:tr>
        <w:tc>
          <w:tcPr>
            <w:tcW w:type="dxa" w:w="3868"/>
            <w:tcMar>
              <w:top w:type="dxa" w:w="70"/>
              <w:left w:type="dxa" w:w="110"/>
              <w:bottom w:type="dxa" w:w="70"/>
              <w:right w:type="dxa" w:w="110"/>
            </w:tcMar>
          </w:tcPr>
          <w:p>
            <w:pPr>
              <w:spacing w:after="0" w:line="260"/>
            </w:pPr>
            <w:r>
              <w:rPr>
                <w:b w:val="false"/>
                <w:bCs w:val="false"/>
                <w:color w:val="202A32"/>
                <w:sz w:val="19"/>
                <w:szCs w:val="19"/>
              </w:rPr>
              <w:t xml:space="preserve">Flags raised per tender, and how many the analyst acted on</w:t>
            </w:r>
          </w:p>
        </w:tc>
        <w:tc>
          <w:tcPr>
            <w:tcW w:type="dxa" w:w="2740"/>
            <w:tcMar>
              <w:top w:type="dxa" w:w="70"/>
              <w:left w:type="dxa" w:w="110"/>
              <w:bottom w:type="dxa" w:w="70"/>
              <w:right w:type="dxa" w:w="110"/>
            </w:tcMar>
          </w:tcPr>
          <w:p>
            <w:pPr>
              <w:spacing w:after="0" w:line="260"/>
            </w:pPr>
            <w:r>
              <w:rPr>
                <w:b w:val="false"/>
                <w:bCs w:val="false"/>
                <w:color w:val="202A32"/>
                <w:sz w:val="19"/>
                <w:szCs w:val="19"/>
              </w:rPr>
              <w:t xml:space="preserve">Comparison output and analyst entries</w:t>
            </w:r>
          </w:p>
        </w:tc>
        <w:tc>
          <w:tcPr>
            <w:tcW w:type="dxa" w:w="1451"/>
            <w:tcMar>
              <w:top w:type="dxa" w:w="70"/>
              <w:left w:type="dxa" w:w="110"/>
              <w:bottom w:type="dxa" w:w="70"/>
              <w:right w:type="dxa" w:w="110"/>
            </w:tcMar>
          </w:tcPr>
          <w:p>
            <w:pPr>
              <w:spacing w:after="0" w:line="260"/>
            </w:pPr>
            <w:r>
              <w:rPr>
                <w:b w:val="false"/>
                <w:bCs w:val="false"/>
                <w:color w:val="202A32"/>
                <w:sz w:val="19"/>
                <w:szCs w:val="19"/>
              </w:rPr>
              <w:t xml:space="preserve">Per tender</w:t>
            </w:r>
          </w:p>
        </w:tc>
        <w:tc>
          <w:tcPr>
            <w:tcW w:type="dxa" w:w="967"/>
            <w:tcMar>
              <w:top w:type="dxa" w:w="70"/>
              <w:left w:type="dxa" w:w="110"/>
              <w:bottom w:type="dxa" w:w="70"/>
              <w:right w:type="dxa" w:w="110"/>
            </w:tcMar>
          </w:tcPr>
          <w:p>
            <w:pPr>
              <w:spacing w:after="0" w:line="260"/>
            </w:pPr>
            <w:r>
              <w:rPr>
                <w:b w:val="false"/>
                <w:bCs w:val="false"/>
                <w:color w:val="202A32"/>
                <w:sz w:val="19"/>
                <w:szCs w:val="19"/>
              </w:rPr>
              <w:t xml:space="preserve">No</w:t>
            </w:r>
          </w:p>
        </w:tc>
      </w:tr>
      <w:tr>
        <w:tc>
          <w:tcPr>
            <w:tcW w:type="dxa" w:w="3868"/>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Issues found by an analyst that the system did not flag</w:t>
            </w:r>
          </w:p>
        </w:tc>
        <w:tc>
          <w:tcPr>
            <w:tcW w:type="dxa" w:w="274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Analyst feedback</w:t>
            </w:r>
          </w:p>
        </w:tc>
        <w:tc>
          <w:tcPr>
            <w:tcW w:type="dxa" w:w="1451"/>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Per tender</w:t>
            </w:r>
          </w:p>
        </w:tc>
        <w:tc>
          <w:tcPr>
            <w:tcW w:type="dxa" w:w="96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No</w:t>
            </w:r>
          </w:p>
        </w:tc>
      </w:tr>
      <w:tr>
        <w:tc>
          <w:tcPr>
            <w:tcW w:type="dxa" w:w="3868"/>
            <w:tcMar>
              <w:top w:type="dxa" w:w="70"/>
              <w:left w:type="dxa" w:w="110"/>
              <w:bottom w:type="dxa" w:w="70"/>
              <w:right w:type="dxa" w:w="110"/>
            </w:tcMar>
          </w:tcPr>
          <w:p>
            <w:pPr>
              <w:spacing w:after="0" w:line="260"/>
            </w:pPr>
            <w:r>
              <w:rPr>
                <w:b w:val="false"/>
                <w:bCs w:val="false"/>
                <w:color w:val="202A32"/>
                <w:sz w:val="19"/>
                <w:szCs w:val="19"/>
              </w:rPr>
              <w:t xml:space="preserve">Extraction reconciliation rate on uploaded files</w:t>
            </w:r>
          </w:p>
        </w:tc>
        <w:tc>
          <w:tcPr>
            <w:tcW w:type="dxa" w:w="2740"/>
            <w:tcMar>
              <w:top w:type="dxa" w:w="70"/>
              <w:left w:type="dxa" w:w="110"/>
              <w:bottom w:type="dxa" w:w="70"/>
              <w:right w:type="dxa" w:w="110"/>
            </w:tcMar>
          </w:tcPr>
          <w:p>
            <w:pPr>
              <w:spacing w:after="0" w:line="260"/>
            </w:pPr>
            <w:r>
              <w:rPr>
                <w:b w:val="false"/>
                <w:bCs w:val="false"/>
                <w:color w:val="202A32"/>
                <w:sz w:val="19"/>
                <w:szCs w:val="19"/>
              </w:rPr>
              <w:t xml:space="preserve">The cross-check on each upload</w:t>
            </w:r>
          </w:p>
        </w:tc>
        <w:tc>
          <w:tcPr>
            <w:tcW w:type="dxa" w:w="1451"/>
            <w:tcMar>
              <w:top w:type="dxa" w:w="70"/>
              <w:left w:type="dxa" w:w="110"/>
              <w:bottom w:type="dxa" w:w="70"/>
              <w:right w:type="dxa" w:w="110"/>
            </w:tcMar>
          </w:tcPr>
          <w:p>
            <w:pPr>
              <w:spacing w:after="0" w:line="260"/>
            </w:pPr>
            <w:r>
              <w:rPr>
                <w:b w:val="false"/>
                <w:bCs w:val="false"/>
                <w:color w:val="202A32"/>
                <w:sz w:val="19"/>
                <w:szCs w:val="19"/>
              </w:rPr>
              <w:t xml:space="preserve">Per upload</w:t>
            </w:r>
          </w:p>
        </w:tc>
        <w:tc>
          <w:tcPr>
            <w:tcW w:type="dxa" w:w="967"/>
            <w:tcMar>
              <w:top w:type="dxa" w:w="70"/>
              <w:left w:type="dxa" w:w="110"/>
              <w:bottom w:type="dxa" w:w="70"/>
              <w:right w:type="dxa" w:w="110"/>
            </w:tcMar>
          </w:tcPr>
          <w:p>
            <w:pPr>
              <w:spacing w:after="0" w:line="260"/>
            </w:pPr>
            <w:r>
              <w:rPr>
                <w:b w:val="false"/>
                <w:bCs w:val="false"/>
                <w:color w:val="202A32"/>
                <w:sz w:val="19"/>
                <w:szCs w:val="19"/>
              </w:rPr>
              <w:t xml:space="preserve">Yes</w:t>
            </w:r>
          </w:p>
        </w:tc>
      </w:tr>
      <w:tr>
        <w:tc>
          <w:tcPr>
            <w:tcW w:type="dxa" w:w="3868"/>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Failed deployments and failed pipeline runs</w:t>
            </w:r>
          </w:p>
        </w:tc>
        <w:tc>
          <w:tcPr>
            <w:tcW w:type="dxa" w:w="2740"/>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Pipeline run history</w:t>
            </w:r>
          </w:p>
        </w:tc>
        <w:tc>
          <w:tcPr>
            <w:tcW w:type="dxa" w:w="1451"/>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Per run</w:t>
            </w:r>
          </w:p>
        </w:tc>
        <w:tc>
          <w:tcPr>
            <w:tcW w:type="dxa" w:w="96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Yes</w:t>
            </w:r>
          </w:p>
        </w:tc>
      </w:tr>
    </w:tbl>
    <w:p>
      <w:pPr>
        <w:spacing w:after="160"/>
      </w:pPr>
    </w:p>
    <w:p>
      <w:pPr>
        <w:pStyle w:val="Heading2"/>
        <w:spacing w:after="120" w:before="260"/>
      </w:pPr>
      <w:r>
        <w:rPr>
          <w:b/>
          <w:bCs/>
          <w:color w:val="243742"/>
          <w:sz w:val="24"/>
          <w:szCs w:val="24"/>
        </w:rPr>
        <w:t xml:space="preserve">8.2 Review cadence</w:t>
      </w: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2038"/>
        <w:gridCol w:w="1893"/>
        <w:gridCol w:w="3203"/>
        <w:gridCol w:w="1892"/>
      </w:tblGrid>
      <w:tr>
        <w:trPr>
          <w:tblHeader/>
        </w:trPr>
        <w:tc>
          <w:tcPr>
            <w:tcW w:type="dxa" w:w="2038"/>
            <w:shd w:fill="1F4E5F" w:color="auto" w:val="clear"/>
            <w:tcMar>
              <w:top w:type="dxa" w:w="70"/>
              <w:left w:type="dxa" w:w="110"/>
              <w:bottom w:type="dxa" w:w="70"/>
              <w:right w:type="dxa" w:w="110"/>
            </w:tcMar>
          </w:tcPr>
          <w:p>
            <w:pPr>
              <w:spacing w:after="0" w:line="260"/>
            </w:pPr>
            <w:r>
              <w:rPr>
                <w:b/>
                <w:bCs/>
                <w:color w:val="FFFFFF"/>
                <w:sz w:val="19"/>
                <w:szCs w:val="19"/>
              </w:rPr>
              <w:t xml:space="preserve">Review</w:t>
            </w:r>
          </w:p>
        </w:tc>
        <w:tc>
          <w:tcPr>
            <w:tcW w:type="dxa" w:w="1893"/>
            <w:shd w:fill="1F4E5F" w:color="auto" w:val="clear"/>
            <w:tcMar>
              <w:top w:type="dxa" w:w="70"/>
              <w:left w:type="dxa" w:w="110"/>
              <w:bottom w:type="dxa" w:w="70"/>
              <w:right w:type="dxa" w:w="110"/>
            </w:tcMar>
          </w:tcPr>
          <w:p>
            <w:pPr>
              <w:spacing w:after="0" w:line="260"/>
            </w:pPr>
            <w:r>
              <w:rPr>
                <w:b/>
                <w:bCs/>
                <w:color w:val="FFFFFF"/>
                <w:sz w:val="19"/>
                <w:szCs w:val="19"/>
              </w:rPr>
              <w:t xml:space="preserve">When</w:t>
            </w:r>
          </w:p>
        </w:tc>
        <w:tc>
          <w:tcPr>
            <w:tcW w:type="dxa" w:w="3203"/>
            <w:shd w:fill="1F4E5F" w:color="auto" w:val="clear"/>
            <w:tcMar>
              <w:top w:type="dxa" w:w="70"/>
              <w:left w:type="dxa" w:w="110"/>
              <w:bottom w:type="dxa" w:w="70"/>
              <w:right w:type="dxa" w:w="110"/>
            </w:tcMar>
          </w:tcPr>
          <w:p>
            <w:pPr>
              <w:spacing w:after="0" w:line="260"/>
            </w:pPr>
            <w:r>
              <w:rPr>
                <w:b/>
                <w:bCs/>
                <w:color w:val="FFFFFF"/>
                <w:sz w:val="19"/>
                <w:szCs w:val="19"/>
              </w:rPr>
              <w:t xml:space="preserve">Attendees</w:t>
            </w:r>
          </w:p>
        </w:tc>
        <w:tc>
          <w:tcPr>
            <w:tcW w:type="dxa" w:w="1892"/>
            <w:shd w:fill="1F4E5F" w:color="auto" w:val="clear"/>
            <w:tcMar>
              <w:top w:type="dxa" w:w="70"/>
              <w:left w:type="dxa" w:w="110"/>
              <w:bottom w:type="dxa" w:w="70"/>
              <w:right w:type="dxa" w:w="110"/>
            </w:tcMar>
          </w:tcPr>
          <w:p>
            <w:pPr>
              <w:spacing w:after="0" w:line="260"/>
            </w:pPr>
            <w:r>
              <w:rPr>
                <w:b/>
                <w:bCs/>
                <w:color w:val="FFFFFF"/>
                <w:sz w:val="19"/>
                <w:szCs w:val="19"/>
              </w:rPr>
              <w:t xml:space="preserve">Output</w:t>
            </w:r>
          </w:p>
        </w:tc>
      </w:tr>
      <w:tr>
        <w:tc>
          <w:tcPr>
            <w:tcW w:type="dxa" w:w="2038"/>
            <w:tcMar>
              <w:top w:type="dxa" w:w="70"/>
              <w:left w:type="dxa" w:w="110"/>
              <w:bottom w:type="dxa" w:w="70"/>
              <w:right w:type="dxa" w:w="110"/>
            </w:tcMar>
          </w:tcPr>
          <w:p>
            <w:pPr>
              <w:spacing w:after="0" w:line="260"/>
            </w:pPr>
            <w:r>
              <w:rPr>
                <w:b w:val="false"/>
                <w:bCs w:val="false"/>
                <w:color w:val="202A32"/>
                <w:sz w:val="19"/>
                <w:szCs w:val="19"/>
              </w:rPr>
              <w:t xml:space="preserve">Release review</w:t>
            </w:r>
          </w:p>
        </w:tc>
        <w:tc>
          <w:tcPr>
            <w:tcW w:type="dxa" w:w="1893"/>
            <w:tcMar>
              <w:top w:type="dxa" w:w="70"/>
              <w:left w:type="dxa" w:w="110"/>
              <w:bottom w:type="dxa" w:w="70"/>
              <w:right w:type="dxa" w:w="110"/>
            </w:tcMar>
          </w:tcPr>
          <w:p>
            <w:pPr>
              <w:spacing w:after="0" w:line="260"/>
            </w:pPr>
            <w:r>
              <w:rPr>
                <w:b w:val="false"/>
                <w:bCs w:val="false"/>
                <w:color w:val="202A32"/>
                <w:sz w:val="19"/>
                <w:szCs w:val="19"/>
              </w:rPr>
              <w:t xml:space="preserve">Each release</w:t>
            </w:r>
          </w:p>
        </w:tc>
        <w:tc>
          <w:tcPr>
            <w:tcW w:type="dxa" w:w="3203"/>
            <w:tcMar>
              <w:top w:type="dxa" w:w="70"/>
              <w:left w:type="dxa" w:w="110"/>
              <w:bottom w:type="dxa" w:w="70"/>
              <w:right w:type="dxa" w:w="110"/>
            </w:tcMar>
          </w:tcPr>
          <w:p>
            <w:pPr>
              <w:spacing w:after="0" w:line="260"/>
            </w:pPr>
            <w:r>
              <w:rPr>
                <w:b w:val="false"/>
                <w:bCs w:val="false"/>
                <w:color w:val="202A32"/>
                <w:sz w:val="19"/>
                <w:szCs w:val="19"/>
              </w:rPr>
              <w:t xml:space="preserve">Application engineer, product owner</w:t>
            </w:r>
          </w:p>
        </w:tc>
        <w:tc>
          <w:tcPr>
            <w:tcW w:type="dxa" w:w="1892"/>
            <w:tcMar>
              <w:top w:type="dxa" w:w="70"/>
              <w:left w:type="dxa" w:w="110"/>
              <w:bottom w:type="dxa" w:w="70"/>
              <w:right w:type="dxa" w:w="110"/>
            </w:tcMar>
          </w:tcPr>
          <w:p>
            <w:pPr>
              <w:spacing w:after="0" w:line="260"/>
            </w:pPr>
            <w:r>
              <w:rPr>
                <w:b w:val="false"/>
                <w:bCs w:val="false"/>
                <w:color w:val="202A32"/>
                <w:sz w:val="19"/>
                <w:szCs w:val="19"/>
              </w:rPr>
              <w:t xml:space="preserve">Release note</w:t>
            </w:r>
          </w:p>
        </w:tc>
      </w:tr>
      <w:tr>
        <w:tc>
          <w:tcPr>
            <w:tcW w:type="dxa" w:w="2038"/>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Usage and feedback review</w:t>
            </w:r>
          </w:p>
        </w:tc>
        <w:tc>
          <w:tcPr>
            <w:tcW w:type="dxa" w:w="1893"/>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Monthly</w:t>
            </w:r>
          </w:p>
        </w:tc>
        <w:tc>
          <w:tcPr>
            <w:tcW w:type="dxa" w:w="3203"/>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Product owner, analysts, procurement SME</w:t>
            </w:r>
          </w:p>
        </w:tc>
        <w:tc>
          <w:tcPr>
            <w:tcW w:type="dxa" w:w="1892"/>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Prioritised backlog</w:t>
            </w:r>
          </w:p>
        </w:tc>
      </w:tr>
      <w:tr>
        <w:tc>
          <w:tcPr>
            <w:tcW w:type="dxa" w:w="2038"/>
            <w:tcMar>
              <w:top w:type="dxa" w:w="70"/>
              <w:left w:type="dxa" w:w="110"/>
              <w:bottom w:type="dxa" w:w="70"/>
              <w:right w:type="dxa" w:w="110"/>
            </w:tcMar>
          </w:tcPr>
          <w:p>
            <w:pPr>
              <w:spacing w:after="0" w:line="260"/>
            </w:pPr>
            <w:r>
              <w:rPr>
                <w:b w:val="false"/>
                <w:bCs w:val="false"/>
                <w:color w:val="202A32"/>
                <w:sz w:val="19"/>
                <w:szCs w:val="19"/>
              </w:rPr>
              <w:t xml:space="preserve">Threshold review</w:t>
            </w:r>
          </w:p>
        </w:tc>
        <w:tc>
          <w:tcPr>
            <w:tcW w:type="dxa" w:w="1893"/>
            <w:tcMar>
              <w:top w:type="dxa" w:w="70"/>
              <w:left w:type="dxa" w:w="110"/>
              <w:bottom w:type="dxa" w:w="70"/>
              <w:right w:type="dxa" w:w="110"/>
            </w:tcMar>
          </w:tcPr>
          <w:p>
            <w:pPr>
              <w:spacing w:after="0" w:line="260"/>
            </w:pPr>
            <w:r>
              <w:rPr>
                <w:b w:val="false"/>
                <w:bCs w:val="false"/>
                <w:color w:val="202A32"/>
                <w:sz w:val="19"/>
                <w:szCs w:val="19"/>
              </w:rPr>
              <w:t xml:space="preserve">Quarterly, or on analyst feedback</w:t>
            </w:r>
          </w:p>
        </w:tc>
        <w:tc>
          <w:tcPr>
            <w:tcW w:type="dxa" w:w="3203"/>
            <w:tcMar>
              <w:top w:type="dxa" w:w="70"/>
              <w:left w:type="dxa" w:w="110"/>
              <w:bottom w:type="dxa" w:w="70"/>
              <w:right w:type="dxa" w:w="110"/>
            </w:tcMar>
          </w:tcPr>
          <w:p>
            <w:pPr>
              <w:spacing w:after="0" w:line="260"/>
            </w:pPr>
            <w:r>
              <w:rPr>
                <w:b w:val="false"/>
                <w:bCs w:val="false"/>
                <w:color w:val="202A32"/>
                <w:sz w:val="19"/>
                <w:szCs w:val="19"/>
              </w:rPr>
              <w:t xml:space="preserve">Application engineer, procurement SME, product owner</w:t>
            </w:r>
          </w:p>
        </w:tc>
        <w:tc>
          <w:tcPr>
            <w:tcW w:type="dxa" w:w="1892"/>
            <w:tcMar>
              <w:top w:type="dxa" w:w="70"/>
              <w:left w:type="dxa" w:w="110"/>
              <w:bottom w:type="dxa" w:w="70"/>
              <w:right w:type="dxa" w:w="110"/>
            </w:tcMar>
          </w:tcPr>
          <w:p>
            <w:pPr>
              <w:spacing w:after="0" w:line="260"/>
            </w:pPr>
            <w:r>
              <w:rPr>
                <w:b w:val="false"/>
                <w:bCs w:val="false"/>
                <w:color w:val="202A32"/>
                <w:sz w:val="19"/>
                <w:szCs w:val="19"/>
              </w:rPr>
              <w:t xml:space="preserve">Threshold change requests</w:t>
            </w:r>
          </w:p>
        </w:tc>
      </w:tr>
      <w:tr>
        <w:tc>
          <w:tcPr>
            <w:tcW w:type="dxa" w:w="2038"/>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Method review</w:t>
            </w:r>
          </w:p>
        </w:tc>
        <w:tc>
          <w:tcPr>
            <w:tcW w:type="dxa" w:w="1893"/>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Annual</w:t>
            </w:r>
          </w:p>
        </w:tc>
        <w:tc>
          <w:tcPr>
            <w:tcW w:type="dxa" w:w="3203"/>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Business owner, procurement SME, product owner</w:t>
            </w:r>
          </w:p>
        </w:tc>
        <w:tc>
          <w:tcPr>
            <w:tcW w:type="dxa" w:w="1892"/>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Change requests</w:t>
            </w:r>
          </w:p>
        </w:tc>
      </w:tr>
    </w:tbl>
    <w:p>
      <w:pPr>
        <w:spacing w:after="160"/>
      </w:pPr>
    </w:p>
    <w:p>
      <w:pPr>
        <w:pStyle w:val="Heading2"/>
        <w:spacing w:after="120" w:before="260"/>
      </w:pPr>
      <w:r>
        <w:rPr>
          <w:b/>
          <w:bCs/>
          <w:color w:val="243742"/>
          <w:sz w:val="24"/>
          <w:szCs w:val="24"/>
        </w:rPr>
        <w:t xml:space="preserve">8.3 The feedback loop</w:t>
      </w:r>
    </w:p>
    <w:p>
      <w:pPr>
        <w:pStyle w:val="ListParagraph"/>
        <w:numPr>
          <w:ilvl w:val="0"/>
          <w:numId w:val="3"/>
        </w:numPr>
        <w:spacing w:after="70" w:line="280"/>
      </w:pPr>
      <w:r>
        <w:rPr>
          <w:sz w:val="21"/>
          <w:szCs w:val="21"/>
        </w:rPr>
        <w:t xml:space="preserve">An analyst, reviewer or operator raises an observation.</w:t>
      </w:r>
    </w:p>
    <w:p>
      <w:pPr>
        <w:pStyle w:val="ListParagraph"/>
        <w:numPr>
          <w:ilvl w:val="0"/>
          <w:numId w:val="3"/>
        </w:numPr>
        <w:spacing w:after="70" w:line="280"/>
      </w:pPr>
      <w:r>
        <w:rPr>
          <w:sz w:val="21"/>
          <w:szCs w:val="21"/>
        </w:rPr>
        <w:t xml:space="preserve">It is recorded as a feedback item. Appendix A carries the template.</w:t>
      </w:r>
    </w:p>
    <w:p>
      <w:pPr>
        <w:pStyle w:val="ListParagraph"/>
        <w:numPr>
          <w:ilvl w:val="0"/>
          <w:numId w:val="3"/>
        </w:numPr>
        <w:spacing w:after="70" w:line="280"/>
      </w:pPr>
      <w:r>
        <w:rPr>
          <w:sz w:val="21"/>
          <w:szCs w:val="21"/>
        </w:rPr>
        <w:t xml:space="preserve">Items are reviewed at the monthly review and prioritised.</w:t>
      </w:r>
    </w:p>
    <w:p>
      <w:pPr>
        <w:pStyle w:val="ListParagraph"/>
        <w:numPr>
          <w:ilvl w:val="0"/>
          <w:numId w:val="3"/>
        </w:numPr>
        <w:spacing w:after="70" w:line="280"/>
      </w:pPr>
      <w:r>
        <w:rPr>
          <w:sz w:val="21"/>
          <w:szCs w:val="21"/>
        </w:rPr>
        <w:t xml:space="preserve">A prioritised item becomes a change request with a named approver.</w:t>
      </w:r>
    </w:p>
    <w:p>
      <w:pPr>
        <w:pStyle w:val="ListParagraph"/>
        <w:numPr>
          <w:ilvl w:val="0"/>
          <w:numId w:val="3"/>
        </w:numPr>
        <w:spacing w:after="70" w:line="280"/>
      </w:pPr>
      <w:r>
        <w:rPr>
          <w:sz w:val="21"/>
          <w:szCs w:val="21"/>
        </w:rPr>
        <w:t xml:space="preserve">The change is implemented and released, following section 3.3.</w:t>
      </w:r>
    </w:p>
    <w:p>
      <w:pPr>
        <w:pStyle w:val="ListParagraph"/>
        <w:numPr>
          <w:ilvl w:val="0"/>
          <w:numId w:val="3"/>
        </w:numPr>
        <w:spacing w:after="70" w:line="280"/>
      </w:pPr>
      <w:r>
        <w:rPr>
          <w:sz w:val="21"/>
          <w:szCs w:val="21"/>
        </w:rPr>
        <w:t xml:space="preserve">The release note records what changed.</w:t>
      </w:r>
    </w:p>
    <w:p>
      <w:pPr>
        <w:pStyle w:val="ListParagraph"/>
        <w:numPr>
          <w:ilvl w:val="0"/>
          <w:numId w:val="3"/>
        </w:numPr>
        <w:spacing w:after="70" w:line="280"/>
      </w:pPr>
      <w:r>
        <w:rPr>
          <w:sz w:val="21"/>
          <w:szCs w:val="21"/>
        </w:rPr>
        <w:t xml:space="preserve">The person who raised the item is told the outcome.</w:t>
      </w:r>
    </w:p>
    <w:p>
      <w:pPr>
        <w:spacing w:after="140" w:line="280"/>
      </w:pPr>
      <w:r>
        <w:rPr>
          <w:sz w:val="21"/>
          <w:szCs w:val="21"/>
        </w:rPr>
        <w:t xml:space="preserve">Feedback on a flag deserves particular attention. A flag that analysts routinely ignore is worse than no flag, because it trains them to skim. Those observations should reach the threshold review in 8.2 rather than sitting in the backlog.</w:t>
      </w:r>
    </w:p>
    <w:p>
      <w:pPr>
        <w:pStyle w:val="Heading2"/>
        <w:spacing w:after="120" w:before="260"/>
      </w:pPr>
      <w:r>
        <w:rPr>
          <w:b/>
          <w:bCs/>
          <w:color w:val="243742"/>
          <w:sz w:val="24"/>
          <w:szCs w:val="24"/>
        </w:rPr>
        <w:t xml:space="preserve">8.4 Known gaps carried forward</w:t>
      </w:r>
    </w:p>
    <w:p>
      <w:pPr>
        <w:pStyle w:val="ListParagraph"/>
        <w:numPr>
          <w:ilvl w:val="0"/>
          <w:numId w:val="2"/>
        </w:numPr>
        <w:spacing w:after="70" w:line="280"/>
      </w:pPr>
      <w:r>
        <w:rPr>
          <w:sz w:val="21"/>
          <w:szCs w:val="21"/>
        </w:rPr>
        <w:t xml:space="preserve">The Unity Catalog grants for the five application overlay tables.</w:t>
      </w:r>
    </w:p>
    <w:p>
      <w:pPr>
        <w:pStyle w:val="ListParagraph"/>
        <w:numPr>
          <w:ilvl w:val="0"/>
          <w:numId w:val="2"/>
        </w:numPr>
        <w:spacing w:after="70" w:line="280"/>
      </w:pPr>
      <w:r>
        <w:rPr>
          <w:sz w:val="21"/>
          <w:szCs w:val="21"/>
        </w:rPr>
        <w:t xml:space="preserve">Verification of the technical disqualification status against a live detailed construction BOQ. It was only measured on a smaller non-construction sample.</w:t>
      </w:r>
    </w:p>
    <w:p>
      <w:pPr>
        <w:pStyle w:val="ListParagraph"/>
        <w:numPr>
          <w:ilvl w:val="0"/>
          <w:numId w:val="2"/>
        </w:numPr>
        <w:spacing w:after="70" w:line="280"/>
      </w:pPr>
      <w:r>
        <w:rPr>
          <w:sz w:val="21"/>
          <w:szCs w:val="21"/>
        </w:rPr>
        <w:t xml:space="preserve">The negotiation report and the AI summary do not yet account for partial bids.</w:t>
      </w:r>
    </w:p>
    <w:p>
      <w:pPr>
        <w:pStyle w:val="ListParagraph"/>
        <w:numPr>
          <w:ilvl w:val="0"/>
          <w:numId w:val="2"/>
        </w:numPr>
        <w:spacing w:after="70" w:line="280"/>
      </w:pPr>
      <w:r>
        <w:rPr>
          <w:sz w:val="21"/>
          <w:szCs w:val="21"/>
        </w:rPr>
        <w:t xml:space="preserve">No lot-level subtotals, because Maximo holds no lot structure.</w:t>
      </w:r>
    </w:p>
    <w:p>
      <w:pPr>
        <w:pStyle w:val="ListParagraph"/>
        <w:numPr>
          <w:ilvl w:val="0"/>
          <w:numId w:val="2"/>
        </w:numPr>
        <w:spacing w:after="70" w:line="280"/>
      </w:pPr>
      <w:r>
        <w:rPr>
          <w:sz w:val="21"/>
          <w:szCs w:val="21"/>
        </w:rPr>
        <w:t xml:space="preserve">No bulk corrections or disqualifications, and no single view of every override on a tender.</w:t>
      </w:r>
    </w:p>
    <w:p>
      <w:pPr>
        <w:pStyle w:val="ListParagraph"/>
        <w:numPr>
          <w:ilvl w:val="0"/>
          <w:numId w:val="2"/>
        </w:numPr>
        <w:spacing w:after="70" w:line="280"/>
      </w:pPr>
      <w:r>
        <w:rPr>
          <w:sz w:val="21"/>
          <w:szCs w:val="21"/>
        </w:rPr>
        <w:t xml:space="preserve">No PDF extraction, which was the largest pain point in the original business case.</w:t>
      </w:r>
    </w:p>
    <w:p>
      <w:pPr>
        <w:pStyle w:val="ListParagraph"/>
        <w:numPr>
          <w:ilvl w:val="0"/>
          <w:numId w:val="2"/>
        </w:numPr>
        <w:spacing w:after="70" w:line="280"/>
      </w:pPr>
      <w:r>
        <w:rPr>
          <w:sz w:val="21"/>
          <w:szCs w:val="21"/>
        </w:rPr>
        <w:t xml:space="preserve">Evaluation scoring and cost tracking are in place in the design and not activated. Both are specified in the engineering handover, and both should wait for the grants above.</w:t>
      </w:r>
    </w:p>
    <w:p>
      <w:r>
        <w:br w:type="page"/>
      </w:r>
    </w:p>
    <w:p>
      <w:pPr>
        <w:pStyle w:val="Heading1"/>
        <w:spacing w:after="160" w:before="320"/>
      </w:pPr>
      <w:r>
        <w:rPr>
          <w:b/>
          <w:bCs/>
          <w:color w:val="1F4E5F"/>
          <w:sz w:val="30"/>
          <w:szCs w:val="30"/>
        </w:rPr>
        <w:t xml:space="preserve">Appendix A. Templates</w:t>
      </w:r>
    </w:p>
    <w:p>
      <w:pPr>
        <w:pStyle w:val="Heading2"/>
        <w:spacing w:after="120" w:before="260"/>
      </w:pPr>
      <w:r>
        <w:rPr>
          <w:b/>
          <w:bCs/>
          <w:color w:val="243742"/>
          <w:sz w:val="24"/>
          <w:szCs w:val="24"/>
        </w:rPr>
        <w:t xml:space="preserve">Release note</w:t>
      </w: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2579"/>
        <w:gridCol w:w="6447"/>
      </w:tblGrid>
      <w:tr>
        <w:trPr>
          <w:tblHeader/>
        </w:trPr>
        <w:tc>
          <w:tcPr>
            <w:tcW w:type="dxa" w:w="2579"/>
            <w:shd w:fill="1F4E5F" w:color="auto" w:val="clear"/>
            <w:tcMar>
              <w:top w:type="dxa" w:w="70"/>
              <w:left w:type="dxa" w:w="110"/>
              <w:bottom w:type="dxa" w:w="70"/>
              <w:right w:type="dxa" w:w="110"/>
            </w:tcMar>
          </w:tcPr>
          <w:p>
            <w:pPr>
              <w:spacing w:after="0" w:line="260"/>
            </w:pPr>
            <w:r>
              <w:rPr>
                <w:b/>
                <w:bCs/>
                <w:color w:val="FFFFFF"/>
                <w:sz w:val="19"/>
                <w:szCs w:val="19"/>
              </w:rPr>
              <w:t xml:space="preserve">Field</w:t>
            </w:r>
          </w:p>
        </w:tc>
        <w:tc>
          <w:tcPr>
            <w:tcW w:type="dxa" w:w="6447"/>
            <w:shd w:fill="1F4E5F" w:color="auto" w:val="clear"/>
            <w:tcMar>
              <w:top w:type="dxa" w:w="70"/>
              <w:left w:type="dxa" w:w="110"/>
              <w:bottom w:type="dxa" w:w="70"/>
              <w:right w:type="dxa" w:w="110"/>
            </w:tcMar>
          </w:tcPr>
          <w:p>
            <w:pPr>
              <w:spacing w:after="0" w:line="260"/>
            </w:pPr>
            <w:r>
              <w:rPr>
                <w:b/>
                <w:bCs/>
                <w:color w:val="FFFFFF"/>
                <w:sz w:val="19"/>
                <w:szCs w:val="19"/>
              </w:rPr>
              <w:t xml:space="preserve">Entry</w:t>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Date</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Version</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What changed</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Thresholds changed</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Tests run</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Deployed by</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Commit deployed</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User-facing notes</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Rollback position</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
            </w:r>
          </w:p>
        </w:tc>
      </w:tr>
    </w:tbl>
    <w:p>
      <w:pPr>
        <w:spacing w:after="160"/>
      </w:pPr>
    </w:p>
    <w:p>
      <w:pPr>
        <w:pStyle w:val="Heading2"/>
        <w:spacing w:after="120" w:before="260"/>
      </w:pPr>
      <w:r>
        <w:rPr>
          <w:b/>
          <w:bCs/>
          <w:color w:val="243742"/>
          <w:sz w:val="24"/>
          <w:szCs w:val="24"/>
        </w:rPr>
        <w:t xml:space="preserve">Incident log</w:t>
      </w: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2579"/>
        <w:gridCol w:w="6447"/>
      </w:tblGrid>
      <w:tr>
        <w:trPr>
          <w:tblHeader/>
        </w:trPr>
        <w:tc>
          <w:tcPr>
            <w:tcW w:type="dxa" w:w="2579"/>
            <w:shd w:fill="1F4E5F" w:color="auto" w:val="clear"/>
            <w:tcMar>
              <w:top w:type="dxa" w:w="70"/>
              <w:left w:type="dxa" w:w="110"/>
              <w:bottom w:type="dxa" w:w="70"/>
              <w:right w:type="dxa" w:w="110"/>
            </w:tcMar>
          </w:tcPr>
          <w:p>
            <w:pPr>
              <w:spacing w:after="0" w:line="260"/>
            </w:pPr>
            <w:r>
              <w:rPr>
                <w:b/>
                <w:bCs/>
                <w:color w:val="FFFFFF"/>
                <w:sz w:val="19"/>
                <w:szCs w:val="19"/>
              </w:rPr>
              <w:t xml:space="preserve">Field</w:t>
            </w:r>
          </w:p>
        </w:tc>
        <w:tc>
          <w:tcPr>
            <w:tcW w:type="dxa" w:w="6447"/>
            <w:shd w:fill="1F4E5F" w:color="auto" w:val="clear"/>
            <w:tcMar>
              <w:top w:type="dxa" w:w="70"/>
              <w:left w:type="dxa" w:w="110"/>
              <w:bottom w:type="dxa" w:w="70"/>
              <w:right w:type="dxa" w:w="110"/>
            </w:tcMar>
          </w:tcPr>
          <w:p>
            <w:pPr>
              <w:spacing w:after="0" w:line="260"/>
            </w:pPr>
            <w:r>
              <w:rPr>
                <w:b/>
                <w:bCs/>
                <w:color w:val="FFFFFF"/>
                <w:sz w:val="19"/>
                <w:szCs w:val="19"/>
              </w:rPr>
              <w:t xml:space="preserve">Entry</w:t>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Date and time</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Reported by</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Symptom</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Triage row in 5.6</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Cause</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Action taken</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Time to restore</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Follow-up</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
            </w:r>
          </w:p>
        </w:tc>
      </w:tr>
    </w:tbl>
    <w:p>
      <w:pPr>
        <w:spacing w:after="160"/>
      </w:pPr>
    </w:p>
    <w:p>
      <w:pPr>
        <w:pStyle w:val="Heading2"/>
        <w:spacing w:after="120" w:before="260"/>
      </w:pPr>
      <w:r>
        <w:rPr>
          <w:b/>
          <w:bCs/>
          <w:color w:val="243742"/>
          <w:sz w:val="24"/>
          <w:szCs w:val="24"/>
        </w:rPr>
        <w:t xml:space="preserve">Change request</w:t>
      </w: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2579"/>
        <w:gridCol w:w="6447"/>
      </w:tblGrid>
      <w:tr>
        <w:trPr>
          <w:tblHeader/>
        </w:trPr>
        <w:tc>
          <w:tcPr>
            <w:tcW w:type="dxa" w:w="2579"/>
            <w:shd w:fill="1F4E5F" w:color="auto" w:val="clear"/>
            <w:tcMar>
              <w:top w:type="dxa" w:w="70"/>
              <w:left w:type="dxa" w:w="110"/>
              <w:bottom w:type="dxa" w:w="70"/>
              <w:right w:type="dxa" w:w="110"/>
            </w:tcMar>
          </w:tcPr>
          <w:p>
            <w:pPr>
              <w:spacing w:after="0" w:line="260"/>
            </w:pPr>
            <w:r>
              <w:rPr>
                <w:b/>
                <w:bCs/>
                <w:color w:val="FFFFFF"/>
                <w:sz w:val="19"/>
                <w:szCs w:val="19"/>
              </w:rPr>
              <w:t xml:space="preserve">Field</w:t>
            </w:r>
          </w:p>
        </w:tc>
        <w:tc>
          <w:tcPr>
            <w:tcW w:type="dxa" w:w="6447"/>
            <w:shd w:fill="1F4E5F" w:color="auto" w:val="clear"/>
            <w:tcMar>
              <w:top w:type="dxa" w:w="70"/>
              <w:left w:type="dxa" w:w="110"/>
              <w:bottom w:type="dxa" w:w="70"/>
              <w:right w:type="dxa" w:w="110"/>
            </w:tcMar>
          </w:tcPr>
          <w:p>
            <w:pPr>
              <w:spacing w:after="0" w:line="260"/>
            </w:pPr>
            <w:r>
              <w:rPr>
                <w:b/>
                <w:bCs/>
                <w:color w:val="FFFFFF"/>
                <w:sz w:val="19"/>
                <w:szCs w:val="19"/>
              </w:rPr>
              <w:t xml:space="preserve">Entry</w:t>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Requester</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Date</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Change</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Reason</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Artefacts affected</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Thresholds affected</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Approver</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Target release</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
            </w:r>
          </w:p>
        </w:tc>
      </w:tr>
    </w:tbl>
    <w:p>
      <w:pPr>
        <w:spacing w:after="160"/>
      </w:pPr>
    </w:p>
    <w:p>
      <w:pPr>
        <w:pStyle w:val="Heading2"/>
        <w:spacing w:after="120" w:before="260"/>
      </w:pPr>
      <w:r>
        <w:rPr>
          <w:b/>
          <w:bCs/>
          <w:color w:val="243742"/>
          <w:sz w:val="24"/>
          <w:szCs w:val="24"/>
        </w:rPr>
        <w:t xml:space="preserve">Feedback item</w:t>
      </w: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2579"/>
        <w:gridCol w:w="6447"/>
      </w:tblGrid>
      <w:tr>
        <w:trPr>
          <w:tblHeader/>
        </w:trPr>
        <w:tc>
          <w:tcPr>
            <w:tcW w:type="dxa" w:w="2579"/>
            <w:shd w:fill="1F4E5F" w:color="auto" w:val="clear"/>
            <w:tcMar>
              <w:top w:type="dxa" w:w="70"/>
              <w:left w:type="dxa" w:w="110"/>
              <w:bottom w:type="dxa" w:w="70"/>
              <w:right w:type="dxa" w:w="110"/>
            </w:tcMar>
          </w:tcPr>
          <w:p>
            <w:pPr>
              <w:spacing w:after="0" w:line="260"/>
            </w:pPr>
            <w:r>
              <w:rPr>
                <w:b/>
                <w:bCs/>
                <w:color w:val="FFFFFF"/>
                <w:sz w:val="19"/>
                <w:szCs w:val="19"/>
              </w:rPr>
              <w:t xml:space="preserve">Field</w:t>
            </w:r>
          </w:p>
        </w:tc>
        <w:tc>
          <w:tcPr>
            <w:tcW w:type="dxa" w:w="6447"/>
            <w:shd w:fill="1F4E5F" w:color="auto" w:val="clear"/>
            <w:tcMar>
              <w:top w:type="dxa" w:w="70"/>
              <w:left w:type="dxa" w:w="110"/>
              <w:bottom w:type="dxa" w:w="70"/>
              <w:right w:type="dxa" w:w="110"/>
            </w:tcMar>
          </w:tcPr>
          <w:p>
            <w:pPr>
              <w:spacing w:after="0" w:line="260"/>
            </w:pPr>
            <w:r>
              <w:rPr>
                <w:b/>
                <w:bCs/>
                <w:color w:val="FFFFFF"/>
                <w:sz w:val="19"/>
                <w:szCs w:val="19"/>
              </w:rPr>
              <w:t xml:space="preserve">Entry</w:t>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Date</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Raised by</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Tender</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Observation</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Expected</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Page or flag</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Priority</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Status</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
            </w:r>
          </w:p>
        </w:tc>
      </w:tr>
    </w:tbl>
    <w:p>
      <w:pPr>
        <w:spacing w:after="160"/>
      </w:pPr>
    </w:p>
    <w:p>
      <w:pPr>
        <w:pStyle w:val="Heading2"/>
        <w:spacing w:after="120" w:before="260"/>
      </w:pPr>
      <w:r>
        <w:rPr>
          <w:b/>
          <w:bCs/>
          <w:color w:val="243742"/>
          <w:sz w:val="24"/>
          <w:szCs w:val="24"/>
        </w:rPr>
        <w:t xml:space="preserve">Threshold change record</w:t>
      </w: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2579"/>
        <w:gridCol w:w="6447"/>
      </w:tblGrid>
      <w:tr>
        <w:trPr>
          <w:tblHeader/>
        </w:trPr>
        <w:tc>
          <w:tcPr>
            <w:tcW w:type="dxa" w:w="2579"/>
            <w:shd w:fill="1F4E5F" w:color="auto" w:val="clear"/>
            <w:tcMar>
              <w:top w:type="dxa" w:w="70"/>
              <w:left w:type="dxa" w:w="110"/>
              <w:bottom w:type="dxa" w:w="70"/>
              <w:right w:type="dxa" w:w="110"/>
            </w:tcMar>
          </w:tcPr>
          <w:p>
            <w:pPr>
              <w:spacing w:after="0" w:line="260"/>
            </w:pPr>
            <w:r>
              <w:rPr>
                <w:b/>
                <w:bCs/>
                <w:color w:val="FFFFFF"/>
                <w:sz w:val="19"/>
                <w:szCs w:val="19"/>
              </w:rPr>
              <w:t xml:space="preserve">Field</w:t>
            </w:r>
          </w:p>
        </w:tc>
        <w:tc>
          <w:tcPr>
            <w:tcW w:type="dxa" w:w="6447"/>
            <w:shd w:fill="1F4E5F" w:color="auto" w:val="clear"/>
            <w:tcMar>
              <w:top w:type="dxa" w:w="70"/>
              <w:left w:type="dxa" w:w="110"/>
              <w:bottom w:type="dxa" w:w="70"/>
              <w:right w:type="dxa" w:w="110"/>
            </w:tcMar>
          </w:tcPr>
          <w:p>
            <w:pPr>
              <w:spacing w:after="0" w:line="260"/>
            </w:pPr>
            <w:r>
              <w:rPr>
                <w:b/>
                <w:bCs/>
                <w:color w:val="FFFFFF"/>
                <w:sz w:val="19"/>
                <w:szCs w:val="19"/>
              </w:rPr>
              <w:t xml:space="preserve">Entry</w:t>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Threshold</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Previous value</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New value</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Reason</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Tender tested against</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Change in flag count</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SME sign-off</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Approver</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
            </w:r>
          </w:p>
        </w:tc>
      </w:tr>
    </w:tbl>
    <w:p>
      <w:pPr>
        <w:spacing w:after="160"/>
      </w:pPr>
    </w:p>
    <w:p>
      <w:r>
        <w:br w:type="page"/>
      </w:r>
    </w:p>
    <w:p>
      <w:pPr>
        <w:pStyle w:val="Heading1"/>
        <w:spacing w:after="160" w:before="320"/>
      </w:pPr>
      <w:r>
        <w:rPr>
          <w:b/>
          <w:bCs/>
          <w:color w:val="1F4E5F"/>
          <w:sz w:val="30"/>
          <w:szCs w:val="30"/>
        </w:rPr>
        <w:t xml:space="preserve">Appendix B. Documentation index</w:t>
      </w:r>
    </w:p>
    <w:p>
      <w:pPr>
        <w:spacing w:after="140" w:line="280"/>
      </w:pPr>
      <w:r>
        <w:rPr>
          <w:sz w:val="21"/>
          <w:szCs w:val="21"/>
        </w:rPr>
        <w:t xml:space="preserve">Maintained in the repository. technical-documentation/README.md records which document to update for a given change.</w:t>
      </w:r>
    </w:p>
    <w:p>
      <w:pPr>
        <w:spacing w:after="160"/>
      </w:pP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3819"/>
        <w:gridCol w:w="5207"/>
      </w:tblGrid>
      <w:tr>
        <w:trPr>
          <w:tblHeader/>
        </w:trPr>
        <w:tc>
          <w:tcPr>
            <w:tcW w:type="dxa" w:w="3819"/>
            <w:shd w:fill="1F4E5F" w:color="auto" w:val="clear"/>
            <w:tcMar>
              <w:top w:type="dxa" w:w="70"/>
              <w:left w:type="dxa" w:w="110"/>
              <w:bottom w:type="dxa" w:w="70"/>
              <w:right w:type="dxa" w:w="110"/>
            </w:tcMar>
          </w:tcPr>
          <w:p>
            <w:pPr>
              <w:spacing w:after="0" w:line="260"/>
            </w:pPr>
            <w:r>
              <w:rPr>
                <w:b/>
                <w:bCs/>
                <w:color w:val="FFFFFF"/>
                <w:sz w:val="19"/>
                <w:szCs w:val="19"/>
              </w:rPr>
              <w:t xml:space="preserve">Document</w:t>
            </w:r>
          </w:p>
        </w:tc>
        <w:tc>
          <w:tcPr>
            <w:tcW w:type="dxa" w:w="5207"/>
            <w:shd w:fill="1F4E5F" w:color="auto" w:val="clear"/>
            <w:tcMar>
              <w:top w:type="dxa" w:w="70"/>
              <w:left w:type="dxa" w:w="110"/>
              <w:bottom w:type="dxa" w:w="70"/>
              <w:right w:type="dxa" w:w="110"/>
            </w:tcMar>
          </w:tcPr>
          <w:p>
            <w:pPr>
              <w:spacing w:after="0" w:line="260"/>
            </w:pPr>
            <w:r>
              <w:rPr>
                <w:b/>
                <w:bCs/>
                <w:color w:val="FFFFFF"/>
                <w:sz w:val="19"/>
                <w:szCs w:val="19"/>
              </w:rPr>
              <w:t xml:space="preserve">Covers</w:t>
            </w:r>
          </w:p>
        </w:tc>
      </w:tr>
      <w:tr>
        <w:tc>
          <w:tcPr>
            <w:tcW w:type="dxa" w:w="3819"/>
            <w:tcMar>
              <w:top w:type="dxa" w:w="70"/>
              <w:left w:type="dxa" w:w="110"/>
              <w:bottom w:type="dxa" w:w="70"/>
              <w:right w:type="dxa" w:w="110"/>
            </w:tcMar>
          </w:tcPr>
          <w:p>
            <w:pPr>
              <w:spacing w:after="0" w:line="260"/>
            </w:pPr>
            <w:r>
              <w:rPr>
                <w:b w:val="false"/>
                <w:bCs w:val="false"/>
                <w:color w:val="202A32"/>
                <w:sz w:val="19"/>
                <w:szCs w:val="19"/>
              </w:rPr>
              <w:t xml:space="preserve">technical-documentation/01-architecture.md</w:t>
            </w:r>
          </w:p>
        </w:tc>
        <w:tc>
          <w:tcPr>
            <w:tcW w:type="dxa" w:w="5207"/>
            <w:tcMar>
              <w:top w:type="dxa" w:w="70"/>
              <w:left w:type="dxa" w:w="110"/>
              <w:bottom w:type="dxa" w:w="70"/>
              <w:right w:type="dxa" w:w="110"/>
            </w:tcMar>
          </w:tcPr>
          <w:p>
            <w:pPr>
              <w:spacing w:after="0" w:line="260"/>
            </w:pPr>
            <w:r>
              <w:rPr>
                <w:b w:val="false"/>
                <w:bCs w:val="false"/>
                <w:color w:val="202A32"/>
                <w:sz w:val="19"/>
                <w:szCs w:val="19"/>
              </w:rPr>
              <w:t xml:space="preserve">System overview, tech stack, request flow, directory structure</w:t>
            </w:r>
          </w:p>
        </w:tc>
      </w:tr>
      <w:tr>
        <w:tc>
          <w:tcPr>
            <w:tcW w:type="dxa" w:w="381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technical-documentation/02-boq-comparison-engine.md</w:t>
            </w:r>
          </w:p>
        </w:tc>
        <w:tc>
          <w:tcPr>
            <w:tcW w:type="dxa" w:w="520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The three-pass comparison: outlier detection, disqualification, partial bids, corrections</w:t>
            </w:r>
          </w:p>
        </w:tc>
      </w:tr>
      <w:tr>
        <w:tc>
          <w:tcPr>
            <w:tcW w:type="dxa" w:w="3819"/>
            <w:tcMar>
              <w:top w:type="dxa" w:w="70"/>
              <w:left w:type="dxa" w:w="110"/>
              <w:bottom w:type="dxa" w:w="70"/>
              <w:right w:type="dxa" w:w="110"/>
            </w:tcMar>
          </w:tcPr>
          <w:p>
            <w:pPr>
              <w:spacing w:after="0" w:line="260"/>
            </w:pPr>
            <w:r>
              <w:rPr>
                <w:b w:val="false"/>
                <w:bCs w:val="false"/>
                <w:color w:val="202A32"/>
                <w:sz w:val="19"/>
                <w:szCs w:val="19"/>
              </w:rPr>
              <w:t xml:space="preserve">technical-documentation/03-round-negotiation-tracking.md</w:t>
            </w:r>
          </w:p>
        </w:tc>
        <w:tc>
          <w:tcPr>
            <w:tcW w:type="dxa" w:w="5207"/>
            <w:tcMar>
              <w:top w:type="dxa" w:w="70"/>
              <w:left w:type="dxa" w:w="110"/>
              <w:bottom w:type="dxa" w:w="70"/>
              <w:right w:type="dxa" w:w="110"/>
            </w:tcMar>
          </w:tcPr>
          <w:p>
            <w:pPr>
              <w:spacing w:after="0" w:line="260"/>
            </w:pPr>
            <w:r>
              <w:rPr>
                <w:b w:val="false"/>
                <w:bCs w:val="false"/>
                <w:color w:val="202A32"/>
                <w:sz w:val="19"/>
                <w:szCs w:val="19"/>
              </w:rPr>
              <w:t xml:space="preserve">Reconstructing pricing history across rounds, and the anomaly rules on top</w:t>
            </w:r>
          </w:p>
        </w:tc>
      </w:tr>
      <w:tr>
        <w:tc>
          <w:tcPr>
            <w:tcW w:type="dxa" w:w="381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technical-documentation/04-data-model.md</w:t>
            </w:r>
          </w:p>
        </w:tc>
        <w:tc>
          <w:tcPr>
            <w:tcW w:type="dxa" w:w="520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Every Maximo table and application table used, with schema and caveats</w:t>
            </w:r>
          </w:p>
        </w:tc>
      </w:tr>
      <w:tr>
        <w:tc>
          <w:tcPr>
            <w:tcW w:type="dxa" w:w="3819"/>
            <w:tcMar>
              <w:top w:type="dxa" w:w="70"/>
              <w:left w:type="dxa" w:w="110"/>
              <w:bottom w:type="dxa" w:w="70"/>
              <w:right w:type="dxa" w:w="110"/>
            </w:tcMar>
          </w:tcPr>
          <w:p>
            <w:pPr>
              <w:spacing w:after="0" w:line="260"/>
            </w:pPr>
            <w:r>
              <w:rPr>
                <w:b w:val="false"/>
                <w:bCs w:val="false"/>
                <w:color w:val="202A32"/>
                <w:sz w:val="19"/>
                <w:szCs w:val="19"/>
              </w:rPr>
              <w:t xml:space="preserve">technical-documentation/05-application.md</w:t>
            </w:r>
          </w:p>
        </w:tc>
        <w:tc>
          <w:tcPr>
            <w:tcW w:type="dxa" w:w="5207"/>
            <w:tcMar>
              <w:top w:type="dxa" w:w="70"/>
              <w:left w:type="dxa" w:w="110"/>
              <w:bottom w:type="dxa" w:w="70"/>
              <w:right w:type="dxa" w:w="110"/>
            </w:tcMar>
          </w:tcPr>
          <w:p>
            <w:pPr>
              <w:spacing w:after="0" w:line="260"/>
            </w:pPr>
            <w:r>
              <w:rPr>
                <w:b w:val="false"/>
                <w:bCs w:val="false"/>
                <w:color w:val="202A32"/>
                <w:sz w:val="19"/>
                <w:szCs w:val="19"/>
              </w:rPr>
              <w:t xml:space="preserve">Backend module reference, API endpoints, shared conventions</w:t>
            </w:r>
          </w:p>
        </w:tc>
      </w:tr>
      <w:tr>
        <w:tc>
          <w:tcPr>
            <w:tcW w:type="dxa" w:w="381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technical-documentation/06-business-logic.md</w:t>
            </w:r>
          </w:p>
        </w:tc>
        <w:tc>
          <w:tcPr>
            <w:tcW w:type="dxa" w:w="520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Cross-cutting rules: fail-open overlays, enforcement, identity, AI guardrails</w:t>
            </w:r>
          </w:p>
        </w:tc>
      </w:tr>
      <w:tr>
        <w:tc>
          <w:tcPr>
            <w:tcW w:type="dxa" w:w="3819"/>
            <w:tcMar>
              <w:top w:type="dxa" w:w="70"/>
              <w:left w:type="dxa" w:w="110"/>
              <w:bottom w:type="dxa" w:w="70"/>
              <w:right w:type="dxa" w:w="110"/>
            </w:tcMar>
          </w:tcPr>
          <w:p>
            <w:pPr>
              <w:spacing w:after="0" w:line="260"/>
            </w:pPr>
            <w:r>
              <w:rPr>
                <w:b w:val="false"/>
                <w:bCs w:val="false"/>
                <w:color w:val="202A32"/>
                <w:sz w:val="19"/>
                <w:szCs w:val="19"/>
              </w:rPr>
              <w:t xml:space="preserve">technical-documentation/07-frontend.md</w:t>
            </w:r>
          </w:p>
        </w:tc>
        <w:tc>
          <w:tcPr>
            <w:tcW w:type="dxa" w:w="5207"/>
            <w:tcMar>
              <w:top w:type="dxa" w:w="70"/>
              <w:left w:type="dxa" w:w="110"/>
              <w:bottom w:type="dxa" w:w="70"/>
              <w:right w:type="dxa" w:w="110"/>
            </w:tcMar>
          </w:tcPr>
          <w:p>
            <w:pPr>
              <w:spacing w:after="0" w:line="260"/>
            </w:pPr>
            <w:r>
              <w:rPr>
                <w:b w:val="false"/>
                <w:bCs w:val="false"/>
                <w:color w:val="202A32"/>
                <w:sz w:val="19"/>
                <w:szCs w:val="19"/>
              </w:rPr>
              <w:t xml:space="preserve">Page map, the comparison page in detail, known quirks</w:t>
            </w:r>
          </w:p>
        </w:tc>
      </w:tr>
      <w:tr>
        <w:tc>
          <w:tcPr>
            <w:tcW w:type="dxa" w:w="381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technical-documentation/08-deployment-operations.md</w:t>
            </w:r>
          </w:p>
        </w:tc>
        <w:tc>
          <w:tcPr>
            <w:tcW w:type="dxa" w:w="520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Deployment, environment variables, grant status, access</w:t>
            </w:r>
          </w:p>
        </w:tc>
      </w:tr>
      <w:tr>
        <w:tc>
          <w:tcPr>
            <w:tcW w:type="dxa" w:w="3819"/>
            <w:tcMar>
              <w:top w:type="dxa" w:w="70"/>
              <w:left w:type="dxa" w:w="110"/>
              <w:bottom w:type="dxa" w:w="70"/>
              <w:right w:type="dxa" w:w="110"/>
            </w:tcMar>
          </w:tcPr>
          <w:p>
            <w:pPr>
              <w:spacing w:after="0" w:line="260"/>
            </w:pPr>
            <w:r>
              <w:rPr>
                <w:b w:val="false"/>
                <w:bCs w:val="false"/>
                <w:color w:val="202A32"/>
                <w:sz w:val="19"/>
                <w:szCs w:val="19"/>
              </w:rPr>
              <w:t xml:space="preserve">technical-documentation/09-troubleshooting.md</w:t>
            </w:r>
          </w:p>
        </w:tc>
        <w:tc>
          <w:tcPr>
            <w:tcW w:type="dxa" w:w="5207"/>
            <w:tcMar>
              <w:top w:type="dxa" w:w="70"/>
              <w:left w:type="dxa" w:w="110"/>
              <w:bottom w:type="dxa" w:w="70"/>
              <w:right w:type="dxa" w:w="110"/>
            </w:tcMar>
          </w:tcPr>
          <w:p>
            <w:pPr>
              <w:spacing w:after="0" w:line="260"/>
            </w:pPr>
            <w:r>
              <w:rPr>
                <w:b w:val="false"/>
                <w:bCs w:val="false"/>
                <w:color w:val="202A32"/>
                <w:sz w:val="19"/>
                <w:szCs w:val="19"/>
              </w:rPr>
              <w:t xml:space="preserve">Issues actually hit during development, with root cause and fix</w:t>
            </w:r>
          </w:p>
        </w:tc>
      </w:tr>
      <w:tr>
        <w:tc>
          <w:tcPr>
            <w:tcW w:type="dxa" w:w="381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technical-documentation/10-development-guide.md</w:t>
            </w:r>
          </w:p>
        </w:tc>
        <w:tc>
          <w:tcPr>
            <w:tcW w:type="dxa" w:w="520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Local setup, testing approach, how to add a feature</w:t>
            </w:r>
          </w:p>
        </w:tc>
      </w:tr>
      <w:tr>
        <w:tc>
          <w:tcPr>
            <w:tcW w:type="dxa" w:w="3819"/>
            <w:tcMar>
              <w:top w:type="dxa" w:w="70"/>
              <w:left w:type="dxa" w:w="110"/>
              <w:bottom w:type="dxa" w:w="70"/>
              <w:right w:type="dxa" w:w="110"/>
            </w:tcMar>
          </w:tcPr>
          <w:p>
            <w:pPr>
              <w:spacing w:after="0" w:line="260"/>
            </w:pPr>
            <w:r>
              <w:rPr>
                <w:b w:val="false"/>
                <w:bCs w:val="false"/>
                <w:color w:val="202A32"/>
                <w:sz w:val="19"/>
                <w:szCs w:val="19"/>
              </w:rPr>
              <w:t xml:space="preserve">technical-documentation/11-limitations-roadmap.md</w:t>
            </w:r>
          </w:p>
        </w:tc>
        <w:tc>
          <w:tcPr>
            <w:tcW w:type="dxa" w:w="5207"/>
            <w:tcMar>
              <w:top w:type="dxa" w:w="70"/>
              <w:left w:type="dxa" w:w="110"/>
              <w:bottom w:type="dxa" w:w="70"/>
              <w:right w:type="dxa" w:w="110"/>
            </w:tcMar>
          </w:tcPr>
          <w:p>
            <w:pPr>
              <w:spacing w:after="0" w:line="260"/>
            </w:pPr>
            <w:r>
              <w:rPr>
                <w:b w:val="false"/>
                <w:bCs w:val="false"/>
                <w:color w:val="202A32"/>
                <w:sz w:val="19"/>
                <w:szCs w:val="19"/>
              </w:rPr>
              <w:t xml:space="preserve">What is known-incomplete, and what is next</w:t>
            </w:r>
          </w:p>
        </w:tc>
      </w:tr>
      <w:tr>
        <w:tc>
          <w:tcPr>
            <w:tcW w:type="dxa" w:w="381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databricks/FINDINGS.md</w:t>
            </w:r>
          </w:p>
        </w:tc>
        <w:tc>
          <w:tcPr>
            <w:tcW w:type="dxa" w:w="520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The chronological data and design log. Authoritative on why the system works as it does, including corrected theories</w:t>
            </w:r>
          </w:p>
        </w:tc>
      </w:tr>
      <w:tr>
        <w:tc>
          <w:tcPr>
            <w:tcW w:type="dxa" w:w="3819"/>
            <w:tcMar>
              <w:top w:type="dxa" w:w="70"/>
              <w:left w:type="dxa" w:w="110"/>
              <w:bottom w:type="dxa" w:w="70"/>
              <w:right w:type="dxa" w:w="110"/>
            </w:tcMar>
          </w:tcPr>
          <w:p>
            <w:pPr>
              <w:spacing w:after="0" w:line="260"/>
            </w:pPr>
            <w:r>
              <w:rPr>
                <w:b w:val="false"/>
                <w:bCs w:val="false"/>
                <w:color w:val="202A32"/>
                <w:sz w:val="19"/>
                <w:szCs w:val="19"/>
              </w:rPr>
              <w:t xml:space="preserve">Bid-Analyser-User-Manual.pdf</w:t>
            </w:r>
          </w:p>
        </w:tc>
        <w:tc>
          <w:tcPr>
            <w:tcW w:type="dxa" w:w="5207"/>
            <w:tcMar>
              <w:top w:type="dxa" w:w="70"/>
              <w:left w:type="dxa" w:w="110"/>
              <w:bottom w:type="dxa" w:w="70"/>
              <w:right w:type="dxa" w:w="110"/>
            </w:tcMar>
          </w:tcPr>
          <w:p>
            <w:pPr>
              <w:spacing w:after="0" w:line="260"/>
            </w:pPr>
            <w:r>
              <w:rPr>
                <w:b w:val="false"/>
                <w:bCs w:val="false"/>
                <w:color w:val="202A32"/>
                <w:sz w:val="19"/>
                <w:szCs w:val="19"/>
              </w:rPr>
              <w:t xml:space="preserve">The analyst-facing manual. Every flag, every limit, troubleshooting and glossary</w:t>
            </w:r>
          </w:p>
        </w:tc>
      </w:tr>
      <w:tr>
        <w:tc>
          <w:tcPr>
            <w:tcW w:type="dxa" w:w="381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handover.html</w:t>
            </w:r>
          </w:p>
        </w:tc>
        <w:tc>
          <w:tcPr>
            <w:tcW w:type="dxa" w:w="520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Engineering handover. Where everything is, how it runs, what is open</w:t>
            </w:r>
          </w:p>
        </w:tc>
      </w:tr>
      <w:tr>
        <w:tc>
          <w:tcPr>
            <w:tcW w:type="dxa" w:w="3819"/>
            <w:tcMar>
              <w:top w:type="dxa" w:w="70"/>
              <w:left w:type="dxa" w:w="110"/>
              <w:bottom w:type="dxa" w:w="70"/>
              <w:right w:type="dxa" w:w="110"/>
            </w:tcMar>
          </w:tcPr>
          <w:p>
            <w:pPr>
              <w:spacing w:after="0" w:line="260"/>
            </w:pPr>
            <w:r>
              <w:rPr>
                <w:b w:val="false"/>
                <w:bCs w:val="false"/>
                <w:color w:val="202A32"/>
                <w:sz w:val="19"/>
                <w:szCs w:val="19"/>
              </w:rPr>
              <w:t xml:space="preserve">.github/README.md</w:t>
            </w:r>
          </w:p>
        </w:tc>
        <w:tc>
          <w:tcPr>
            <w:tcW w:type="dxa" w:w="5207"/>
            <w:tcMar>
              <w:top w:type="dxa" w:w="70"/>
              <w:left w:type="dxa" w:w="110"/>
              <w:bottom w:type="dxa" w:w="70"/>
              <w:right w:type="dxa" w:w="110"/>
            </w:tcMar>
          </w:tcPr>
          <w:p>
            <w:pPr>
              <w:spacing w:after="0" w:line="260"/>
            </w:pPr>
            <w:r>
              <w:rPr>
                <w:b w:val="false"/>
                <w:bCs w:val="false"/>
                <w:color w:val="202A32"/>
                <w:sz w:val="19"/>
                <w:szCs w:val="19"/>
              </w:rPr>
              <w:t xml:space="preserve">The pipeline, what it guards and what it cannot</w:t>
            </w:r>
          </w:p>
        </w:tc>
      </w:tr>
    </w:tbl>
    <w:p>
      <w:pPr>
        <w:spacing w:after="160"/>
      </w:pPr>
    </w:p>
    <w:p>
      <w:r>
        <w:br w:type="page"/>
      </w:r>
    </w:p>
    <w:p>
      <w:pPr>
        <w:pStyle w:val="Heading1"/>
        <w:spacing w:after="160" w:before="320"/>
      </w:pPr>
      <w:r>
        <w:rPr>
          <w:b/>
          <w:bCs/>
          <w:color w:val="1F4E5F"/>
          <w:sz w:val="30"/>
          <w:szCs w:val="30"/>
        </w:rPr>
        <w:t xml:space="preserve">Appendix C. Glossary</w:t>
      </w:r>
    </w:p>
    <w:tbl>
      <w:tblPr>
        <w:tblW w:type="dxa" w:w="9026"/>
        <w:tblBorders>
          <w:top w:val="single" w:color="C9D3DA" w:sz="2"/>
          <w:left w:val="single" w:color="C9D3DA" w:sz="2"/>
          <w:bottom w:val="single" w:color="C9D3DA" w:sz="2"/>
          <w:right w:val="single" w:color="C9D3DA" w:sz="2"/>
          <w:insideH w:val="single" w:color="DCE3E8" w:sz="2"/>
          <w:insideV w:val="single" w:color="DCE3E8" w:sz="2"/>
        </w:tblBorders>
      </w:tblPr>
      <w:tblGrid>
        <w:gridCol w:w="2579"/>
        <w:gridCol w:w="6447"/>
      </w:tblGrid>
      <w:tr>
        <w:trPr>
          <w:tblHeader/>
        </w:trPr>
        <w:tc>
          <w:tcPr>
            <w:tcW w:type="dxa" w:w="2579"/>
            <w:shd w:fill="1F4E5F" w:color="auto" w:val="clear"/>
            <w:tcMar>
              <w:top w:type="dxa" w:w="70"/>
              <w:left w:type="dxa" w:w="110"/>
              <w:bottom w:type="dxa" w:w="70"/>
              <w:right w:type="dxa" w:w="110"/>
            </w:tcMar>
          </w:tcPr>
          <w:p>
            <w:pPr>
              <w:spacing w:after="0" w:line="260"/>
            </w:pPr>
            <w:r>
              <w:rPr>
                <w:b/>
                <w:bCs/>
                <w:color w:val="FFFFFF"/>
                <w:sz w:val="19"/>
                <w:szCs w:val="19"/>
              </w:rPr>
              <w:t xml:space="preserve">Term</w:t>
            </w:r>
          </w:p>
        </w:tc>
        <w:tc>
          <w:tcPr>
            <w:tcW w:type="dxa" w:w="6447"/>
            <w:shd w:fill="1F4E5F" w:color="auto" w:val="clear"/>
            <w:tcMar>
              <w:top w:type="dxa" w:w="70"/>
              <w:left w:type="dxa" w:w="110"/>
              <w:bottom w:type="dxa" w:w="70"/>
              <w:right w:type="dxa" w:w="110"/>
            </w:tcMar>
          </w:tcPr>
          <w:p>
            <w:pPr>
              <w:spacing w:after="0" w:line="260"/>
            </w:pPr>
            <w:r>
              <w:rPr>
                <w:b/>
                <w:bCs/>
                <w:color w:val="FFFFFF"/>
                <w:sz w:val="19"/>
                <w:szCs w:val="19"/>
              </w:rPr>
              <w:t xml:space="preserve">Meaning</w:t>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BOQ</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Bill of Quantities. The itemised schedule of work that vendors price against.</w:t>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RFQ</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Request for Quotation. One tender.</w:t>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Line</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A single BOQ item, priced by each vendor.</w:t>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Unit rate</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The price for one unit of a line. What is negotiated.</w:t>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Line total</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Unit rate multiplied by quantity.</w:t>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Contract total</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The sum of a vendor's line totals across the BOQ.</w:t>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Round</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One stage of negotiation. Vendors may revise pricing at each.</w:t>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Unbalanced bidding</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Loading cost onto particular items while pricing the rest normally.</w:t>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Outlier</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A line that is unusual for that vendor against their own typical pricing, rather than simply expensive.</w:t>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Partial bid</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 vendor who was only ever expected to price part of the BOQ.</w:t>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Technically disqualified</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A line excluded from commercial evaluation on technical grounds.</w:t>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Overlay table</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An application-owned table holding analyst entries. Append-only, and never written back to Maximo.</w:t>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Fail-open</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A read that returns empty rather than failing, so a missing table or grant cannot break the analysis.</w:t>
            </w:r>
          </w:p>
        </w:tc>
      </w:tr>
      <w:tr>
        <w:tc>
          <w:tcPr>
            <w:tcW w:type="dxa" w:w="2579"/>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Maximo</w:t>
            </w:r>
          </w:p>
        </w:tc>
        <w:tc>
          <w:tcPr>
            <w:tcW w:type="dxa" w:w="6447"/>
            <w:shd w:fill="F2F5F7" w:color="auto" w:val="clear"/>
            <w:tcMar>
              <w:top w:type="dxa" w:w="70"/>
              <w:left w:type="dxa" w:w="110"/>
              <w:bottom w:type="dxa" w:w="70"/>
              <w:right w:type="dxa" w:w="110"/>
            </w:tcMar>
          </w:tcPr>
          <w:p>
            <w:pPr>
              <w:spacing w:after="0" w:line="260"/>
            </w:pPr>
            <w:r>
              <w:rPr>
                <w:b w:val="false"/>
                <w:bCs w:val="false"/>
                <w:color w:val="202A32"/>
                <w:sz w:val="19"/>
                <w:szCs w:val="19"/>
              </w:rPr>
              <w:t xml:space="preserve">The IBM system holding tender and bid records. The application reads it and never writes to it.</w:t>
            </w:r>
          </w:p>
        </w:tc>
      </w:tr>
      <w:tr>
        <w:tc>
          <w:tcPr>
            <w:tcW w:type="dxa" w:w="2579"/>
            <w:tcMar>
              <w:top w:type="dxa" w:w="70"/>
              <w:left w:type="dxa" w:w="110"/>
              <w:bottom w:type="dxa" w:w="70"/>
              <w:right w:type="dxa" w:w="110"/>
            </w:tcMar>
          </w:tcPr>
          <w:p>
            <w:pPr>
              <w:spacing w:after="0" w:line="260"/>
            </w:pPr>
            <w:r>
              <w:rPr>
                <w:b w:val="false"/>
                <w:bCs w:val="false"/>
                <w:color w:val="202A32"/>
                <w:sz w:val="19"/>
                <w:szCs w:val="19"/>
              </w:rPr>
              <w:t xml:space="preserve">Beta</w:t>
            </w:r>
          </w:p>
        </w:tc>
        <w:tc>
          <w:tcPr>
            <w:tcW w:type="dxa" w:w="6447"/>
            <w:tcMar>
              <w:top w:type="dxa" w:w="70"/>
              <w:left w:type="dxa" w:w="110"/>
              <w:bottom w:type="dxa" w:w="70"/>
              <w:right w:type="dxa" w:w="110"/>
            </w:tcMar>
          </w:tcPr>
          <w:p>
            <w:pPr>
              <w:spacing w:after="0" w:line="260"/>
            </w:pPr>
            <w:r>
              <w:rPr>
                <w:b w:val="false"/>
                <w:bCs w:val="false"/>
                <w:color w:val="202A32"/>
                <w:sz w:val="19"/>
                <w:szCs w:val="19"/>
              </w:rPr>
              <w:t xml:space="preserve">A feature released for testing. Usable, but not yet guaranteed.</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691"/>
        <w:sz w:val="16"/>
        <w:szCs w:val="16"/>
      </w:rPr>
      <w:t xml:space="preserve">D23 Playbook  |  AI Bid Analyser  |  Page </w:t>
    </w:r>
    <w:r>
      <w:rPr>
        <w:color w:val="7A8691"/>
        <w:sz w:val="16"/>
        <w:szCs w:val="16"/>
      </w:rPr>
      <w:fldChar w:fldCharType="begin"/>
    </w:r>
    <w:r>
      <w:rPr>
        <w:color w:val="7A8691"/>
        <w:sz w:val="16"/>
        <w:szCs w:val="16"/>
      </w:rPr>
      <w:instrText xml:space="preserve">PAGE</w:instrText>
    </w:r>
    <w:r>
      <w:rPr>
        <w:color w:val="7A8691"/>
        <w:sz w:val="16"/>
        <w:szCs w:val="16"/>
      </w:rPr>
      <w:fldChar w:fldCharType="separate"/>
    </w:r>
    <w:r>
      <w:rPr>
        <w:color w:val="7A8691"/>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abstractNum w:abstractNumId="3" w15:restartNumberingAfterBreak="0">
    <w:multiLevelType w:val="hybridMultilevel"/>
    <w:lvl w:ilvl="0" w: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D23 Playbook for Implemented AI Use-Cases: AI Bid Analyser</dc:title>
  <dc:creator>TAQA Data Platform delivery team</dc:creator>
  <dc:description>Operating playbook for the AI Bid Analyser use case</dc:description>
  <cp:lastModifiedBy>Un-named</cp:lastModifiedBy>
  <cp:revision>1</cp:revision>
  <dcterms:created xsi:type="dcterms:W3CDTF">2026-10-21T07:12:17.964Z</dcterms:created>
  <dcterms:modified xsi:type="dcterms:W3CDTF">2026-10-21T07:12:17.970Z</dcterms:modified>
</cp:coreProperties>
</file>

<file path=docProps/custom.xml><?xml version="1.0" encoding="utf-8"?>
<Properties xmlns="http://schemas.openxmlformats.org/officeDocument/2006/custom-properties" xmlns:vt="http://schemas.openxmlformats.org/officeDocument/2006/docPropsVTypes"/>
</file>