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400" w:after="360" w:line="240" w:lineRule="auto"/>
        <w:jc w:val="center"/>
      </w:pPr>
      <w:r>
        <w:rPr>
          <w:rFonts w:ascii="Calibri" w:hAnsi="Calibri" w:eastAsia="Noto Sans TC Thin"/>
          <w:b/>
          <w:i w:val="0"/>
          <w:color w:val="D94131"/>
          <w:sz w:val="20"/>
        </w:rPr>
        <w:t>CLASSROOM IMPLEMENTATION GUIDE</w:t>
      </w:r>
    </w:p>
    <w:p>
      <w:pPr>
        <w:keepNext w:val="0"/>
        <w:spacing w:before="0" w:after="60" w:line="240" w:lineRule="auto"/>
        <w:jc w:val="center"/>
      </w:pPr>
      <w:r>
        <w:rPr>
          <w:rFonts w:ascii="Calibri" w:hAnsi="Calibri" w:eastAsia="Noto Sans TC Thin"/>
          <w:b/>
          <w:i w:val="0"/>
          <w:color w:val="18304A"/>
          <w:sz w:val="64"/>
        </w:rPr>
        <w:t>Scale Quest</w:t>
      </w:r>
    </w:p>
    <w:p>
      <w:pPr>
        <w:keepNext w:val="0"/>
        <w:spacing w:before="0" w:after="120" w:line="240" w:lineRule="auto"/>
        <w:jc w:val="center"/>
      </w:pPr>
      <w:r>
        <w:rPr>
          <w:rFonts w:ascii="Calibri" w:hAnsi="Calibri" w:eastAsia="Noto Sans TC Thin"/>
          <w:b/>
          <w:i w:val="0"/>
          <w:color w:val="087F78"/>
          <w:sz w:val="38"/>
        </w:rPr>
        <w:t>From Atoms to Space</w:t>
      </w:r>
    </w:p>
    <w:p>
      <w:pPr>
        <w:keepNext w:val="0"/>
        <w:spacing w:before="0" w:after="600" w:line="240" w:lineRule="auto"/>
        <w:jc w:val="center"/>
      </w:pPr>
      <w:r>
        <w:rPr>
          <w:rFonts w:ascii="Calibri" w:hAnsi="Calibri" w:eastAsia="Noto Sans TC Thin"/>
          <w:b/>
          <w:i w:val="0"/>
          <w:color w:val="294A67"/>
          <w:sz w:val="28"/>
        </w:rPr>
        <w:t>尺度大冒險：從原子到太空</w:t>
      </w:r>
    </w:p>
    <w:p>
      <w:pPr>
        <w:keepNext w:val="0"/>
        <w:spacing w:before="100" w:after="160" w:line="288" w:lineRule="auto"/>
        <w:ind w:left="259" w:right="259"/>
        <w:shd w:fill="FFF8EC"/>
        <w:pBdr>
          <w:left w:val="single" w:sz="22" w:space="8" w:color="D94131"/>
        </w:pBdr>
      </w:pPr>
      <w:r>
        <w:rPr>
          <w:rFonts w:ascii="Calibri" w:hAnsi="Calibri" w:eastAsia="Noto Sans TC Thin"/>
          <w:b/>
          <w:i w:val="0"/>
          <w:color w:val="D94131"/>
          <w:sz w:val="21"/>
        </w:rPr>
        <w:t xml:space="preserve">PURPOSE  </w:t>
      </w:r>
      <w:r>
        <w:rPr>
          <w:rFonts w:ascii="Calibri" w:hAnsi="Calibri" w:eastAsia="Noto Sans TC Thin"/>
          <w:b w:val="0"/>
          <w:i w:val="0"/>
          <w:color w:val="18304A"/>
          <w:sz w:val="21"/>
        </w:rPr>
        <w:t>A bilingual, game-based sequence for building scale sense before introducing SI-prefix conversion.</w:t>
      </w:r>
    </w:p>
    <w:p>
      <w:pPr>
        <w:keepNext w:val="0"/>
        <w:spacing w:before="680" w:after="160" w:line="300" w:lineRule="auto"/>
        <w:jc w:val="center"/>
      </w:pPr>
      <w:r>
        <w:rPr>
          <w:rFonts w:ascii="Calibri" w:hAnsi="Calibri" w:eastAsia="Noto Sans TC Thin"/>
          <w:b w:val="0"/>
          <w:i w:val="0"/>
          <w:color w:val="294A67"/>
          <w:sz w:val="22"/>
        </w:rPr>
        <w:t>Designed for Hong Kong secondary science and physics classrooms</w:t>
      </w:r>
    </w:p>
    <w:p>
      <w:pPr>
        <w:keepNext w:val="0"/>
        <w:spacing w:before="0" w:after="480" w:line="300" w:lineRule="auto"/>
        <w:jc w:val="center"/>
      </w:pPr>
      <w:r>
        <w:rPr>
          <w:rFonts w:ascii="Calibri" w:hAnsi="Calibri" w:eastAsia="Noto Sans TC Thin"/>
          <w:b w:val="0"/>
          <w:i w:val="0"/>
          <w:color w:val="64748B"/>
          <w:sz w:val="20"/>
        </w:rPr>
        <w:t>Suggested level: Years 8-10  |  Core activity: 15-20 minutes  |  Individual or pairs</w:t>
      </w:r>
    </w:p>
    <w:p>
      <w:pPr>
        <w:keepNext w:val="0"/>
        <w:spacing w:before="0" w:after="0" w:line="300" w:lineRule="auto"/>
        <w:jc w:val="center"/>
      </w:pPr>
      <w:r>
        <w:rPr>
          <w:rFonts w:ascii="Calibri" w:hAnsi="Calibri" w:eastAsia="Noto Sans TC Thin"/>
          <w:b/>
          <w:i w:val="0"/>
          <w:color w:val="18304A"/>
          <w:sz w:val="21"/>
        </w:rPr>
        <w:t xml:space="preserve">Play the game: </w:t>
      </w:r>
      <w:hyperlink r:id="rId11">
        <w:r>
          <w:rPr>
            <w:rFonts w:ascii="Calibri" w:hAnsi="Calibri"/>
            <w:color w:val="087F78"/>
            <w:u w:val="single"/>
          </w:rPr>
          <w:t>https://scale-quest-hk.ym03chan.chatgpt.site</w:t>
        </w:r>
      </w:hyperlink>
    </w:p>
    <w:p>
      <w:pPr>
        <w:keepNext w:val="0"/>
        <w:spacing w:before="1800" w:after="0" w:line="300" w:lineRule="auto"/>
        <w:jc w:val="center"/>
      </w:pPr>
      <w:r>
        <w:rPr>
          <w:rFonts w:ascii="Calibri" w:hAnsi="Calibri" w:eastAsia="Noto Sans TC Thin"/>
          <w:b w:val="0"/>
          <w:i w:val="0"/>
          <w:color w:val="64748B"/>
          <w:sz w:val="19"/>
        </w:rPr>
        <w:t>Teacher edition  |  July 2026</w:t>
      </w:r>
    </w:p>
    <w:p>
      <w:r>
        <w:br w:type="page"/>
      </w:r>
    </w:p>
    <w:p>
      <w:pPr>
        <w:pStyle w:val="Heading1"/>
      </w:pPr>
      <w:r>
        <w:t>1. Quick start</w:t>
      </w:r>
    </w:p>
    <w:p>
      <w:pPr>
        <w:keepNext w:val="0"/>
        <w:spacing w:before="100" w:after="160" w:line="288" w:lineRule="auto"/>
        <w:ind w:left="259" w:right="259"/>
        <w:shd w:fill="DDF3F0"/>
        <w:pBdr>
          <w:left w:val="single" w:sz="22" w:space="8" w:color="087F78"/>
        </w:pBdr>
      </w:pPr>
      <w:r>
        <w:rPr>
          <w:rFonts w:ascii="Calibri" w:hAnsi="Calibri" w:eastAsia="Noto Sans TC Thin"/>
          <w:b/>
          <w:i w:val="0"/>
          <w:color w:val="087F78"/>
          <w:sz w:val="21"/>
        </w:rPr>
        <w:t xml:space="preserve">THE BIG IDEA  </w:t>
      </w:r>
      <w:r>
        <w:rPr>
          <w:rFonts w:ascii="Calibri" w:hAnsi="Calibri" w:eastAsia="Noto Sans TC Thin"/>
          <w:b w:val="0"/>
          <w:i w:val="0"/>
          <w:color w:val="18304A"/>
          <w:sz w:val="21"/>
        </w:rPr>
        <w:t>Students first judge and order familiar objects. Only then do they attach powers of ten and prefixes. This protects the activity from becoming symbol matching without scale sense.</w:t>
      </w:r>
    </w:p>
    <w:p>
      <w:pPr>
        <w:pStyle w:val="Heading2"/>
      </w:pPr>
      <w:r>
        <w:t>Learning outcomes</w:t>
      </w:r>
    </w:p>
    <w:p>
      <w:pPr>
        <w:pStyle w:val="ListBullet"/>
        <w:keepNext w:val="0"/>
        <w:spacing w:before="0" w:after="80" w:line="300" w:lineRule="auto"/>
        <w:ind w:left="540" w:hanging="271"/>
      </w:pPr>
      <w:r>
        <w:rPr>
          <w:rFonts w:ascii="Calibri" w:hAnsi="Calibri" w:eastAsia="Noto Sans TC Thin"/>
          <w:b w:val="0"/>
          <w:i w:val="0"/>
          <w:color w:val="18304A"/>
          <w:sz w:val="22"/>
        </w:rPr>
        <w:t>Estimate and compare the order of magnitude of familiar, microscopic, geographic and astronomical lengths.</w:t>
      </w:r>
    </w:p>
    <w:p>
      <w:pPr>
        <w:pStyle w:val="ListBullet"/>
        <w:keepNext w:val="0"/>
        <w:spacing w:before="0" w:after="80" w:line="300" w:lineRule="auto"/>
        <w:ind w:left="540" w:hanging="271"/>
      </w:pPr>
      <w:r>
        <w:rPr>
          <w:rFonts w:ascii="Calibri" w:hAnsi="Calibri" w:eastAsia="Noto Sans TC Thin"/>
          <w:b w:val="0"/>
          <w:i w:val="0"/>
          <w:color w:val="18304A"/>
          <w:sz w:val="22"/>
        </w:rPr>
        <w:t>Use 10^0 m as the central base-unit anchor and distinguish metre (m) from the milli prefix (m in mm).</w:t>
      </w:r>
    </w:p>
    <w:p>
      <w:pPr>
        <w:pStyle w:val="ListBullet"/>
        <w:keepNext w:val="0"/>
        <w:spacing w:before="0" w:after="80" w:line="300" w:lineRule="auto"/>
        <w:ind w:left="540" w:hanging="271"/>
      </w:pPr>
      <w:r>
        <w:rPr>
          <w:rFonts w:ascii="Calibri" w:hAnsi="Calibri" w:eastAsia="Noto Sans TC Thin"/>
          <w:b w:val="0"/>
          <w:i w:val="0"/>
          <w:color w:val="18304A"/>
          <w:sz w:val="22"/>
        </w:rPr>
        <w:t>Connect the core 10^3 ladder: nano, micro, milli, metre, kilo, mega and giga.</w:t>
      </w:r>
    </w:p>
    <w:p>
      <w:pPr>
        <w:pStyle w:val="ListBullet"/>
        <w:keepNext w:val="0"/>
        <w:spacing w:before="0" w:after="80" w:line="300" w:lineRule="auto"/>
        <w:ind w:left="540" w:hanging="271"/>
      </w:pPr>
      <w:r>
        <w:rPr>
          <w:rFonts w:ascii="Calibri" w:hAnsi="Calibri" w:eastAsia="Noto Sans TC Thin"/>
          <w:b w:val="0"/>
          <w:i w:val="0"/>
          <w:color w:val="18304A"/>
          <w:sz w:val="22"/>
        </w:rPr>
        <w:t>Convert a length among scientific notation, metres and an appropriate SI-prefix form.</w:t>
      </w:r>
    </w:p>
    <w:p>
      <w:pPr>
        <w:pStyle w:val="Heading2"/>
      </w:pPr>
      <w:r>
        <w:t>Suggested 18-minute lesson</w:t>
      </w:r>
    </w:p>
    <w:tbl>
      <w:tblPr>
        <w:tblStyle w:val="TableGrid"/>
        <w:tblW w:type="dxa" w:w="9360"/>
        <w:jc w:val="left"/>
        <w:tblLayout w:type="fixed"/>
        <w:tblLook w:firstColumn="1" w:firstRow="1" w:lastColumn="0" w:lastRow="0" w:noHBand="0" w:noVBand="1" w:val="04A0"/>
        <w:tblInd w:w="120" w:type="dxa"/>
      </w:tblPr>
      <w:tblGrid>
        <w:gridCol w:w="1050"/>
        <w:gridCol w:w="3100"/>
        <w:gridCol w:w="5210"/>
      </w:tblGrid>
      <w:tr>
        <w:trPr>
          <w:tblHeader w:val="true"/>
        </w:trPr>
        <w:tc>
          <w:tcPr>
            <w:tcW w:type="dxa" w:w="1050"/>
            <w:tcMar>
              <w:top w:w="100" w:type="dxa"/>
              <w:start w:w="120" w:type="dxa"/>
              <w:bottom w:w="100" w:type="dxa"/>
              <w:end w:w="120" w:type="dxa"/>
            </w:tcMar>
            <w:vAlign w:val="center"/>
            <w:shd w:fill="087F78"/>
          </w:tcPr>
          <w:p>
            <w:pPr>
              <w:keepNext w:val="0"/>
              <w:spacing w:before="0" w:after="0" w:line="264" w:lineRule="auto"/>
              <w:jc w:val="center"/>
            </w:pPr>
            <w:r>
              <w:rPr>
                <w:rFonts w:ascii="Calibri" w:hAnsi="Calibri" w:eastAsia="Noto Sans TC Thin"/>
                <w:b/>
                <w:i w:val="0"/>
                <w:color w:val="FFFFFF"/>
                <w:sz w:val="19"/>
              </w:rPr>
              <w:t>Time</w:t>
            </w:r>
          </w:p>
        </w:tc>
        <w:tc>
          <w:tcPr>
            <w:tcW w:type="dxa" w:w="3100"/>
            <w:tcMar>
              <w:top w:w="100" w:type="dxa"/>
              <w:start w:w="120" w:type="dxa"/>
              <w:bottom w:w="100" w:type="dxa"/>
              <w:end w:w="120" w:type="dxa"/>
            </w:tcMar>
            <w:vAlign w:val="center"/>
            <w:shd w:fill="087F78"/>
          </w:tcPr>
          <w:p>
            <w:pPr>
              <w:keepNext w:val="0"/>
              <w:spacing w:before="0" w:after="0" w:line="264" w:lineRule="auto"/>
              <w:jc w:val="center"/>
            </w:pPr>
            <w:r>
              <w:rPr>
                <w:rFonts w:ascii="Calibri" w:hAnsi="Calibri" w:eastAsia="Noto Sans TC Thin"/>
                <w:b/>
                <w:i w:val="0"/>
                <w:color w:val="FFFFFF"/>
                <w:sz w:val="19"/>
              </w:rPr>
              <w:t>Student activity</w:t>
            </w:r>
          </w:p>
        </w:tc>
        <w:tc>
          <w:tcPr>
            <w:tcW w:type="dxa" w:w="5210"/>
            <w:tcMar>
              <w:top w:w="100" w:type="dxa"/>
              <w:start w:w="120" w:type="dxa"/>
              <w:bottom w:w="100" w:type="dxa"/>
              <w:end w:w="120" w:type="dxa"/>
            </w:tcMar>
            <w:vAlign w:val="center"/>
            <w:shd w:fill="087F78"/>
          </w:tcPr>
          <w:p>
            <w:pPr>
              <w:keepNext w:val="0"/>
              <w:spacing w:before="0" w:after="0" w:line="264" w:lineRule="auto"/>
              <w:jc w:val="center"/>
            </w:pPr>
            <w:r>
              <w:rPr>
                <w:rFonts w:ascii="Calibri" w:hAnsi="Calibri" w:eastAsia="Noto Sans TC Thin"/>
                <w:b/>
                <w:i w:val="0"/>
                <w:color w:val="FFFFFF"/>
                <w:sz w:val="19"/>
              </w:rPr>
              <w:t>Teacher move</w:t>
            </w:r>
          </w:p>
        </w:tc>
      </w:tr>
      <w:tr>
        <w:tc>
          <w:tcPr>
            <w:tcW w:type="dxa" w:w="1050"/>
          </w:tcPr>
          <w:p>
            <w:pPr>
              <w:keepNext w:val="0"/>
              <w:spacing w:before="0" w:after="0" w:line="269" w:lineRule="auto"/>
              <w:jc w:val="center"/>
            </w:pPr>
            <w:r>
              <w:rPr>
                <w:rFonts w:ascii="Calibri" w:hAnsi="Calibri" w:eastAsia="Noto Sans TC Thin"/>
                <w:b/>
                <w:i w:val="0"/>
                <w:color w:val="18304A"/>
                <w:sz w:val="18"/>
              </w:rPr>
              <w:t>0-2 min</w:t>
            </w:r>
          </w:p>
        </w:tc>
        <w:tc>
          <w:tcPr>
            <w:tcW w:type="dxa" w:w="3100"/>
          </w:tcPr>
          <w:p>
            <w:pPr>
              <w:keepNext w:val="0"/>
              <w:spacing w:before="0" w:after="0" w:line="269" w:lineRule="auto"/>
              <w:jc w:val="left"/>
            </w:pPr>
            <w:r>
              <w:rPr>
                <w:rFonts w:ascii="Calibri" w:hAnsi="Calibri" w:eastAsia="Noto Sans TC Thin"/>
                <w:b w:val="0"/>
                <w:i w:val="0"/>
                <w:color w:val="18304A"/>
                <w:sz w:val="18"/>
              </w:rPr>
              <w:t>Mission 1: Compare</w:t>
            </w:r>
          </w:p>
        </w:tc>
        <w:tc>
          <w:tcPr>
            <w:tcW w:type="dxa" w:w="5210"/>
          </w:tcPr>
          <w:p>
            <w:pPr>
              <w:keepNext w:val="0"/>
              <w:spacing w:before="0" w:after="0" w:line="269" w:lineRule="auto"/>
              <w:jc w:val="left"/>
            </w:pPr>
            <w:r>
              <w:rPr>
                <w:rFonts w:ascii="Calibri" w:hAnsi="Calibri" w:eastAsia="Noto Sans TC Thin"/>
                <w:b w:val="0"/>
                <w:i w:val="0"/>
                <w:color w:val="18304A"/>
                <w:sz w:val="18"/>
              </w:rPr>
              <w:t>Ask for a reason before revealing any number.</w:t>
            </w:r>
          </w:p>
        </w:tc>
      </w:tr>
      <w:tr>
        <w:tc>
          <w:tcPr>
            <w:tcW w:type="dxa" w:w="1050"/>
            <w:shd w:fill="F3FAF8"/>
          </w:tcPr>
          <w:p>
            <w:pPr>
              <w:keepNext w:val="0"/>
              <w:spacing w:before="0" w:after="0" w:line="269" w:lineRule="auto"/>
              <w:jc w:val="center"/>
            </w:pPr>
            <w:r>
              <w:rPr>
                <w:rFonts w:ascii="Calibri" w:hAnsi="Calibri" w:eastAsia="Noto Sans TC Thin"/>
                <w:b/>
                <w:i w:val="0"/>
                <w:color w:val="18304A"/>
                <w:sz w:val="18"/>
              </w:rPr>
              <w:t>2-5 min</w:t>
            </w:r>
          </w:p>
        </w:tc>
        <w:tc>
          <w:tcPr>
            <w:tcW w:type="dxa" w:w="3100"/>
            <w:shd w:fill="F3FAF8"/>
          </w:tcPr>
          <w:p>
            <w:pPr>
              <w:keepNext w:val="0"/>
              <w:spacing w:before="0" w:after="0" w:line="269" w:lineRule="auto"/>
              <w:jc w:val="left"/>
            </w:pPr>
            <w:r>
              <w:rPr>
                <w:rFonts w:ascii="Calibri" w:hAnsi="Calibri" w:eastAsia="Noto Sans TC Thin"/>
                <w:b w:val="0"/>
                <w:i w:val="0"/>
                <w:color w:val="18304A"/>
                <w:sz w:val="18"/>
              </w:rPr>
              <w:t>Mission 2: Size Line-up</w:t>
            </w:r>
          </w:p>
        </w:tc>
        <w:tc>
          <w:tcPr>
            <w:tcW w:type="dxa" w:w="5210"/>
            <w:shd w:fill="F3FAF8"/>
          </w:tcPr>
          <w:p>
            <w:pPr>
              <w:keepNext w:val="0"/>
              <w:spacing w:before="0" w:after="0" w:line="269" w:lineRule="auto"/>
              <w:jc w:val="left"/>
            </w:pPr>
            <w:r>
              <w:rPr>
                <w:rFonts w:ascii="Calibri" w:hAnsi="Calibri" w:eastAsia="Noto Sans TC Thin"/>
                <w:b w:val="0"/>
                <w:i w:val="0"/>
                <w:color w:val="18304A"/>
                <w:sz w:val="18"/>
              </w:rPr>
              <w:t>Listen for comparison of the named dimension.</w:t>
            </w:r>
          </w:p>
        </w:tc>
      </w:tr>
      <w:tr>
        <w:tc>
          <w:tcPr>
            <w:tcW w:type="dxa" w:w="1050"/>
          </w:tcPr>
          <w:p>
            <w:pPr>
              <w:keepNext w:val="0"/>
              <w:spacing w:before="0" w:after="0" w:line="269" w:lineRule="auto"/>
              <w:jc w:val="center"/>
            </w:pPr>
            <w:r>
              <w:rPr>
                <w:rFonts w:ascii="Calibri" w:hAnsi="Calibri" w:eastAsia="Noto Sans TC Thin"/>
                <w:b/>
                <w:i w:val="0"/>
                <w:color w:val="18304A"/>
                <w:sz w:val="18"/>
              </w:rPr>
              <w:t>5-9 min</w:t>
            </w:r>
          </w:p>
        </w:tc>
        <w:tc>
          <w:tcPr>
            <w:tcW w:type="dxa" w:w="3100"/>
          </w:tcPr>
          <w:p>
            <w:pPr>
              <w:keepNext w:val="0"/>
              <w:spacing w:before="0" w:after="0" w:line="269" w:lineRule="auto"/>
              <w:jc w:val="left"/>
            </w:pPr>
            <w:r>
              <w:rPr>
                <w:rFonts w:ascii="Calibri" w:hAnsi="Calibri" w:eastAsia="Noto Sans TC Thin"/>
                <w:b w:val="0"/>
                <w:i w:val="0"/>
                <w:color w:val="18304A"/>
                <w:sz w:val="18"/>
              </w:rPr>
              <w:t>Mission 3: Zoom Map</w:t>
            </w:r>
          </w:p>
        </w:tc>
        <w:tc>
          <w:tcPr>
            <w:tcW w:type="dxa" w:w="5210"/>
          </w:tcPr>
          <w:p>
            <w:pPr>
              <w:keepNext w:val="0"/>
              <w:spacing w:before="0" w:after="0" w:line="269" w:lineRule="auto"/>
              <w:jc w:val="left"/>
            </w:pPr>
            <w:r>
              <w:rPr>
                <w:rFonts w:ascii="Calibri" w:hAnsi="Calibri" w:eastAsia="Noto Sans TC Thin"/>
                <w:b w:val="0"/>
                <w:i w:val="0"/>
                <w:color w:val="18304A"/>
                <w:sz w:val="18"/>
              </w:rPr>
              <w:t>Pause at the classroom door: 2 m belongs near 10^0 m.</w:t>
            </w:r>
          </w:p>
        </w:tc>
      </w:tr>
      <w:tr>
        <w:tc>
          <w:tcPr>
            <w:tcW w:type="dxa" w:w="1050"/>
            <w:shd w:fill="F3FAF8"/>
          </w:tcPr>
          <w:p>
            <w:pPr>
              <w:keepNext w:val="0"/>
              <w:spacing w:before="0" w:after="0" w:line="269" w:lineRule="auto"/>
              <w:jc w:val="center"/>
            </w:pPr>
            <w:r>
              <w:rPr>
                <w:rFonts w:ascii="Calibri" w:hAnsi="Calibri" w:eastAsia="Noto Sans TC Thin"/>
                <w:b/>
                <w:i w:val="0"/>
                <w:color w:val="18304A"/>
                <w:sz w:val="18"/>
              </w:rPr>
              <w:t>9-12 min</w:t>
            </w:r>
          </w:p>
        </w:tc>
        <w:tc>
          <w:tcPr>
            <w:tcW w:type="dxa" w:w="3100"/>
            <w:shd w:fill="F3FAF8"/>
          </w:tcPr>
          <w:p>
            <w:pPr>
              <w:keepNext w:val="0"/>
              <w:spacing w:before="0" w:after="0" w:line="269" w:lineRule="auto"/>
              <w:jc w:val="left"/>
            </w:pPr>
            <w:r>
              <w:rPr>
                <w:rFonts w:ascii="Calibri" w:hAnsi="Calibri" w:eastAsia="Noto Sans TC Thin"/>
                <w:b w:val="0"/>
                <w:i w:val="0"/>
                <w:color w:val="18304A"/>
                <w:sz w:val="18"/>
              </w:rPr>
              <w:t>Mission 4: Prefix Power-ups</w:t>
            </w:r>
          </w:p>
        </w:tc>
        <w:tc>
          <w:tcPr>
            <w:tcW w:type="dxa" w:w="5210"/>
            <w:shd w:fill="F3FAF8"/>
          </w:tcPr>
          <w:p>
            <w:pPr>
              <w:keepNext w:val="0"/>
              <w:spacing w:before="0" w:after="0" w:line="269" w:lineRule="auto"/>
              <w:jc w:val="left"/>
            </w:pPr>
            <w:r>
              <w:rPr>
                <w:rFonts w:ascii="Calibri" w:hAnsi="Calibri" w:eastAsia="Noto Sans TC Thin"/>
                <w:b w:val="0"/>
                <w:i w:val="0"/>
                <w:color w:val="18304A"/>
                <w:sz w:val="18"/>
              </w:rPr>
              <w:t>Chant or point through the 10^3 ladder once.</w:t>
            </w:r>
          </w:p>
        </w:tc>
      </w:tr>
      <w:tr>
        <w:tc>
          <w:tcPr>
            <w:tcW w:type="dxa" w:w="1050"/>
          </w:tcPr>
          <w:p>
            <w:pPr>
              <w:keepNext w:val="0"/>
              <w:spacing w:before="0" w:after="0" w:line="269" w:lineRule="auto"/>
              <w:jc w:val="center"/>
            </w:pPr>
            <w:r>
              <w:rPr>
                <w:rFonts w:ascii="Calibri" w:hAnsi="Calibri" w:eastAsia="Noto Sans TC Thin"/>
                <w:b/>
                <w:i w:val="0"/>
                <w:color w:val="18304A"/>
                <w:sz w:val="18"/>
              </w:rPr>
              <w:t>12-17 min</w:t>
            </w:r>
          </w:p>
        </w:tc>
        <w:tc>
          <w:tcPr>
            <w:tcW w:type="dxa" w:w="3100"/>
          </w:tcPr>
          <w:p>
            <w:pPr>
              <w:keepNext w:val="0"/>
              <w:spacing w:before="0" w:after="0" w:line="269" w:lineRule="auto"/>
              <w:jc w:val="left"/>
            </w:pPr>
            <w:r>
              <w:rPr>
                <w:rFonts w:ascii="Calibri" w:hAnsi="Calibri" w:eastAsia="Noto Sans TC Thin"/>
                <w:b w:val="0"/>
                <w:i w:val="0"/>
                <w:color w:val="18304A"/>
                <w:sz w:val="18"/>
              </w:rPr>
              <w:t>Mission 5: Triple Match</w:t>
            </w:r>
          </w:p>
        </w:tc>
        <w:tc>
          <w:tcPr>
            <w:tcW w:type="dxa" w:w="5210"/>
          </w:tcPr>
          <w:p>
            <w:pPr>
              <w:keepNext w:val="0"/>
              <w:spacing w:before="0" w:after="0" w:line="269" w:lineRule="auto"/>
              <w:jc w:val="left"/>
            </w:pPr>
            <w:r>
              <w:rPr>
                <w:rFonts w:ascii="Calibri" w:hAnsi="Calibri" w:eastAsia="Noto Sans TC Thin"/>
                <w:b w:val="0"/>
                <w:i w:val="0"/>
                <w:color w:val="18304A"/>
                <w:sz w:val="18"/>
              </w:rPr>
              <w:t>Require both selected cards to be justified.</w:t>
            </w:r>
          </w:p>
        </w:tc>
      </w:tr>
      <w:tr>
        <w:tc>
          <w:tcPr>
            <w:tcW w:type="dxa" w:w="1050"/>
            <w:shd w:fill="F3FAF8"/>
          </w:tcPr>
          <w:p>
            <w:pPr>
              <w:keepNext w:val="0"/>
              <w:spacing w:before="0" w:after="0" w:line="269" w:lineRule="auto"/>
              <w:jc w:val="center"/>
            </w:pPr>
            <w:r>
              <w:rPr>
                <w:rFonts w:ascii="Calibri" w:hAnsi="Calibri" w:eastAsia="Noto Sans TC Thin"/>
                <w:b/>
                <w:i w:val="0"/>
                <w:color w:val="18304A"/>
                <w:sz w:val="18"/>
              </w:rPr>
              <w:t>17-18 min</w:t>
            </w:r>
          </w:p>
        </w:tc>
        <w:tc>
          <w:tcPr>
            <w:tcW w:type="dxa" w:w="3100"/>
            <w:shd w:fill="F3FAF8"/>
          </w:tcPr>
          <w:p>
            <w:pPr>
              <w:keepNext w:val="0"/>
              <w:spacing w:before="0" w:after="0" w:line="269" w:lineRule="auto"/>
              <w:jc w:val="left"/>
            </w:pPr>
            <w:r>
              <w:rPr>
                <w:rFonts w:ascii="Calibri" w:hAnsi="Calibri" w:eastAsia="Noto Sans TC Thin"/>
                <w:b w:val="0"/>
                <w:i w:val="0"/>
                <w:color w:val="18304A"/>
                <w:sz w:val="18"/>
              </w:rPr>
              <w:t>Exit check / optional Sprint</w:t>
            </w:r>
          </w:p>
        </w:tc>
        <w:tc>
          <w:tcPr>
            <w:tcW w:type="dxa" w:w="5210"/>
            <w:shd w:fill="F3FAF8"/>
          </w:tcPr>
          <w:p>
            <w:pPr>
              <w:keepNext w:val="0"/>
              <w:spacing w:before="0" w:after="0" w:line="269" w:lineRule="auto"/>
              <w:jc w:val="left"/>
            </w:pPr>
            <w:r>
              <w:rPr>
                <w:rFonts w:ascii="Calibri" w:hAnsi="Calibri" w:eastAsia="Noto Sans TC Thin"/>
                <w:b w:val="0"/>
                <w:i w:val="0"/>
                <w:color w:val="18304A"/>
                <w:sz w:val="18"/>
              </w:rPr>
              <w:t>Use Sprint only after learning, never as the entry task.</w:t>
            </w:r>
          </w:p>
        </w:tc>
      </w:tr>
    </w:tbl>
    <w:p>
      <w:pPr>
        <w:spacing w:after="20"/>
      </w:pPr>
    </w:p>
    <w:p>
      <w:pPr>
        <w:keepNext w:val="0"/>
        <w:spacing w:before="100" w:after="160" w:line="288" w:lineRule="auto"/>
        <w:ind w:left="259" w:right="259"/>
        <w:shd w:fill="FFE4D8"/>
        <w:pBdr>
          <w:left w:val="single" w:sz="22" w:space="8" w:color="D94131"/>
        </w:pBdr>
      </w:pPr>
      <w:r>
        <w:rPr>
          <w:rFonts w:ascii="Calibri" w:hAnsi="Calibri" w:eastAsia="Noto Sans TC Thin"/>
          <w:b/>
          <w:i w:val="0"/>
          <w:color w:val="D94131"/>
          <w:sz w:val="21"/>
        </w:rPr>
        <w:t xml:space="preserve">PAIRING  </w:t>
      </w:r>
      <w:r>
        <w:rPr>
          <w:rFonts w:ascii="Calibri" w:hAnsi="Calibri" w:eastAsia="Noto Sans TC Thin"/>
          <w:b w:val="0"/>
          <w:i w:val="0"/>
          <w:color w:val="18304A"/>
          <w:sz w:val="21"/>
        </w:rPr>
        <w:t>Recommended roles: Scale Scout estimates the object; Unit Engineer checks the exponent and symbol. Swap roles after Mission 2.</w:t>
      </w:r>
    </w:p>
    <w:p>
      <w:pPr>
        <w:keepNext w:val="0"/>
        <w:spacing w:before="100" w:after="160" w:line="288" w:lineRule="auto"/>
        <w:ind w:left="259" w:right="259"/>
        <w:shd w:fill="FFF2C9"/>
        <w:pBdr>
          <w:left w:val="single" w:sz="22" w:space="8" w:color="9A6A00"/>
        </w:pBdr>
      </w:pPr>
      <w:r>
        <w:rPr>
          <w:rFonts w:ascii="Calibri" w:hAnsi="Calibri" w:eastAsia="Noto Sans TC Thin"/>
          <w:b/>
          <w:i w:val="0"/>
          <w:color w:val="9A6A00"/>
          <w:sz w:val="21"/>
        </w:rPr>
        <w:t xml:space="preserve">ACCESS STATUS  </w:t>
      </w:r>
      <w:r>
        <w:rPr>
          <w:rFonts w:ascii="Calibri" w:hAnsi="Calibri" w:eastAsia="Noto Sans TC Thin"/>
          <w:b w:val="0"/>
          <w:i w:val="0"/>
          <w:color w:val="18304A"/>
          <w:sz w:val="21"/>
        </w:rPr>
        <w:t>This release is owner-only. Before students or colleagues can open it on their own devices, the site owner must explicitly switch it to public link access.</w:t>
      </w:r>
    </w:p>
    <w:p>
      <w:r>
        <w:br w:type="page"/>
      </w:r>
    </w:p>
    <w:p>
      <w:pPr>
        <w:pStyle w:val="Heading1"/>
      </w:pPr>
      <w:r>
        <w:t>2. Before class</w:t>
      </w:r>
    </w:p>
    <w:p>
      <w:pPr>
        <w:pStyle w:val="Heading2"/>
      </w:pPr>
      <w:r>
        <w:t>Device and room setup</w:t>
      </w:r>
    </w:p>
    <w:p>
      <w:pPr>
        <w:pStyle w:val="ListBullet"/>
        <w:keepNext w:val="0"/>
        <w:spacing w:before="0" w:after="80" w:line="300" w:lineRule="auto"/>
        <w:ind w:left="540" w:hanging="271"/>
      </w:pPr>
      <w:r>
        <w:rPr>
          <w:rFonts w:ascii="Calibri" w:hAnsi="Calibri" w:eastAsia="Noto Sans TC Thin"/>
          <w:b w:val="0"/>
          <w:i w:val="0"/>
          <w:color w:val="18304A"/>
          <w:sz w:val="22"/>
        </w:rPr>
        <w:t>Open the game on student laptops or iPads. One device per pair encourages productive explanation.</w:t>
      </w:r>
    </w:p>
    <w:p>
      <w:pPr>
        <w:pStyle w:val="ListBullet"/>
        <w:keepNext w:val="0"/>
        <w:spacing w:before="0" w:after="80" w:line="300" w:lineRule="auto"/>
        <w:ind w:left="540" w:hanging="271"/>
      </w:pPr>
      <w:r>
        <w:rPr>
          <w:rFonts w:ascii="Calibri" w:hAnsi="Calibri" w:eastAsia="Noto Sans TC Thin"/>
          <w:b w:val="0"/>
          <w:i w:val="0"/>
          <w:color w:val="18304A"/>
          <w:sz w:val="22"/>
        </w:rPr>
        <w:t>For whole-class demonstration, use Teacher Mode &gt; Projection mode to enlarge classroom text.</w:t>
      </w:r>
    </w:p>
    <w:p>
      <w:pPr>
        <w:pStyle w:val="ListBullet"/>
        <w:keepNext w:val="0"/>
        <w:spacing w:before="0" w:after="80" w:line="300" w:lineRule="auto"/>
        <w:ind w:left="540" w:hanging="271"/>
      </w:pPr>
      <w:r>
        <w:rPr>
          <w:rFonts w:ascii="Calibri" w:hAnsi="Calibri" w:eastAsia="Noto Sans TC Thin"/>
          <w:b w:val="0"/>
          <w:i w:val="0"/>
          <w:color w:val="18304A"/>
          <w:sz w:val="22"/>
        </w:rPr>
        <w:t>Decide whether to keep the guided locks or enable Open all missions for station work or revision.</w:t>
      </w:r>
    </w:p>
    <w:p>
      <w:pPr>
        <w:pStyle w:val="ListBullet"/>
        <w:keepNext w:val="0"/>
        <w:spacing w:before="0" w:after="80" w:line="300" w:lineRule="auto"/>
        <w:ind w:left="540" w:hanging="271"/>
      </w:pPr>
      <w:r>
        <w:rPr>
          <w:rFonts w:ascii="Calibri" w:hAnsi="Calibri" w:eastAsia="Noto Sans TC Thin"/>
          <w:b w:val="0"/>
          <w:i w:val="0"/>
          <w:color w:val="18304A"/>
          <w:sz w:val="22"/>
        </w:rPr>
        <w:t>Set the optional Sprint to 45, 60 or 90 seconds. The introductory missions are untimed.</w:t>
      </w:r>
    </w:p>
    <w:p>
      <w:pPr>
        <w:pStyle w:val="ListBullet"/>
        <w:keepNext w:val="0"/>
        <w:spacing w:before="0" w:after="80" w:line="300" w:lineRule="auto"/>
        <w:ind w:left="540" w:hanging="271"/>
      </w:pPr>
      <w:r>
        <w:rPr>
          <w:rFonts w:ascii="Calibri" w:hAnsi="Calibri" w:eastAsia="Noto Sans TC Thin"/>
          <w:b w:val="0"/>
          <w:i w:val="0"/>
          <w:color w:val="18304A"/>
          <w:sz w:val="22"/>
        </w:rPr>
        <w:t>Progress is stored only on that browser. Reset student progress before a new class if devices are shared.</w:t>
      </w:r>
    </w:p>
    <w:p>
      <w:pPr>
        <w:pStyle w:val="Heading2"/>
      </w:pPr>
      <w:r>
        <w:t>Read this launch script to students</w:t>
      </w:r>
    </w:p>
    <w:p>
      <w:pPr>
        <w:keepNext w:val="0"/>
        <w:spacing w:before="100" w:after="160" w:line="288" w:lineRule="auto"/>
        <w:ind w:left="259" w:right="259"/>
        <w:shd w:fill="DDF3F0"/>
        <w:pBdr>
          <w:left w:val="single" w:sz="22" w:space="8" w:color="087F78"/>
        </w:pBdr>
      </w:pPr>
      <w:r>
        <w:rPr>
          <w:rFonts w:ascii="Calibri" w:hAnsi="Calibri" w:eastAsia="Noto Sans TC Thin"/>
          <w:b/>
          <w:i w:val="0"/>
          <w:color w:val="087F78"/>
          <w:sz w:val="21"/>
        </w:rPr>
        <w:t xml:space="preserve">ENGLISH  </w:t>
      </w:r>
      <w:r>
        <w:rPr>
          <w:rFonts w:ascii="Calibri" w:hAnsi="Calibri" w:eastAsia="Noto Sans TC Thin"/>
          <w:b w:val="0"/>
          <w:i w:val="0"/>
          <w:color w:val="18304A"/>
          <w:sz w:val="21"/>
        </w:rPr>
        <w:t>Work with your partner. First estimate; do not search the answer. Read the named dimension carefully. Explain your reason before either person taps. Your team has three Scanner hints. The timed Sprint is optional.</w:t>
      </w:r>
    </w:p>
    <w:p>
      <w:pPr>
        <w:keepNext w:val="0"/>
        <w:spacing w:before="100" w:after="160" w:line="288" w:lineRule="auto"/>
        <w:ind w:left="259" w:right="259"/>
        <w:shd w:fill="FFE4D8"/>
        <w:pBdr>
          <w:left w:val="single" w:sz="22" w:space="8" w:color="D94131"/>
        </w:pBdr>
      </w:pPr>
      <w:r>
        <w:rPr>
          <w:rFonts w:ascii="Calibri" w:hAnsi="Calibri" w:eastAsia="Noto Sans TC Thin"/>
          <w:b/>
          <w:i w:val="0"/>
          <w:color w:val="D94131"/>
          <w:sz w:val="21"/>
        </w:rPr>
        <w:t xml:space="preserve">中文  </w:t>
      </w:r>
      <w:r>
        <w:rPr>
          <w:rFonts w:ascii="Calibri" w:hAnsi="Calibri" w:eastAsia="Noto Sans TC Thin"/>
          <w:b w:val="0"/>
          <w:i w:val="0"/>
          <w:color w:val="18304A"/>
          <w:sz w:val="21"/>
        </w:rPr>
        <w:t>與同伴合作。先估算，不要搜尋答案。留意題目指定的量度方向；每次點選前先解釋理由。每組有三次「掃描提示」。限時衝刺屬自選活動。</w:t>
      </w:r>
    </w:p>
    <w:p>
      <w:pPr>
        <w:pStyle w:val="Heading2"/>
      </w:pPr>
      <w:r>
        <w:t>What students should not do</w:t>
      </w:r>
    </w:p>
    <w:p>
      <w:pPr>
        <w:pStyle w:val="ListBullet"/>
        <w:keepNext w:val="0"/>
        <w:spacing w:before="0" w:after="80" w:line="300" w:lineRule="auto"/>
        <w:ind w:left="540" w:hanging="271"/>
      </w:pPr>
      <w:r>
        <w:rPr>
          <w:rFonts w:ascii="Calibri" w:hAnsi="Calibri" w:eastAsia="Noto Sans TC Thin"/>
          <w:b w:val="0"/>
          <w:i w:val="0"/>
          <w:color w:val="18304A"/>
          <w:sz w:val="22"/>
        </w:rPr>
        <w:t>Do not judge from the on-screen picture size; the illustrations are not drawn to the same scale.</w:t>
      </w:r>
    </w:p>
    <w:p>
      <w:pPr>
        <w:pStyle w:val="ListBullet"/>
        <w:keepNext w:val="0"/>
        <w:spacing w:before="0" w:after="80" w:line="300" w:lineRule="auto"/>
        <w:ind w:left="540" w:hanging="271"/>
      </w:pPr>
      <w:r>
        <w:rPr>
          <w:rFonts w:ascii="Calibri" w:hAnsi="Calibri" w:eastAsia="Noto Sans TC Thin"/>
          <w:b w:val="0"/>
          <w:i w:val="0"/>
          <w:color w:val="18304A"/>
          <w:sz w:val="22"/>
        </w:rPr>
        <w:t>Do not treat every displayed value as an exact universal measurement. Familiar objects vary; the game uses representative values.</w:t>
      </w:r>
    </w:p>
    <w:p>
      <w:pPr>
        <w:pStyle w:val="ListBullet"/>
        <w:keepNext w:val="0"/>
        <w:spacing w:before="0" w:after="80" w:line="300" w:lineRule="auto"/>
        <w:ind w:left="540" w:hanging="271"/>
      </w:pPr>
      <w:r>
        <w:rPr>
          <w:rFonts w:ascii="Calibri" w:hAnsi="Calibri" w:eastAsia="Noto Sans TC Thin"/>
          <w:b w:val="0"/>
          <w:i w:val="0"/>
          <w:color w:val="18304A"/>
          <w:sz w:val="22"/>
        </w:rPr>
        <w:t>Do not start with Sprint. Speed before understanding disadvantages thoughtful students and hides misconceptions.</w:t>
      </w:r>
    </w:p>
    <w:p>
      <w:r>
        <w:br w:type="page"/>
      </w:r>
    </w:p>
    <w:p>
      <w:pPr>
        <w:pStyle w:val="Heading1"/>
      </w:pPr>
      <w:r>
        <w:t>3. Mission-by-mission teaching notes</w:t>
      </w:r>
    </w:p>
    <w:p>
      <w:pPr>
        <w:pStyle w:val="Heading2"/>
      </w:pPr>
      <w:r>
        <w:t>Mission 1 - Compare</w:t>
      </w:r>
    </w:p>
    <w:p>
      <w:pPr>
        <w:keepNext w:val="0"/>
        <w:spacing w:before="0" w:after="120" w:line="300" w:lineRule="auto"/>
        <w:jc w:val="left"/>
      </w:pPr>
      <w:r>
        <w:rPr>
          <w:rFonts w:ascii="Calibri" w:hAnsi="Calibri" w:eastAsia="Noto Sans TC Thin"/>
          <w:b/>
          <w:i w:val="0"/>
          <w:color w:val="294A67"/>
          <w:sz w:val="21"/>
        </w:rPr>
        <w:t>Purpose: activate intuitive scale knowledge without symbolic load.</w:t>
      </w:r>
    </w:p>
    <w:p>
      <w:pPr>
        <w:pStyle w:val="ListBullet"/>
        <w:keepNext w:val="0"/>
        <w:spacing w:before="0" w:after="80" w:line="300" w:lineRule="auto"/>
        <w:ind w:left="540" w:hanging="271"/>
      </w:pPr>
      <w:r>
        <w:rPr>
          <w:rFonts w:ascii="Calibri" w:hAnsi="Calibri" w:eastAsia="Noto Sans TC Thin"/>
          <w:b w:val="0"/>
          <w:i w:val="0"/>
          <w:color w:val="18304A"/>
          <w:sz w:val="22"/>
        </w:rPr>
        <w:t>Prompt: 'Which measurement is larger, and what real object are you picturing?'</w:t>
      </w:r>
    </w:p>
    <w:p>
      <w:pPr>
        <w:pStyle w:val="ListBullet"/>
        <w:keepNext w:val="0"/>
        <w:spacing w:before="0" w:after="80" w:line="300" w:lineRule="auto"/>
        <w:ind w:left="540" w:hanging="271"/>
      </w:pPr>
      <w:r>
        <w:rPr>
          <w:rFonts w:ascii="Calibri" w:hAnsi="Calibri" w:eastAsia="Noto Sans TC Thin"/>
          <w:b w:val="0"/>
          <w:i w:val="0"/>
          <w:color w:val="18304A"/>
          <w:sz w:val="22"/>
        </w:rPr>
        <w:t>Watch for students comparing picture size instead of the named dimension: thickness, diameter, height, length or span.</w:t>
      </w:r>
    </w:p>
    <w:p>
      <w:pPr>
        <w:pStyle w:val="ListBullet"/>
        <w:keepNext w:val="0"/>
        <w:spacing w:before="0" w:after="80" w:line="300" w:lineRule="auto"/>
        <w:ind w:left="540" w:hanging="271"/>
      </w:pPr>
      <w:r>
        <w:rPr>
          <w:rFonts w:ascii="Calibri" w:hAnsi="Calibri" w:eastAsia="Noto Sans TC Thin"/>
          <w:b w:val="0"/>
          <w:i w:val="0"/>
          <w:color w:val="18304A"/>
          <w:sz w:val="22"/>
        </w:rPr>
        <w:t>Do not reveal numbers after a wrong first attempt. Ask students to imagine the objects side by side.</w:t>
      </w:r>
    </w:p>
    <w:p>
      <w:pPr>
        <w:pStyle w:val="Heading2"/>
      </w:pPr>
      <w:r>
        <w:t>Mission 2 - Size Line-up</w:t>
      </w:r>
    </w:p>
    <w:p>
      <w:pPr>
        <w:keepNext w:val="0"/>
        <w:spacing w:before="0" w:after="120" w:line="300" w:lineRule="auto"/>
        <w:jc w:val="left"/>
      </w:pPr>
      <w:r>
        <w:rPr>
          <w:rFonts w:ascii="Calibri" w:hAnsi="Calibri" w:eastAsia="Noto Sans TC Thin"/>
          <w:b/>
          <w:i w:val="0"/>
          <w:color w:val="294A67"/>
          <w:sz w:val="21"/>
        </w:rPr>
        <w:t>Purpose: build a continuous mental line from microscopic to metre scale.</w:t>
      </w:r>
    </w:p>
    <w:p>
      <w:pPr>
        <w:pStyle w:val="ListBullet"/>
        <w:keepNext w:val="0"/>
        <w:spacing w:before="0" w:after="80" w:line="300" w:lineRule="auto"/>
        <w:ind w:left="540" w:hanging="271"/>
      </w:pPr>
      <w:r>
        <w:rPr>
          <w:rFonts w:ascii="Calibri" w:hAnsi="Calibri" w:eastAsia="Noto Sans TC Thin"/>
          <w:b w:val="0"/>
          <w:i w:val="0"/>
          <w:color w:val="18304A"/>
          <w:sz w:val="22"/>
        </w:rPr>
        <w:t>Ask students to place the two extremes first, then use them as anchors.</w:t>
      </w:r>
    </w:p>
    <w:p>
      <w:pPr>
        <w:pStyle w:val="ListBullet"/>
        <w:keepNext w:val="0"/>
        <w:spacing w:before="0" w:after="80" w:line="300" w:lineRule="auto"/>
        <w:ind w:left="540" w:hanging="271"/>
      </w:pPr>
      <w:r>
        <w:rPr>
          <w:rFonts w:ascii="Calibri" w:hAnsi="Calibri" w:eastAsia="Noto Sans TC Thin"/>
          <w:b w:val="0"/>
          <w:i w:val="0"/>
          <w:color w:val="18304A"/>
          <w:sz w:val="22"/>
        </w:rPr>
        <w:t>Students may drag, tap two cards to swap, or use arrow buttons; the method should not affect assessment.</w:t>
      </w:r>
    </w:p>
    <w:p>
      <w:pPr>
        <w:pStyle w:val="ListBullet"/>
        <w:keepNext w:val="0"/>
        <w:spacing w:before="0" w:after="80" w:line="300" w:lineRule="auto"/>
        <w:ind w:left="540" w:hanging="271"/>
      </w:pPr>
      <w:r>
        <w:rPr>
          <w:rFonts w:ascii="Calibri" w:hAnsi="Calibri" w:eastAsia="Noto Sans TC Thin"/>
          <w:b w:val="0"/>
          <w:i w:val="0"/>
          <w:color w:val="18304A"/>
          <w:sz w:val="22"/>
        </w:rPr>
        <w:t>After success, read the revealed values aloud from micrometres to metres.</w:t>
      </w:r>
    </w:p>
    <w:p>
      <w:pPr>
        <w:pStyle w:val="Heading2"/>
      </w:pPr>
      <w:r>
        <w:t>Mission 3 - Zoom Map</w:t>
      </w:r>
    </w:p>
    <w:p>
      <w:pPr>
        <w:keepNext w:val="0"/>
        <w:spacing w:before="0" w:after="120" w:line="300" w:lineRule="auto"/>
        <w:jc w:val="left"/>
      </w:pPr>
      <w:r>
        <w:rPr>
          <w:rFonts w:ascii="Calibri" w:hAnsi="Calibri" w:eastAsia="Noto Sans TC Thin"/>
          <w:b/>
          <w:i w:val="0"/>
          <w:color w:val="294A67"/>
          <w:sz w:val="21"/>
        </w:rPr>
        <w:t>Purpose: connect objects to orders of magnitude before naming prefixes.</w:t>
      </w:r>
    </w:p>
    <w:p>
      <w:pPr>
        <w:pStyle w:val="ListBullet"/>
        <w:keepNext w:val="0"/>
        <w:spacing w:before="0" w:after="80" w:line="300" w:lineRule="auto"/>
        <w:ind w:left="540" w:hanging="271"/>
      </w:pPr>
      <w:r>
        <w:rPr>
          <w:rFonts w:ascii="Calibri" w:hAnsi="Calibri" w:eastAsia="Noto Sans TC Thin"/>
          <w:b w:val="0"/>
          <w:i w:val="0"/>
          <w:color w:val="18304A"/>
          <w:sz w:val="22"/>
        </w:rPr>
        <w:t>Make 10^0 m physically central in your explanation: it means one metre, with no prefix.</w:t>
      </w:r>
    </w:p>
    <w:p>
      <w:pPr>
        <w:pStyle w:val="ListBullet"/>
        <w:keepNext w:val="0"/>
        <w:spacing w:before="0" w:after="80" w:line="300" w:lineRule="auto"/>
        <w:ind w:left="540" w:hanging="271"/>
      </w:pPr>
      <w:r>
        <w:rPr>
          <w:rFonts w:ascii="Calibri" w:hAnsi="Calibri" w:eastAsia="Noto Sans TC Thin"/>
          <w:b w:val="0"/>
          <w:i w:val="0"/>
          <w:color w:val="18304A"/>
          <w:sz w:val="22"/>
        </w:rPr>
        <w:t>When an answer is wrong, ask only: 'too large or too small?' The interface gives the same directional feedback.</w:t>
      </w:r>
    </w:p>
    <w:p>
      <w:pPr>
        <w:pStyle w:val="ListBullet"/>
        <w:keepNext w:val="0"/>
        <w:spacing w:before="0" w:after="80" w:line="300" w:lineRule="auto"/>
        <w:ind w:left="540" w:hanging="271"/>
      </w:pPr>
      <w:r>
        <w:rPr>
          <w:rFonts w:ascii="Calibri" w:hAnsi="Calibri" w:eastAsia="Noto Sans TC Thin"/>
          <w:b w:val="0"/>
          <w:i w:val="0"/>
          <w:color w:val="18304A"/>
          <w:sz w:val="22"/>
        </w:rPr>
        <w:t>The optional Scale Museum extends to atto/femto/pico and tera/peta. Treat it as enrichment, not required content.</w:t>
      </w:r>
    </w:p>
    <w:p>
      <w:pPr>
        <w:keepNext w:val="0"/>
        <w:spacing w:before="100" w:after="160" w:line="288" w:lineRule="auto"/>
        <w:ind w:left="259" w:right="259"/>
        <w:shd w:fill="FFF2C9"/>
        <w:pBdr>
          <w:left w:val="single" w:sz="22" w:space="8" w:color="9A6A00"/>
        </w:pBdr>
      </w:pPr>
      <w:r>
        <w:rPr>
          <w:rFonts w:ascii="Calibri" w:hAnsi="Calibri" w:eastAsia="Noto Sans TC Thin"/>
          <w:b/>
          <w:i w:val="0"/>
          <w:color w:val="9A6A00"/>
          <w:sz w:val="21"/>
        </w:rPr>
        <w:t xml:space="preserve">CHECKPOINT QUESTION  </w:t>
      </w:r>
      <w:r>
        <w:rPr>
          <w:rFonts w:ascii="Calibri" w:hAnsi="Calibri" w:eastAsia="Noto Sans TC Thin"/>
          <w:b w:val="0"/>
          <w:i w:val="0"/>
          <w:color w:val="18304A"/>
          <w:sz w:val="21"/>
        </w:rPr>
        <w:t>Why is the classroom door near 10^0 m, while a rice grain is near 10^-3 m? Ask for a factor comparison, not only the prefix names.</w:t>
      </w:r>
    </w:p>
    <w:p>
      <w:r>
        <w:br w:type="page"/>
      </w:r>
    </w:p>
    <w:p>
      <w:pPr>
        <w:pStyle w:val="Heading1"/>
      </w:pPr>
      <w:r>
        <w:t>3. Mission-by-mission teaching notes (continued)</w:t>
      </w:r>
    </w:p>
    <w:p>
      <w:pPr>
        <w:pStyle w:val="Heading2"/>
      </w:pPr>
      <w:r>
        <w:t>Mission 4 - Prefix Power-ups</w:t>
      </w:r>
    </w:p>
    <w:p>
      <w:pPr>
        <w:keepNext w:val="0"/>
        <w:spacing w:before="0" w:after="120" w:line="300" w:lineRule="auto"/>
        <w:jc w:val="left"/>
      </w:pPr>
      <w:r>
        <w:rPr>
          <w:rFonts w:ascii="Calibri" w:hAnsi="Calibri" w:eastAsia="Noto Sans TC Thin"/>
          <w:b/>
          <w:i w:val="0"/>
          <w:color w:val="294A67"/>
          <w:sz w:val="21"/>
        </w:rPr>
        <w:t>Purpose: attach language and symbols to an already meaningful scale.</w:t>
      </w:r>
    </w:p>
    <w:p>
      <w:pPr>
        <w:pStyle w:val="ListBullet"/>
        <w:keepNext w:val="0"/>
        <w:spacing w:before="0" w:after="80" w:line="300" w:lineRule="auto"/>
        <w:ind w:left="540" w:hanging="271"/>
      </w:pPr>
      <w:r>
        <w:rPr>
          <w:rFonts w:ascii="Calibri" w:hAnsi="Calibri" w:eastAsia="Noto Sans TC Thin"/>
          <w:b w:val="0"/>
          <w:i w:val="0"/>
          <w:color w:val="18304A"/>
          <w:sz w:val="22"/>
        </w:rPr>
        <w:t>Core ladder: n (10^-9), micro symbol µ (10^-6), m (10^-3), no prefix (10^0), k (10^3), M (10^6), G (10^9).</w:t>
      </w:r>
    </w:p>
    <w:p>
      <w:pPr>
        <w:pStyle w:val="ListBullet"/>
        <w:keepNext w:val="0"/>
        <w:spacing w:before="0" w:after="80" w:line="300" w:lineRule="auto"/>
        <w:ind w:left="540" w:hanging="271"/>
      </w:pPr>
      <w:r>
        <w:rPr>
          <w:rFonts w:ascii="Calibri" w:hAnsi="Calibri" w:eastAsia="Noto Sans TC Thin"/>
          <w:b w:val="0"/>
          <w:i w:val="0"/>
          <w:color w:val="18304A"/>
          <w:sz w:val="22"/>
        </w:rPr>
        <w:t>Say explicitly: lowercase m may be the milli prefix in mm, but m alone is the metre unit.</w:t>
      </w:r>
    </w:p>
    <w:p>
      <w:pPr>
        <w:pStyle w:val="ListBullet"/>
        <w:keepNext w:val="0"/>
        <w:spacing w:before="0" w:after="80" w:line="300" w:lineRule="auto"/>
        <w:ind w:left="540" w:hanging="271"/>
      </w:pPr>
      <w:r>
        <w:rPr>
          <w:rFonts w:ascii="Calibri" w:hAnsi="Calibri" w:eastAsia="Noto Sans TC Thin"/>
          <w:b w:val="0"/>
          <w:i w:val="0"/>
          <w:color w:val="18304A"/>
          <w:sz w:val="22"/>
        </w:rPr>
        <w:t>The statement 'each prefix differs by 10^3' applies to this selected core ladder, not to every SI prefix. Centi, deci, deca and hecto are outside this ladder.</w:t>
      </w:r>
    </w:p>
    <w:p>
      <w:pPr>
        <w:pStyle w:val="Heading2"/>
      </w:pPr>
      <w:r>
        <w:t>Mission 5 - Triple Match</w:t>
      </w:r>
    </w:p>
    <w:p>
      <w:pPr>
        <w:keepNext w:val="0"/>
        <w:spacing w:before="0" w:after="120" w:line="300" w:lineRule="auto"/>
        <w:jc w:val="left"/>
      </w:pPr>
      <w:r>
        <w:rPr>
          <w:rFonts w:ascii="Calibri" w:hAnsi="Calibri" w:eastAsia="Noto Sans TC Thin"/>
          <w:b/>
          <w:i w:val="0"/>
          <w:color w:val="294A67"/>
          <w:sz w:val="21"/>
        </w:rPr>
        <w:t>Purpose: integrate object scale, scientific notation and prefix form in manageable rounds.</w:t>
      </w:r>
    </w:p>
    <w:p>
      <w:pPr>
        <w:pStyle w:val="ListBullet"/>
        <w:keepNext w:val="0"/>
        <w:spacing w:before="0" w:after="80" w:line="300" w:lineRule="auto"/>
        <w:ind w:left="540" w:hanging="271"/>
      </w:pPr>
      <w:r>
        <w:rPr>
          <w:rFonts w:ascii="Calibri" w:hAnsi="Calibri" w:eastAsia="Noto Sans TC Thin"/>
          <w:b w:val="0"/>
          <w:i w:val="0"/>
          <w:color w:val="18304A"/>
          <w:sz w:val="22"/>
        </w:rPr>
        <w:t>Students choose only one scientific-notation card and one prefix card for the displayed object.</w:t>
      </w:r>
    </w:p>
    <w:p>
      <w:pPr>
        <w:pStyle w:val="ListBullet"/>
        <w:keepNext w:val="0"/>
        <w:spacing w:before="0" w:after="80" w:line="300" w:lineRule="auto"/>
        <w:ind w:left="540" w:hanging="271"/>
      </w:pPr>
      <w:r>
        <w:rPr>
          <w:rFonts w:ascii="Calibri" w:hAnsi="Calibri" w:eastAsia="Noto Sans TC Thin"/>
          <w:b w:val="0"/>
          <w:i w:val="0"/>
          <w:color w:val="18304A"/>
          <w:sz w:val="22"/>
        </w:rPr>
        <w:t>If one card is correct, the game says so without identifying it. Ask students to compare the exponent to the prefix.</w:t>
      </w:r>
    </w:p>
    <w:p>
      <w:pPr>
        <w:pStyle w:val="ListBullet"/>
        <w:keepNext w:val="0"/>
        <w:spacing w:before="0" w:after="80" w:line="300" w:lineRule="auto"/>
        <w:ind w:left="540" w:hanging="271"/>
      </w:pPr>
      <w:r>
        <w:rPr>
          <w:rFonts w:ascii="Calibri" w:hAnsi="Calibri" w:eastAsia="Noto Sans TC Thin"/>
          <w:b w:val="0"/>
          <w:i w:val="0"/>
          <w:color w:val="18304A"/>
          <w:sz w:val="22"/>
        </w:rPr>
        <w:t>After a correct match, require students to read the full equality from left to right.</w:t>
      </w:r>
    </w:p>
    <w:p>
      <w:pPr>
        <w:pStyle w:val="Heading2"/>
      </w:pPr>
      <w:r>
        <w:t>Optional Scale Sprint</w:t>
      </w:r>
    </w:p>
    <w:p>
      <w:pPr>
        <w:keepNext w:val="0"/>
        <w:spacing w:before="0" w:after="120" w:line="300" w:lineRule="auto"/>
        <w:jc w:val="left"/>
      </w:pPr>
      <w:r>
        <w:rPr>
          <w:rFonts w:ascii="Calibri" w:hAnsi="Calibri" w:eastAsia="Noto Sans TC Thin"/>
          <w:b/>
          <w:i w:val="0"/>
          <w:color w:val="294A67"/>
          <w:sz w:val="21"/>
        </w:rPr>
        <w:t>Purpose: fluency check after conceptual work. It is not a ranking tool.</w:t>
      </w:r>
    </w:p>
    <w:p>
      <w:pPr>
        <w:pStyle w:val="ListBullet"/>
        <w:keepNext w:val="0"/>
        <w:spacing w:before="0" w:after="80" w:line="300" w:lineRule="auto"/>
        <w:ind w:left="540" w:hanging="271"/>
      </w:pPr>
      <w:r>
        <w:rPr>
          <w:rFonts w:ascii="Calibri" w:hAnsi="Calibri" w:eastAsia="Noto Sans TC Thin"/>
          <w:b w:val="0"/>
          <w:i w:val="0"/>
          <w:color w:val="18304A"/>
          <w:sz w:val="22"/>
        </w:rPr>
        <w:t>Use personal bests rather than a class leaderboard.</w:t>
      </w:r>
    </w:p>
    <w:p>
      <w:pPr>
        <w:pStyle w:val="ListBullet"/>
        <w:keepNext w:val="0"/>
        <w:spacing w:before="0" w:after="80" w:line="300" w:lineRule="auto"/>
        <w:ind w:left="540" w:hanging="271"/>
      </w:pPr>
      <w:r>
        <w:rPr>
          <w:rFonts w:ascii="Calibri" w:hAnsi="Calibri" w:eastAsia="Noto Sans TC Thin"/>
          <w:b w:val="0"/>
          <w:i w:val="0"/>
          <w:color w:val="18304A"/>
          <w:sz w:val="22"/>
        </w:rPr>
        <w:t>Students who need more processing time may skip Sprint without losing access to the core learning.</w:t>
      </w:r>
    </w:p>
    <w:p>
      <w:pPr>
        <w:pStyle w:val="ListBullet"/>
        <w:keepNext w:val="0"/>
        <w:spacing w:before="0" w:after="80" w:line="300" w:lineRule="auto"/>
        <w:ind w:left="540" w:hanging="271"/>
      </w:pPr>
      <w:r>
        <w:rPr>
          <w:rFonts w:ascii="Calibri" w:hAnsi="Calibri" w:eastAsia="Noto Sans TC Thin"/>
          <w:b w:val="0"/>
          <w:i w:val="0"/>
          <w:color w:val="18304A"/>
          <w:sz w:val="22"/>
        </w:rPr>
        <w:t>A calm, accurate explanation is stronger evidence than a high speed score.</w:t>
      </w:r>
    </w:p>
    <w:p>
      <w:pPr>
        <w:keepNext w:val="0"/>
        <w:spacing w:before="100" w:after="160" w:line="288" w:lineRule="auto"/>
        <w:ind w:left="259" w:right="259"/>
        <w:shd w:fill="DDF3F0"/>
        <w:pBdr>
          <w:left w:val="single" w:sz="22" w:space="8" w:color="087F78"/>
        </w:pBdr>
      </w:pPr>
      <w:r>
        <w:rPr>
          <w:rFonts w:ascii="Calibri" w:hAnsi="Calibri" w:eastAsia="Noto Sans TC Thin"/>
          <w:b/>
          <w:i w:val="0"/>
          <w:color w:val="087F78"/>
          <w:sz w:val="21"/>
        </w:rPr>
        <w:t xml:space="preserve">FORMATIVE ASSESSMENT  </w:t>
      </w:r>
      <w:r>
        <w:rPr>
          <w:rFonts w:ascii="Calibri" w:hAnsi="Calibri" w:eastAsia="Noto Sans TC Thin"/>
          <w:b w:val="0"/>
          <w:i w:val="0"/>
          <w:color w:val="18304A"/>
          <w:sz w:val="21"/>
        </w:rPr>
        <w:t>Before students leave, ask them to write one equality such as 24.5 mm = 0.0245 m = 2.45 x 10^-2 m and name the relevant prefix.</w:t>
      </w:r>
    </w:p>
    <w:p>
      <w:r>
        <w:br w:type="page"/>
      </w:r>
    </w:p>
    <w:p>
      <w:pPr>
        <w:pStyle w:val="Heading1"/>
      </w:pPr>
      <w:r>
        <w:t>4. Teacher answer key</w:t>
      </w:r>
    </w:p>
    <w:p>
      <w:pPr>
        <w:pStyle w:val="Heading2"/>
      </w:pPr>
      <w:r>
        <w:t>Compare and line-up</w:t>
      </w:r>
    </w:p>
    <w:tbl>
      <w:tblPr>
        <w:tblStyle w:val="TableGrid"/>
        <w:tblW w:type="dxa" w:w="9360"/>
        <w:jc w:val="left"/>
        <w:tblLayout w:type="fixed"/>
        <w:tblLook w:firstColumn="1" w:firstRow="1" w:lastColumn="0" w:lastRow="0" w:noHBand="0" w:noVBand="1" w:val="04A0"/>
        <w:tblInd w:w="120" w:type="dxa"/>
      </w:tblPr>
      <w:tblGrid>
        <w:gridCol w:w="1100"/>
        <w:gridCol w:w="3190"/>
        <w:gridCol w:w="5070"/>
      </w:tblGrid>
      <w:tr>
        <w:trPr>
          <w:tblHeader w:val="true"/>
        </w:trPr>
        <w:tc>
          <w:tcPr>
            <w:tcW w:type="dxa" w:w="1100"/>
            <w:tcMar>
              <w:top w:w="100" w:type="dxa"/>
              <w:start w:w="120" w:type="dxa"/>
              <w:bottom w:w="100" w:type="dxa"/>
              <w:end w:w="120" w:type="dxa"/>
            </w:tcMar>
            <w:vAlign w:val="center"/>
            <w:shd w:fill="087F78"/>
          </w:tcPr>
          <w:p>
            <w:pPr>
              <w:keepNext w:val="0"/>
              <w:spacing w:before="0" w:after="0" w:line="264" w:lineRule="auto"/>
              <w:jc w:val="center"/>
            </w:pPr>
            <w:r>
              <w:rPr>
                <w:rFonts w:ascii="Calibri" w:hAnsi="Calibri" w:eastAsia="Noto Sans TC Thin"/>
                <w:b/>
                <w:i w:val="0"/>
                <w:color w:val="FFFFFF"/>
                <w:sz w:val="19"/>
              </w:rPr>
              <w:t>Task</w:t>
            </w:r>
          </w:p>
        </w:tc>
        <w:tc>
          <w:tcPr>
            <w:tcW w:type="dxa" w:w="3190"/>
            <w:tcMar>
              <w:top w:w="100" w:type="dxa"/>
              <w:start w:w="120" w:type="dxa"/>
              <w:bottom w:w="100" w:type="dxa"/>
              <w:end w:w="120" w:type="dxa"/>
            </w:tcMar>
            <w:vAlign w:val="center"/>
            <w:shd w:fill="087F78"/>
          </w:tcPr>
          <w:p>
            <w:pPr>
              <w:keepNext w:val="0"/>
              <w:spacing w:before="0" w:after="0" w:line="264" w:lineRule="auto"/>
              <w:jc w:val="center"/>
            </w:pPr>
            <w:r>
              <w:rPr>
                <w:rFonts w:ascii="Calibri" w:hAnsi="Calibri" w:eastAsia="Noto Sans TC Thin"/>
                <w:b/>
                <w:i w:val="0"/>
                <w:color w:val="FFFFFF"/>
                <w:sz w:val="19"/>
              </w:rPr>
              <w:t>Expected answer</w:t>
            </w:r>
          </w:p>
        </w:tc>
        <w:tc>
          <w:tcPr>
            <w:tcW w:type="dxa" w:w="5070"/>
            <w:tcMar>
              <w:top w:w="100" w:type="dxa"/>
              <w:start w:w="120" w:type="dxa"/>
              <w:bottom w:w="100" w:type="dxa"/>
              <w:end w:w="120" w:type="dxa"/>
            </w:tcMar>
            <w:vAlign w:val="center"/>
            <w:shd w:fill="087F78"/>
          </w:tcPr>
          <w:p>
            <w:pPr>
              <w:keepNext w:val="0"/>
              <w:spacing w:before="0" w:after="0" w:line="264" w:lineRule="auto"/>
              <w:jc w:val="center"/>
            </w:pPr>
            <w:r>
              <w:rPr>
                <w:rFonts w:ascii="Calibri" w:hAnsi="Calibri" w:eastAsia="Noto Sans TC Thin"/>
                <w:b/>
                <w:i w:val="0"/>
                <w:color w:val="FFFFFF"/>
                <w:sz w:val="19"/>
              </w:rPr>
              <w:t>Representative values</w:t>
            </w:r>
          </w:p>
        </w:tc>
      </w:tr>
      <w:tr>
        <w:tc>
          <w:tcPr>
            <w:tcW w:type="dxa" w:w="1100"/>
          </w:tcPr>
          <w:p>
            <w:pPr>
              <w:keepNext w:val="0"/>
              <w:spacing w:before="0" w:after="0" w:line="269" w:lineRule="auto"/>
              <w:jc w:val="center"/>
            </w:pPr>
            <w:r>
              <w:rPr>
                <w:rFonts w:ascii="Calibri" w:hAnsi="Calibri" w:eastAsia="Noto Sans TC Thin"/>
                <w:b/>
                <w:i w:val="0"/>
                <w:color w:val="18304A"/>
                <w:sz w:val="18"/>
              </w:rPr>
              <w:t>Compare 1</w:t>
            </w:r>
          </w:p>
        </w:tc>
        <w:tc>
          <w:tcPr>
            <w:tcW w:type="dxa" w:w="3190"/>
          </w:tcPr>
          <w:p>
            <w:pPr>
              <w:keepNext w:val="0"/>
              <w:spacing w:before="0" w:after="0" w:line="269" w:lineRule="auto"/>
              <w:jc w:val="left"/>
            </w:pPr>
            <w:r>
              <w:rPr>
                <w:rFonts w:ascii="Calibri" w:hAnsi="Calibri" w:eastAsia="Noto Sans TC Thin"/>
                <w:b w:val="0"/>
                <w:i w:val="0"/>
                <w:color w:val="18304A"/>
                <w:sz w:val="18"/>
              </w:rPr>
              <w:t>HK$10 coin diameter is larger</w:t>
            </w:r>
          </w:p>
        </w:tc>
        <w:tc>
          <w:tcPr>
            <w:tcW w:type="dxa" w:w="5070"/>
          </w:tcPr>
          <w:p>
            <w:pPr>
              <w:keepNext w:val="0"/>
              <w:spacing w:before="0" w:after="0" w:line="269" w:lineRule="auto"/>
              <w:jc w:val="left"/>
            </w:pPr>
            <w:r>
              <w:rPr>
                <w:rFonts w:ascii="Calibri" w:hAnsi="Calibri" w:eastAsia="Noto Sans TC Thin"/>
                <w:b w:val="0"/>
                <w:i w:val="0"/>
                <w:color w:val="18304A"/>
                <w:sz w:val="18"/>
              </w:rPr>
              <w:t>24.5 mm vs card thickness 0.76 mm</w:t>
            </w:r>
          </w:p>
        </w:tc>
      </w:tr>
      <w:tr>
        <w:tc>
          <w:tcPr>
            <w:tcW w:type="dxa" w:w="1100"/>
            <w:shd w:fill="F3FAF8"/>
          </w:tcPr>
          <w:p>
            <w:pPr>
              <w:keepNext w:val="0"/>
              <w:spacing w:before="0" w:after="0" w:line="269" w:lineRule="auto"/>
              <w:jc w:val="center"/>
            </w:pPr>
            <w:r>
              <w:rPr>
                <w:rFonts w:ascii="Calibri" w:hAnsi="Calibri" w:eastAsia="Noto Sans TC Thin"/>
                <w:b/>
                <w:i w:val="0"/>
                <w:color w:val="18304A"/>
                <w:sz w:val="18"/>
              </w:rPr>
              <w:t>Compare 2</w:t>
            </w:r>
          </w:p>
        </w:tc>
        <w:tc>
          <w:tcPr>
            <w:tcW w:type="dxa" w:w="3190"/>
            <w:shd w:fill="F3FAF8"/>
          </w:tcPr>
          <w:p>
            <w:pPr>
              <w:keepNext w:val="0"/>
              <w:spacing w:before="0" w:after="0" w:line="269" w:lineRule="auto"/>
              <w:jc w:val="left"/>
            </w:pPr>
            <w:r>
              <w:rPr>
                <w:rFonts w:ascii="Calibri" w:hAnsi="Calibri" w:eastAsia="Noto Sans TC Thin"/>
                <w:b w:val="0"/>
                <w:i w:val="0"/>
                <w:color w:val="18304A"/>
                <w:sz w:val="18"/>
              </w:rPr>
              <w:t>Human-hair diameter is larger</w:t>
            </w:r>
          </w:p>
        </w:tc>
        <w:tc>
          <w:tcPr>
            <w:tcW w:type="dxa" w:w="5070"/>
            <w:shd w:fill="F3FAF8"/>
          </w:tcPr>
          <w:p>
            <w:pPr>
              <w:keepNext w:val="0"/>
              <w:spacing w:before="0" w:after="0" w:line="269" w:lineRule="auto"/>
              <w:jc w:val="left"/>
            </w:pPr>
            <w:r>
              <w:rPr>
                <w:rFonts w:ascii="Calibri" w:hAnsi="Calibri" w:eastAsia="Noto Sans TC Thin"/>
                <w:b w:val="0"/>
                <w:i w:val="0"/>
                <w:color w:val="18304A"/>
                <w:sz w:val="18"/>
              </w:rPr>
              <w:t>70 µm vs red blood cell 7.5 µm</w:t>
            </w:r>
          </w:p>
        </w:tc>
      </w:tr>
      <w:tr>
        <w:tc>
          <w:tcPr>
            <w:tcW w:type="dxa" w:w="1100"/>
          </w:tcPr>
          <w:p>
            <w:pPr>
              <w:keepNext w:val="0"/>
              <w:spacing w:before="0" w:after="0" w:line="269" w:lineRule="auto"/>
              <w:jc w:val="center"/>
            </w:pPr>
            <w:r>
              <w:rPr>
                <w:rFonts w:ascii="Calibri" w:hAnsi="Calibri" w:eastAsia="Noto Sans TC Thin"/>
                <w:b/>
                <w:i w:val="0"/>
                <w:color w:val="18304A"/>
                <w:sz w:val="18"/>
              </w:rPr>
              <w:t>Compare 3</w:t>
            </w:r>
          </w:p>
        </w:tc>
        <w:tc>
          <w:tcPr>
            <w:tcW w:type="dxa" w:w="3190"/>
          </w:tcPr>
          <w:p>
            <w:pPr>
              <w:keepNext w:val="0"/>
              <w:spacing w:before="0" w:after="0" w:line="269" w:lineRule="auto"/>
              <w:jc w:val="left"/>
            </w:pPr>
            <w:r>
              <w:rPr>
                <w:rFonts w:ascii="Calibri" w:hAnsi="Calibri" w:eastAsia="Noto Sans TC Thin"/>
                <w:b w:val="0"/>
                <w:i w:val="0"/>
                <w:color w:val="18304A"/>
                <w:sz w:val="18"/>
              </w:rPr>
              <w:t>Basketball-court length is larger</w:t>
            </w:r>
          </w:p>
        </w:tc>
        <w:tc>
          <w:tcPr>
            <w:tcW w:type="dxa" w:w="5070"/>
          </w:tcPr>
          <w:p>
            <w:pPr>
              <w:keepNext w:val="0"/>
              <w:spacing w:before="0" w:after="0" w:line="269" w:lineRule="auto"/>
              <w:jc w:val="left"/>
            </w:pPr>
            <w:r>
              <w:rPr>
                <w:rFonts w:ascii="Calibri" w:hAnsi="Calibri" w:eastAsia="Noto Sans TC Thin"/>
                <w:b w:val="0"/>
                <w:i w:val="0"/>
                <w:color w:val="18304A"/>
                <w:sz w:val="18"/>
              </w:rPr>
              <w:t>28 m vs classroom-door height 2 m</w:t>
            </w:r>
          </w:p>
        </w:tc>
      </w:tr>
      <w:tr>
        <w:tc>
          <w:tcPr>
            <w:tcW w:type="dxa" w:w="1100"/>
            <w:shd w:fill="F3FAF8"/>
          </w:tcPr>
          <w:p>
            <w:pPr>
              <w:keepNext w:val="0"/>
              <w:spacing w:before="0" w:after="0" w:line="269" w:lineRule="auto"/>
              <w:jc w:val="center"/>
            </w:pPr>
            <w:r>
              <w:rPr>
                <w:rFonts w:ascii="Calibri" w:hAnsi="Calibri" w:eastAsia="Noto Sans TC Thin"/>
                <w:b/>
                <w:i w:val="0"/>
                <w:color w:val="18304A"/>
                <w:sz w:val="18"/>
              </w:rPr>
              <w:t>Compare 4</w:t>
            </w:r>
          </w:p>
        </w:tc>
        <w:tc>
          <w:tcPr>
            <w:tcW w:type="dxa" w:w="3190"/>
            <w:shd w:fill="F3FAF8"/>
          </w:tcPr>
          <w:p>
            <w:pPr>
              <w:keepNext w:val="0"/>
              <w:spacing w:before="0" w:after="0" w:line="269" w:lineRule="auto"/>
              <w:jc w:val="left"/>
            </w:pPr>
            <w:r>
              <w:rPr>
                <w:rFonts w:ascii="Calibri" w:hAnsi="Calibri" w:eastAsia="Noto Sans TC Thin"/>
                <w:b w:val="0"/>
                <w:i w:val="0"/>
                <w:color w:val="18304A"/>
                <w:sz w:val="18"/>
              </w:rPr>
              <w:t>Hong Kong Island length is larger</w:t>
            </w:r>
          </w:p>
        </w:tc>
        <w:tc>
          <w:tcPr>
            <w:tcW w:type="dxa" w:w="5070"/>
            <w:shd w:fill="F3FAF8"/>
          </w:tcPr>
          <w:p>
            <w:pPr>
              <w:keepNext w:val="0"/>
              <w:spacing w:before="0" w:after="0" w:line="269" w:lineRule="auto"/>
              <w:jc w:val="left"/>
            </w:pPr>
            <w:r>
              <w:rPr>
                <w:rFonts w:ascii="Calibri" w:hAnsi="Calibri" w:eastAsia="Noto Sans TC Thin"/>
                <w:b w:val="0"/>
                <w:i w:val="0"/>
                <w:color w:val="18304A"/>
                <w:sz w:val="18"/>
              </w:rPr>
              <w:t>16 km vs Tsing Ma main span 1.38 km</w:t>
            </w:r>
          </w:p>
        </w:tc>
      </w:tr>
      <w:tr>
        <w:tc>
          <w:tcPr>
            <w:tcW w:type="dxa" w:w="1100"/>
          </w:tcPr>
          <w:p>
            <w:pPr>
              <w:keepNext w:val="0"/>
              <w:spacing w:before="0" w:after="0" w:line="269" w:lineRule="auto"/>
              <w:jc w:val="center"/>
            </w:pPr>
            <w:r>
              <w:rPr>
                <w:rFonts w:ascii="Calibri" w:hAnsi="Calibri" w:eastAsia="Noto Sans TC Thin"/>
                <w:b/>
                <w:i w:val="0"/>
                <w:color w:val="18304A"/>
                <w:sz w:val="18"/>
              </w:rPr>
              <w:t>Line-up</w:t>
            </w:r>
          </w:p>
        </w:tc>
        <w:tc>
          <w:tcPr>
            <w:tcW w:type="dxa" w:w="3190"/>
          </w:tcPr>
          <w:p>
            <w:pPr>
              <w:keepNext w:val="0"/>
              <w:spacing w:before="0" w:after="0" w:line="269" w:lineRule="auto"/>
              <w:jc w:val="left"/>
            </w:pPr>
            <w:r>
              <w:rPr>
                <w:rFonts w:ascii="Calibri" w:hAnsi="Calibri" w:eastAsia="Noto Sans TC Thin"/>
                <w:b w:val="0"/>
                <w:i w:val="0"/>
                <w:color w:val="18304A"/>
                <w:sz w:val="18"/>
              </w:rPr>
              <w:t>hair &lt; card &lt; rice &lt; coin &lt; door</w:t>
            </w:r>
          </w:p>
        </w:tc>
        <w:tc>
          <w:tcPr>
            <w:tcW w:type="dxa" w:w="5070"/>
          </w:tcPr>
          <w:p>
            <w:pPr>
              <w:keepNext w:val="0"/>
              <w:spacing w:before="0" w:after="0" w:line="269" w:lineRule="auto"/>
              <w:jc w:val="left"/>
            </w:pPr>
            <w:r>
              <w:rPr>
                <w:rFonts w:ascii="Calibri" w:hAnsi="Calibri" w:eastAsia="Noto Sans TC Thin"/>
                <w:b w:val="0"/>
                <w:i w:val="0"/>
                <w:color w:val="18304A"/>
                <w:sz w:val="18"/>
              </w:rPr>
              <w:t>70 µm &lt; 0.76 mm &lt; 7 mm &lt; 24.5 mm &lt; 2 m</w:t>
            </w:r>
          </w:p>
        </w:tc>
      </w:tr>
    </w:tbl>
    <w:p>
      <w:pPr>
        <w:spacing w:after="20"/>
      </w:pPr>
    </w:p>
    <w:p>
      <w:pPr>
        <w:pStyle w:val="Heading2"/>
      </w:pPr>
      <w:r>
        <w:t>Zoom Map</w:t>
      </w:r>
    </w:p>
    <w:tbl>
      <w:tblPr>
        <w:tblStyle w:val="TableGrid"/>
        <w:tblW w:type="dxa" w:w="9360"/>
        <w:jc w:val="left"/>
        <w:tblLayout w:type="fixed"/>
        <w:tblLook w:firstColumn="1" w:firstRow="1" w:lastColumn="0" w:lastRow="0" w:noHBand="0" w:noVBand="1" w:val="04A0"/>
        <w:tblInd w:w="120" w:type="dxa"/>
      </w:tblPr>
      <w:tblGrid>
        <w:gridCol w:w="3000"/>
        <w:gridCol w:w="2260"/>
        <w:gridCol w:w="4100"/>
      </w:tblGrid>
      <w:tr>
        <w:trPr>
          <w:tblHeader w:val="true"/>
        </w:trPr>
        <w:tc>
          <w:tcPr>
            <w:tcW w:type="dxa" w:w="3000"/>
            <w:tcMar>
              <w:top w:w="100" w:type="dxa"/>
              <w:start w:w="120" w:type="dxa"/>
              <w:bottom w:w="100" w:type="dxa"/>
              <w:end w:w="120" w:type="dxa"/>
            </w:tcMar>
            <w:vAlign w:val="center"/>
            <w:shd w:fill="087F78"/>
          </w:tcPr>
          <w:p>
            <w:pPr>
              <w:keepNext w:val="0"/>
              <w:spacing w:before="0" w:after="0" w:line="264" w:lineRule="auto"/>
              <w:jc w:val="center"/>
            </w:pPr>
            <w:r>
              <w:rPr>
                <w:rFonts w:ascii="Calibri" w:hAnsi="Calibri" w:eastAsia="Noto Sans TC Thin"/>
                <w:b/>
                <w:i w:val="0"/>
                <w:color w:val="FFFFFF"/>
                <w:sz w:val="19"/>
              </w:rPr>
              <w:t>Object</w:t>
            </w:r>
          </w:p>
        </w:tc>
        <w:tc>
          <w:tcPr>
            <w:tcW w:type="dxa" w:w="2260"/>
            <w:tcMar>
              <w:top w:w="100" w:type="dxa"/>
              <w:start w:w="120" w:type="dxa"/>
              <w:bottom w:w="100" w:type="dxa"/>
              <w:end w:w="120" w:type="dxa"/>
            </w:tcMar>
            <w:vAlign w:val="center"/>
            <w:shd w:fill="087F78"/>
          </w:tcPr>
          <w:p>
            <w:pPr>
              <w:keepNext w:val="0"/>
              <w:spacing w:before="0" w:after="0" w:line="264" w:lineRule="auto"/>
              <w:jc w:val="center"/>
            </w:pPr>
            <w:r>
              <w:rPr>
                <w:rFonts w:ascii="Calibri" w:hAnsi="Calibri" w:eastAsia="Noto Sans TC Thin"/>
                <w:b/>
                <w:i w:val="0"/>
                <w:color w:val="FFFFFF"/>
                <w:sz w:val="19"/>
              </w:rPr>
              <w:t>Scale region</w:t>
            </w:r>
          </w:p>
        </w:tc>
        <w:tc>
          <w:tcPr>
            <w:tcW w:type="dxa" w:w="4100"/>
            <w:tcMar>
              <w:top w:w="100" w:type="dxa"/>
              <w:start w:w="120" w:type="dxa"/>
              <w:bottom w:w="100" w:type="dxa"/>
              <w:end w:w="120" w:type="dxa"/>
            </w:tcMar>
            <w:vAlign w:val="center"/>
            <w:shd w:fill="087F78"/>
          </w:tcPr>
          <w:p>
            <w:pPr>
              <w:keepNext w:val="0"/>
              <w:spacing w:before="0" w:after="0" w:line="264" w:lineRule="auto"/>
              <w:jc w:val="center"/>
            </w:pPr>
            <w:r>
              <w:rPr>
                <w:rFonts w:ascii="Calibri" w:hAnsi="Calibri" w:eastAsia="Noto Sans TC Thin"/>
                <w:b/>
                <w:i w:val="0"/>
                <w:color w:val="FFFFFF"/>
                <w:sz w:val="19"/>
              </w:rPr>
              <w:t>Displayed value</w:t>
            </w:r>
          </w:p>
        </w:tc>
      </w:tr>
      <w:tr>
        <w:tc>
          <w:tcPr>
            <w:tcW w:type="dxa" w:w="3000"/>
          </w:tcPr>
          <w:p>
            <w:pPr>
              <w:keepNext w:val="0"/>
              <w:spacing w:before="0" w:after="0" w:line="269" w:lineRule="auto"/>
              <w:jc w:val="center"/>
            </w:pPr>
            <w:r>
              <w:rPr>
                <w:rFonts w:ascii="Calibri" w:hAnsi="Calibri" w:eastAsia="Noto Sans TC Thin"/>
                <w:b/>
                <w:i w:val="0"/>
                <w:color w:val="18304A"/>
                <w:sz w:val="18"/>
              </w:rPr>
              <w:t>DNA helix width</w:t>
            </w:r>
          </w:p>
        </w:tc>
        <w:tc>
          <w:tcPr>
            <w:tcW w:type="dxa" w:w="2260"/>
          </w:tcPr>
          <w:p>
            <w:pPr>
              <w:keepNext w:val="0"/>
              <w:spacing w:before="0" w:after="0" w:line="269" w:lineRule="auto"/>
              <w:jc w:val="left"/>
            </w:pPr>
            <w:r>
              <w:rPr>
                <w:rFonts w:ascii="Calibri" w:hAnsi="Calibri" w:eastAsia="Noto Sans TC Thin"/>
                <w:b w:val="0"/>
                <w:i w:val="0"/>
                <w:color w:val="18304A"/>
                <w:sz w:val="18"/>
              </w:rPr>
              <w:t>10^-9 m</w:t>
            </w:r>
          </w:p>
        </w:tc>
        <w:tc>
          <w:tcPr>
            <w:tcW w:type="dxa" w:w="4100"/>
          </w:tcPr>
          <w:p>
            <w:pPr>
              <w:keepNext w:val="0"/>
              <w:spacing w:before="0" w:after="0" w:line="269" w:lineRule="auto"/>
              <w:jc w:val="left"/>
            </w:pPr>
            <w:r>
              <w:rPr>
                <w:rFonts w:ascii="Calibri" w:hAnsi="Calibri" w:eastAsia="Noto Sans TC Thin"/>
                <w:b w:val="0"/>
                <w:i w:val="0"/>
                <w:color w:val="18304A"/>
                <w:sz w:val="18"/>
              </w:rPr>
              <w:t>2 nm</w:t>
            </w:r>
          </w:p>
        </w:tc>
      </w:tr>
      <w:tr>
        <w:tc>
          <w:tcPr>
            <w:tcW w:type="dxa" w:w="3000"/>
            <w:shd w:fill="F3FAF8"/>
          </w:tcPr>
          <w:p>
            <w:pPr>
              <w:keepNext w:val="0"/>
              <w:spacing w:before="0" w:after="0" w:line="269" w:lineRule="auto"/>
              <w:jc w:val="center"/>
            </w:pPr>
            <w:r>
              <w:rPr>
                <w:rFonts w:ascii="Calibri" w:hAnsi="Calibri" w:eastAsia="Noto Sans TC Thin"/>
                <w:b/>
                <w:i w:val="0"/>
                <w:color w:val="18304A"/>
                <w:sz w:val="18"/>
              </w:rPr>
              <w:t>Human-hair diameter</w:t>
            </w:r>
          </w:p>
        </w:tc>
        <w:tc>
          <w:tcPr>
            <w:tcW w:type="dxa" w:w="2260"/>
            <w:shd w:fill="F3FAF8"/>
          </w:tcPr>
          <w:p>
            <w:pPr>
              <w:keepNext w:val="0"/>
              <w:spacing w:before="0" w:after="0" w:line="269" w:lineRule="auto"/>
              <w:jc w:val="left"/>
            </w:pPr>
            <w:r>
              <w:rPr>
                <w:rFonts w:ascii="Calibri" w:hAnsi="Calibri" w:eastAsia="Noto Sans TC Thin"/>
                <w:b w:val="0"/>
                <w:i w:val="0"/>
                <w:color w:val="18304A"/>
                <w:sz w:val="18"/>
              </w:rPr>
              <w:t>10^-6 m</w:t>
            </w:r>
          </w:p>
        </w:tc>
        <w:tc>
          <w:tcPr>
            <w:tcW w:type="dxa" w:w="4100"/>
            <w:shd w:fill="F3FAF8"/>
          </w:tcPr>
          <w:p>
            <w:pPr>
              <w:keepNext w:val="0"/>
              <w:spacing w:before="0" w:after="0" w:line="269" w:lineRule="auto"/>
              <w:jc w:val="left"/>
            </w:pPr>
            <w:r>
              <w:rPr>
                <w:rFonts w:ascii="Calibri" w:hAnsi="Calibri" w:eastAsia="Noto Sans TC Thin"/>
                <w:b w:val="0"/>
                <w:i w:val="0"/>
                <w:color w:val="18304A"/>
                <w:sz w:val="18"/>
              </w:rPr>
              <w:t>70 µm</w:t>
            </w:r>
          </w:p>
        </w:tc>
      </w:tr>
      <w:tr>
        <w:tc>
          <w:tcPr>
            <w:tcW w:type="dxa" w:w="3000"/>
          </w:tcPr>
          <w:p>
            <w:pPr>
              <w:keepNext w:val="0"/>
              <w:spacing w:before="0" w:after="0" w:line="269" w:lineRule="auto"/>
              <w:jc w:val="center"/>
            </w:pPr>
            <w:r>
              <w:rPr>
                <w:rFonts w:ascii="Calibri" w:hAnsi="Calibri" w:eastAsia="Noto Sans TC Thin"/>
                <w:b/>
                <w:i w:val="0"/>
                <w:color w:val="18304A"/>
                <w:sz w:val="18"/>
              </w:rPr>
              <w:t>Rice-grain length</w:t>
            </w:r>
          </w:p>
        </w:tc>
        <w:tc>
          <w:tcPr>
            <w:tcW w:type="dxa" w:w="2260"/>
          </w:tcPr>
          <w:p>
            <w:pPr>
              <w:keepNext w:val="0"/>
              <w:spacing w:before="0" w:after="0" w:line="269" w:lineRule="auto"/>
              <w:jc w:val="left"/>
            </w:pPr>
            <w:r>
              <w:rPr>
                <w:rFonts w:ascii="Calibri" w:hAnsi="Calibri" w:eastAsia="Noto Sans TC Thin"/>
                <w:b w:val="0"/>
                <w:i w:val="0"/>
                <w:color w:val="18304A"/>
                <w:sz w:val="18"/>
              </w:rPr>
              <w:t>10^-3 m</w:t>
            </w:r>
          </w:p>
        </w:tc>
        <w:tc>
          <w:tcPr>
            <w:tcW w:type="dxa" w:w="4100"/>
          </w:tcPr>
          <w:p>
            <w:pPr>
              <w:keepNext w:val="0"/>
              <w:spacing w:before="0" w:after="0" w:line="269" w:lineRule="auto"/>
              <w:jc w:val="left"/>
            </w:pPr>
            <w:r>
              <w:rPr>
                <w:rFonts w:ascii="Calibri" w:hAnsi="Calibri" w:eastAsia="Noto Sans TC Thin"/>
                <w:b w:val="0"/>
                <w:i w:val="0"/>
                <w:color w:val="18304A"/>
                <w:sz w:val="18"/>
              </w:rPr>
              <w:t>7 mm</w:t>
            </w:r>
          </w:p>
        </w:tc>
      </w:tr>
      <w:tr>
        <w:tc>
          <w:tcPr>
            <w:tcW w:type="dxa" w:w="3000"/>
            <w:shd w:fill="F3FAF8"/>
          </w:tcPr>
          <w:p>
            <w:pPr>
              <w:keepNext w:val="0"/>
              <w:spacing w:before="0" w:after="0" w:line="269" w:lineRule="auto"/>
              <w:jc w:val="center"/>
            </w:pPr>
            <w:r>
              <w:rPr>
                <w:rFonts w:ascii="Calibri" w:hAnsi="Calibri" w:eastAsia="Noto Sans TC Thin"/>
                <w:b/>
                <w:i w:val="0"/>
                <w:color w:val="18304A"/>
                <w:sz w:val="18"/>
              </w:rPr>
              <w:t>Classroom-door height</w:t>
            </w:r>
          </w:p>
        </w:tc>
        <w:tc>
          <w:tcPr>
            <w:tcW w:type="dxa" w:w="2260"/>
            <w:shd w:fill="F3FAF8"/>
          </w:tcPr>
          <w:p>
            <w:pPr>
              <w:keepNext w:val="0"/>
              <w:spacing w:before="0" w:after="0" w:line="269" w:lineRule="auto"/>
              <w:jc w:val="left"/>
            </w:pPr>
            <w:r>
              <w:rPr>
                <w:rFonts w:ascii="Calibri" w:hAnsi="Calibri" w:eastAsia="Noto Sans TC Thin"/>
                <w:b w:val="0"/>
                <w:i w:val="0"/>
                <w:color w:val="18304A"/>
                <w:sz w:val="18"/>
              </w:rPr>
              <w:t>10^0 m</w:t>
            </w:r>
          </w:p>
        </w:tc>
        <w:tc>
          <w:tcPr>
            <w:tcW w:type="dxa" w:w="4100"/>
            <w:shd w:fill="F3FAF8"/>
          </w:tcPr>
          <w:p>
            <w:pPr>
              <w:keepNext w:val="0"/>
              <w:spacing w:before="0" w:after="0" w:line="269" w:lineRule="auto"/>
              <w:jc w:val="left"/>
            </w:pPr>
            <w:r>
              <w:rPr>
                <w:rFonts w:ascii="Calibri" w:hAnsi="Calibri" w:eastAsia="Noto Sans TC Thin"/>
                <w:b w:val="0"/>
                <w:i w:val="0"/>
                <w:color w:val="18304A"/>
                <w:sz w:val="18"/>
              </w:rPr>
              <w:t>2 m</w:t>
            </w:r>
          </w:p>
        </w:tc>
      </w:tr>
      <w:tr>
        <w:tc>
          <w:tcPr>
            <w:tcW w:type="dxa" w:w="3000"/>
          </w:tcPr>
          <w:p>
            <w:pPr>
              <w:keepNext w:val="0"/>
              <w:spacing w:before="0" w:after="0" w:line="269" w:lineRule="auto"/>
              <w:jc w:val="center"/>
            </w:pPr>
            <w:r>
              <w:rPr>
                <w:rFonts w:ascii="Calibri" w:hAnsi="Calibri" w:eastAsia="Noto Sans TC Thin"/>
                <w:b/>
                <w:i w:val="0"/>
                <w:color w:val="18304A"/>
                <w:sz w:val="18"/>
              </w:rPr>
              <w:t>Tsing Ma Bridge span</w:t>
            </w:r>
          </w:p>
        </w:tc>
        <w:tc>
          <w:tcPr>
            <w:tcW w:type="dxa" w:w="2260"/>
          </w:tcPr>
          <w:p>
            <w:pPr>
              <w:keepNext w:val="0"/>
              <w:spacing w:before="0" w:after="0" w:line="269" w:lineRule="auto"/>
              <w:jc w:val="left"/>
            </w:pPr>
            <w:r>
              <w:rPr>
                <w:rFonts w:ascii="Calibri" w:hAnsi="Calibri" w:eastAsia="Noto Sans TC Thin"/>
                <w:b w:val="0"/>
                <w:i w:val="0"/>
                <w:color w:val="18304A"/>
                <w:sz w:val="18"/>
              </w:rPr>
              <w:t>10^3 m</w:t>
            </w:r>
          </w:p>
        </w:tc>
        <w:tc>
          <w:tcPr>
            <w:tcW w:type="dxa" w:w="4100"/>
          </w:tcPr>
          <w:p>
            <w:pPr>
              <w:keepNext w:val="0"/>
              <w:spacing w:before="0" w:after="0" w:line="269" w:lineRule="auto"/>
              <w:jc w:val="left"/>
            </w:pPr>
            <w:r>
              <w:rPr>
                <w:rFonts w:ascii="Calibri" w:hAnsi="Calibri" w:eastAsia="Noto Sans TC Thin"/>
                <w:b w:val="0"/>
                <w:i w:val="0"/>
                <w:color w:val="18304A"/>
                <w:sz w:val="18"/>
              </w:rPr>
              <w:t>1.38 km</w:t>
            </w:r>
          </w:p>
        </w:tc>
      </w:tr>
      <w:tr>
        <w:tc>
          <w:tcPr>
            <w:tcW w:type="dxa" w:w="3000"/>
            <w:shd w:fill="F3FAF8"/>
          </w:tcPr>
          <w:p>
            <w:pPr>
              <w:keepNext w:val="0"/>
              <w:spacing w:before="0" w:after="0" w:line="269" w:lineRule="auto"/>
              <w:jc w:val="center"/>
            </w:pPr>
            <w:r>
              <w:rPr>
                <w:rFonts w:ascii="Calibri" w:hAnsi="Calibri" w:eastAsia="Noto Sans TC Thin"/>
                <w:b/>
                <w:i w:val="0"/>
                <w:color w:val="18304A"/>
                <w:sz w:val="18"/>
              </w:rPr>
              <w:t>Earth radius</w:t>
            </w:r>
          </w:p>
        </w:tc>
        <w:tc>
          <w:tcPr>
            <w:tcW w:type="dxa" w:w="2260"/>
            <w:shd w:fill="F3FAF8"/>
          </w:tcPr>
          <w:p>
            <w:pPr>
              <w:keepNext w:val="0"/>
              <w:spacing w:before="0" w:after="0" w:line="269" w:lineRule="auto"/>
              <w:jc w:val="left"/>
            </w:pPr>
            <w:r>
              <w:rPr>
                <w:rFonts w:ascii="Calibri" w:hAnsi="Calibri" w:eastAsia="Noto Sans TC Thin"/>
                <w:b w:val="0"/>
                <w:i w:val="0"/>
                <w:color w:val="18304A"/>
                <w:sz w:val="18"/>
              </w:rPr>
              <w:t>10^6 m</w:t>
            </w:r>
          </w:p>
        </w:tc>
        <w:tc>
          <w:tcPr>
            <w:tcW w:type="dxa" w:w="4100"/>
            <w:shd w:fill="F3FAF8"/>
          </w:tcPr>
          <w:p>
            <w:pPr>
              <w:keepNext w:val="0"/>
              <w:spacing w:before="0" w:after="0" w:line="269" w:lineRule="auto"/>
              <w:jc w:val="left"/>
            </w:pPr>
            <w:r>
              <w:rPr>
                <w:rFonts w:ascii="Calibri" w:hAnsi="Calibri" w:eastAsia="Noto Sans TC Thin"/>
                <w:b w:val="0"/>
                <w:i w:val="0"/>
                <w:color w:val="18304A"/>
                <w:sz w:val="18"/>
              </w:rPr>
              <w:t>6.37 Mm</w:t>
            </w:r>
          </w:p>
        </w:tc>
      </w:tr>
      <w:tr>
        <w:tc>
          <w:tcPr>
            <w:tcW w:type="dxa" w:w="3000"/>
          </w:tcPr>
          <w:p>
            <w:pPr>
              <w:keepNext w:val="0"/>
              <w:spacing w:before="0" w:after="0" w:line="269" w:lineRule="auto"/>
              <w:jc w:val="center"/>
            </w:pPr>
            <w:r>
              <w:rPr>
                <w:rFonts w:ascii="Calibri" w:hAnsi="Calibri" w:eastAsia="Noto Sans TC Thin"/>
                <w:b/>
                <w:i w:val="0"/>
                <w:color w:val="18304A"/>
                <w:sz w:val="18"/>
              </w:rPr>
              <w:t>Sun diameter</w:t>
            </w:r>
          </w:p>
        </w:tc>
        <w:tc>
          <w:tcPr>
            <w:tcW w:type="dxa" w:w="2260"/>
          </w:tcPr>
          <w:p>
            <w:pPr>
              <w:keepNext w:val="0"/>
              <w:spacing w:before="0" w:after="0" w:line="269" w:lineRule="auto"/>
              <w:jc w:val="left"/>
            </w:pPr>
            <w:r>
              <w:rPr>
                <w:rFonts w:ascii="Calibri" w:hAnsi="Calibri" w:eastAsia="Noto Sans TC Thin"/>
                <w:b w:val="0"/>
                <w:i w:val="0"/>
                <w:color w:val="18304A"/>
                <w:sz w:val="18"/>
              </w:rPr>
              <w:t>10^9 m</w:t>
            </w:r>
          </w:p>
        </w:tc>
        <w:tc>
          <w:tcPr>
            <w:tcW w:type="dxa" w:w="4100"/>
          </w:tcPr>
          <w:p>
            <w:pPr>
              <w:keepNext w:val="0"/>
              <w:spacing w:before="0" w:after="0" w:line="269" w:lineRule="auto"/>
              <w:jc w:val="left"/>
            </w:pPr>
            <w:r>
              <w:rPr>
                <w:rFonts w:ascii="Calibri" w:hAnsi="Calibri" w:eastAsia="Noto Sans TC Thin"/>
                <w:b w:val="0"/>
                <w:i w:val="0"/>
                <w:color w:val="18304A"/>
                <w:sz w:val="18"/>
              </w:rPr>
              <w:t>1.39 Gm</w:t>
            </w:r>
          </w:p>
        </w:tc>
      </w:tr>
    </w:tbl>
    <w:p>
      <w:pPr>
        <w:spacing w:after="20"/>
      </w:pPr>
    </w:p>
    <w:p>
      <w:pPr>
        <w:keepNext w:val="0"/>
        <w:spacing w:before="100" w:after="160" w:line="288" w:lineRule="auto"/>
        <w:ind w:left="259" w:right="259"/>
        <w:shd w:fill="FFF2C9"/>
        <w:pBdr>
          <w:left w:val="single" w:sz="22" w:space="8" w:color="9A6A00"/>
        </w:pBdr>
      </w:pPr>
      <w:r>
        <w:rPr>
          <w:rFonts w:ascii="Calibri" w:hAnsi="Calibri" w:eastAsia="Noto Sans TC Thin"/>
          <w:b/>
          <w:i w:val="0"/>
          <w:color w:val="9A6A00"/>
          <w:sz w:val="21"/>
        </w:rPr>
        <w:t xml:space="preserve">PRECISION NOTE  </w:t>
      </w:r>
      <w:r>
        <w:rPr>
          <w:rFonts w:ascii="Calibri" w:hAnsi="Calibri" w:eastAsia="Noto Sans TC Thin"/>
          <w:b w:val="0"/>
          <w:i w:val="0"/>
          <w:color w:val="18304A"/>
          <w:sz w:val="21"/>
        </w:rPr>
        <w:t>These are representative or rounded values chosen to teach scale and conversion. Object dimensions vary, and approximate values should not be interpreted as measurement standards.</w:t>
      </w:r>
    </w:p>
    <w:p>
      <w:r>
        <w:br w:type="page"/>
      </w:r>
    </w:p>
    <w:p>
      <w:pPr>
        <w:pStyle w:val="Heading1"/>
      </w:pPr>
      <w:r>
        <w:t>5. Anticipated misconceptions</w:t>
      </w:r>
    </w:p>
    <w:tbl>
      <w:tblPr>
        <w:tblStyle w:val="TableGrid"/>
        <w:tblW w:type="dxa" w:w="9360"/>
        <w:jc w:val="left"/>
        <w:tblLayout w:type="fixed"/>
        <w:tblLook w:firstColumn="1" w:firstRow="1" w:lastColumn="0" w:lastRow="0" w:noHBand="0" w:noVBand="1" w:val="04A0"/>
        <w:tblInd w:w="120" w:type="dxa"/>
      </w:tblPr>
      <w:tblGrid>
        <w:gridCol w:w="2450"/>
        <w:gridCol w:w="2650"/>
        <w:gridCol w:w="4260"/>
      </w:tblGrid>
      <w:tr>
        <w:trPr>
          <w:tblHeader w:val="true"/>
        </w:trPr>
        <w:tc>
          <w:tcPr>
            <w:tcW w:type="dxa" w:w="2450"/>
            <w:tcMar>
              <w:top w:w="100" w:type="dxa"/>
              <w:start w:w="120" w:type="dxa"/>
              <w:bottom w:w="100" w:type="dxa"/>
              <w:end w:w="120" w:type="dxa"/>
            </w:tcMar>
            <w:vAlign w:val="center"/>
            <w:shd w:fill="087F78"/>
          </w:tcPr>
          <w:p>
            <w:pPr>
              <w:keepNext w:val="0"/>
              <w:spacing w:before="0" w:after="0" w:line="264" w:lineRule="auto"/>
              <w:jc w:val="center"/>
            </w:pPr>
            <w:r>
              <w:rPr>
                <w:rFonts w:ascii="Calibri" w:hAnsi="Calibri" w:eastAsia="Noto Sans TC Thin"/>
                <w:b/>
                <w:i w:val="0"/>
                <w:color w:val="FFFFFF"/>
                <w:sz w:val="19"/>
              </w:rPr>
              <w:t>What you may hear</w:t>
            </w:r>
          </w:p>
        </w:tc>
        <w:tc>
          <w:tcPr>
            <w:tcW w:type="dxa" w:w="2650"/>
            <w:tcMar>
              <w:top w:w="100" w:type="dxa"/>
              <w:start w:w="120" w:type="dxa"/>
              <w:bottom w:w="100" w:type="dxa"/>
              <w:end w:w="120" w:type="dxa"/>
            </w:tcMar>
            <w:vAlign w:val="center"/>
            <w:shd w:fill="087F78"/>
          </w:tcPr>
          <w:p>
            <w:pPr>
              <w:keepNext w:val="0"/>
              <w:spacing w:before="0" w:after="0" w:line="264" w:lineRule="auto"/>
              <w:jc w:val="center"/>
            </w:pPr>
            <w:r>
              <w:rPr>
                <w:rFonts w:ascii="Calibri" w:hAnsi="Calibri" w:eastAsia="Noto Sans TC Thin"/>
                <w:b/>
                <w:i w:val="0"/>
                <w:color w:val="FFFFFF"/>
                <w:sz w:val="19"/>
              </w:rPr>
              <w:t>What it reveals</w:t>
            </w:r>
          </w:p>
        </w:tc>
        <w:tc>
          <w:tcPr>
            <w:tcW w:type="dxa" w:w="4260"/>
            <w:tcMar>
              <w:top w:w="100" w:type="dxa"/>
              <w:start w:w="120" w:type="dxa"/>
              <w:bottom w:w="100" w:type="dxa"/>
              <w:end w:w="120" w:type="dxa"/>
            </w:tcMar>
            <w:vAlign w:val="center"/>
            <w:shd w:fill="087F78"/>
          </w:tcPr>
          <w:p>
            <w:pPr>
              <w:keepNext w:val="0"/>
              <w:spacing w:before="0" w:after="0" w:line="264" w:lineRule="auto"/>
              <w:jc w:val="center"/>
            </w:pPr>
            <w:r>
              <w:rPr>
                <w:rFonts w:ascii="Calibri" w:hAnsi="Calibri" w:eastAsia="Noto Sans TC Thin"/>
                <w:b/>
                <w:i w:val="0"/>
                <w:color w:val="FFFFFF"/>
                <w:sz w:val="19"/>
              </w:rPr>
              <w:t>Useful response</w:t>
            </w:r>
          </w:p>
        </w:tc>
      </w:tr>
      <w:tr>
        <w:tc>
          <w:tcPr>
            <w:tcW w:type="dxa" w:w="2450"/>
          </w:tcPr>
          <w:p>
            <w:pPr>
              <w:keepNext w:val="0"/>
              <w:spacing w:before="0" w:after="0" w:line="269" w:lineRule="auto"/>
              <w:jc w:val="center"/>
            </w:pPr>
            <w:r>
              <w:rPr>
                <w:rFonts w:ascii="Calibri" w:hAnsi="Calibri" w:eastAsia="Noto Sans TC Thin"/>
                <w:b/>
                <w:i w:val="0"/>
                <w:color w:val="18304A"/>
                <w:sz w:val="18"/>
              </w:rPr>
              <w:t>'m means milli.'</w:t>
            </w:r>
          </w:p>
        </w:tc>
        <w:tc>
          <w:tcPr>
            <w:tcW w:type="dxa" w:w="2650"/>
          </w:tcPr>
          <w:p>
            <w:pPr>
              <w:keepNext w:val="0"/>
              <w:spacing w:before="0" w:after="0" w:line="269" w:lineRule="auto"/>
              <w:jc w:val="left"/>
            </w:pPr>
            <w:r>
              <w:rPr>
                <w:rFonts w:ascii="Calibri" w:hAnsi="Calibri" w:eastAsia="Noto Sans TC Thin"/>
                <w:b w:val="0"/>
                <w:i w:val="0"/>
                <w:color w:val="18304A"/>
                <w:sz w:val="18"/>
              </w:rPr>
              <w:t>Unit-prefix confusion</w:t>
            </w:r>
          </w:p>
        </w:tc>
        <w:tc>
          <w:tcPr>
            <w:tcW w:type="dxa" w:w="4260"/>
          </w:tcPr>
          <w:p>
            <w:pPr>
              <w:keepNext w:val="0"/>
              <w:spacing w:before="0" w:after="0" w:line="269" w:lineRule="auto"/>
              <w:jc w:val="left"/>
            </w:pPr>
            <w:r>
              <w:rPr>
                <w:rFonts w:ascii="Calibri" w:hAnsi="Calibri" w:eastAsia="Noto Sans TC Thin"/>
                <w:b w:val="0"/>
                <w:i w:val="0"/>
                <w:color w:val="18304A"/>
                <w:sz w:val="18"/>
              </w:rPr>
              <w:t>Ask whether m is alone or attached before another m in mm.</w:t>
            </w:r>
          </w:p>
        </w:tc>
      </w:tr>
      <w:tr>
        <w:tc>
          <w:tcPr>
            <w:tcW w:type="dxa" w:w="2450"/>
            <w:shd w:fill="F3FAF8"/>
          </w:tcPr>
          <w:p>
            <w:pPr>
              <w:keepNext w:val="0"/>
              <w:spacing w:before="0" w:after="0" w:line="269" w:lineRule="auto"/>
              <w:jc w:val="center"/>
            </w:pPr>
            <w:r>
              <w:rPr>
                <w:rFonts w:ascii="Calibri" w:hAnsi="Calibri" w:eastAsia="Noto Sans TC Thin"/>
                <w:b/>
                <w:i w:val="0"/>
                <w:color w:val="18304A"/>
                <w:sz w:val="18"/>
              </w:rPr>
              <w:t>'10^0 is zero.'</w:t>
            </w:r>
          </w:p>
        </w:tc>
        <w:tc>
          <w:tcPr>
            <w:tcW w:type="dxa" w:w="2650"/>
            <w:shd w:fill="F3FAF8"/>
          </w:tcPr>
          <w:p>
            <w:pPr>
              <w:keepNext w:val="0"/>
              <w:spacing w:before="0" w:after="0" w:line="269" w:lineRule="auto"/>
              <w:jc w:val="left"/>
            </w:pPr>
            <w:r>
              <w:rPr>
                <w:rFonts w:ascii="Calibri" w:hAnsi="Calibri" w:eastAsia="Noto Sans TC Thin"/>
                <w:b w:val="0"/>
                <w:i w:val="0"/>
                <w:color w:val="18304A"/>
                <w:sz w:val="18"/>
              </w:rPr>
              <w:t>Exponent meaning</w:t>
            </w:r>
          </w:p>
        </w:tc>
        <w:tc>
          <w:tcPr>
            <w:tcW w:type="dxa" w:w="4260"/>
            <w:shd w:fill="F3FAF8"/>
          </w:tcPr>
          <w:p>
            <w:pPr>
              <w:keepNext w:val="0"/>
              <w:spacing w:before="0" w:after="0" w:line="269" w:lineRule="auto"/>
              <w:jc w:val="left"/>
            </w:pPr>
            <w:r>
              <w:rPr>
                <w:rFonts w:ascii="Calibri" w:hAnsi="Calibri" w:eastAsia="Noto Sans TC Thin"/>
                <w:b w:val="0"/>
                <w:i w:val="0"/>
                <w:color w:val="18304A"/>
                <w:sz w:val="18"/>
              </w:rPr>
              <w:t>Return to 10^0 = 1, so 10^0 m = 1 m.</w:t>
            </w:r>
          </w:p>
        </w:tc>
      </w:tr>
      <w:tr>
        <w:tc>
          <w:tcPr>
            <w:tcW w:type="dxa" w:w="2450"/>
          </w:tcPr>
          <w:p>
            <w:pPr>
              <w:keepNext w:val="0"/>
              <w:spacing w:before="0" w:after="0" w:line="269" w:lineRule="auto"/>
              <w:jc w:val="center"/>
            </w:pPr>
            <w:r>
              <w:rPr>
                <w:rFonts w:ascii="Calibri" w:hAnsi="Calibri" w:eastAsia="Noto Sans TC Thin"/>
                <w:b/>
                <w:i w:val="0"/>
                <w:color w:val="18304A"/>
                <w:sz w:val="18"/>
              </w:rPr>
              <w:t>'The bigger picture must be longer.'</w:t>
            </w:r>
          </w:p>
        </w:tc>
        <w:tc>
          <w:tcPr>
            <w:tcW w:type="dxa" w:w="2650"/>
          </w:tcPr>
          <w:p>
            <w:pPr>
              <w:keepNext w:val="0"/>
              <w:spacing w:before="0" w:after="0" w:line="269" w:lineRule="auto"/>
              <w:jc w:val="left"/>
            </w:pPr>
            <w:r>
              <w:rPr>
                <w:rFonts w:ascii="Calibri" w:hAnsi="Calibri" w:eastAsia="Noto Sans TC Thin"/>
                <w:b w:val="0"/>
                <w:i w:val="0"/>
                <w:color w:val="18304A"/>
                <w:sz w:val="18"/>
              </w:rPr>
              <w:t>Representation bias</w:t>
            </w:r>
          </w:p>
        </w:tc>
        <w:tc>
          <w:tcPr>
            <w:tcW w:type="dxa" w:w="4260"/>
          </w:tcPr>
          <w:p>
            <w:pPr>
              <w:keepNext w:val="0"/>
              <w:spacing w:before="0" w:after="0" w:line="269" w:lineRule="auto"/>
              <w:jc w:val="left"/>
            </w:pPr>
            <w:r>
              <w:rPr>
                <w:rFonts w:ascii="Calibri" w:hAnsi="Calibri" w:eastAsia="Noto Sans TC Thin"/>
                <w:b w:val="0"/>
                <w:i w:val="0"/>
                <w:color w:val="18304A"/>
                <w:sz w:val="18"/>
              </w:rPr>
              <w:t>Name the dimension and imagine the real objects side by side.</w:t>
            </w:r>
          </w:p>
        </w:tc>
      </w:tr>
      <w:tr>
        <w:tc>
          <w:tcPr>
            <w:tcW w:type="dxa" w:w="2450"/>
            <w:shd w:fill="F3FAF8"/>
          </w:tcPr>
          <w:p>
            <w:pPr>
              <w:keepNext w:val="0"/>
              <w:spacing w:before="0" w:after="0" w:line="269" w:lineRule="auto"/>
              <w:jc w:val="center"/>
            </w:pPr>
            <w:r>
              <w:rPr>
                <w:rFonts w:ascii="Calibri" w:hAnsi="Calibri" w:eastAsia="Noto Sans TC Thin"/>
                <w:b/>
                <w:i w:val="0"/>
                <w:color w:val="18304A"/>
                <w:sz w:val="18"/>
              </w:rPr>
              <w:t>'70 µm is 70 x 10^-5 m.'</w:t>
            </w:r>
          </w:p>
        </w:tc>
        <w:tc>
          <w:tcPr>
            <w:tcW w:type="dxa" w:w="2650"/>
            <w:shd w:fill="F3FAF8"/>
          </w:tcPr>
          <w:p>
            <w:pPr>
              <w:keepNext w:val="0"/>
              <w:spacing w:before="0" w:after="0" w:line="269" w:lineRule="auto"/>
              <w:jc w:val="left"/>
            </w:pPr>
            <w:r>
              <w:rPr>
                <w:rFonts w:ascii="Calibri" w:hAnsi="Calibri" w:eastAsia="Noto Sans TC Thin"/>
                <w:b w:val="0"/>
                <w:i w:val="0"/>
                <w:color w:val="18304A"/>
                <w:sz w:val="18"/>
              </w:rPr>
              <w:t>Prefix-exponent mismatch</w:t>
            </w:r>
          </w:p>
        </w:tc>
        <w:tc>
          <w:tcPr>
            <w:tcW w:type="dxa" w:w="4260"/>
            <w:shd w:fill="F3FAF8"/>
          </w:tcPr>
          <w:p>
            <w:pPr>
              <w:keepNext w:val="0"/>
              <w:spacing w:before="0" w:after="0" w:line="269" w:lineRule="auto"/>
              <w:jc w:val="left"/>
            </w:pPr>
            <w:r>
              <w:rPr>
                <w:rFonts w:ascii="Calibri" w:hAnsi="Calibri" w:eastAsia="Noto Sans TC Thin"/>
                <w:b w:val="0"/>
                <w:i w:val="0"/>
                <w:color w:val="18304A"/>
                <w:sz w:val="18"/>
              </w:rPr>
              <w:t>Write µ = 10^-6 first, then normalize the coefficient.</w:t>
            </w:r>
          </w:p>
        </w:tc>
      </w:tr>
      <w:tr>
        <w:tc>
          <w:tcPr>
            <w:tcW w:type="dxa" w:w="2450"/>
          </w:tcPr>
          <w:p>
            <w:pPr>
              <w:keepNext w:val="0"/>
              <w:spacing w:before="0" w:after="0" w:line="269" w:lineRule="auto"/>
              <w:jc w:val="center"/>
            </w:pPr>
            <w:r>
              <w:rPr>
                <w:rFonts w:ascii="Calibri" w:hAnsi="Calibri" w:eastAsia="Noto Sans TC Thin"/>
                <w:b/>
                <w:i w:val="0"/>
                <w:color w:val="18304A"/>
                <w:sz w:val="18"/>
              </w:rPr>
              <w:t>'Mega and milli both use m.'</w:t>
            </w:r>
          </w:p>
        </w:tc>
        <w:tc>
          <w:tcPr>
            <w:tcW w:type="dxa" w:w="2650"/>
          </w:tcPr>
          <w:p>
            <w:pPr>
              <w:keepNext w:val="0"/>
              <w:spacing w:before="0" w:after="0" w:line="269" w:lineRule="auto"/>
              <w:jc w:val="left"/>
            </w:pPr>
            <w:r>
              <w:rPr>
                <w:rFonts w:ascii="Calibri" w:hAnsi="Calibri" w:eastAsia="Noto Sans TC Thin"/>
                <w:b w:val="0"/>
                <w:i w:val="0"/>
                <w:color w:val="18304A"/>
                <w:sz w:val="18"/>
              </w:rPr>
              <w:t>Case-insensitive symbol use</w:t>
            </w:r>
          </w:p>
        </w:tc>
        <w:tc>
          <w:tcPr>
            <w:tcW w:type="dxa" w:w="4260"/>
          </w:tcPr>
          <w:p>
            <w:pPr>
              <w:keepNext w:val="0"/>
              <w:spacing w:before="0" w:after="0" w:line="269" w:lineRule="auto"/>
              <w:jc w:val="left"/>
            </w:pPr>
            <w:r>
              <w:rPr>
                <w:rFonts w:ascii="Calibri" w:hAnsi="Calibri" w:eastAsia="Noto Sans TC Thin"/>
                <w:b w:val="0"/>
                <w:i w:val="0"/>
                <w:color w:val="18304A"/>
                <w:sz w:val="18"/>
              </w:rPr>
              <w:t>Contrast lowercase m with uppercase M; SI symbols are case-sensitive.</w:t>
            </w:r>
          </w:p>
        </w:tc>
      </w:tr>
      <w:tr>
        <w:tc>
          <w:tcPr>
            <w:tcW w:type="dxa" w:w="2450"/>
            <w:shd w:fill="F3FAF8"/>
          </w:tcPr>
          <w:p>
            <w:pPr>
              <w:keepNext w:val="0"/>
              <w:spacing w:before="0" w:after="0" w:line="269" w:lineRule="auto"/>
              <w:jc w:val="center"/>
            </w:pPr>
            <w:r>
              <w:rPr>
                <w:rFonts w:ascii="Calibri" w:hAnsi="Calibri" w:eastAsia="Noto Sans TC Thin"/>
                <w:b/>
                <w:i w:val="0"/>
                <w:color w:val="18304A"/>
                <w:sz w:val="18"/>
              </w:rPr>
              <w:t>'Every SI prefix changes by 1000.'</w:t>
            </w:r>
          </w:p>
        </w:tc>
        <w:tc>
          <w:tcPr>
            <w:tcW w:type="dxa" w:w="2650"/>
            <w:shd w:fill="F3FAF8"/>
          </w:tcPr>
          <w:p>
            <w:pPr>
              <w:keepNext w:val="0"/>
              <w:spacing w:before="0" w:after="0" w:line="269" w:lineRule="auto"/>
              <w:jc w:val="left"/>
            </w:pPr>
            <w:r>
              <w:rPr>
                <w:rFonts w:ascii="Calibri" w:hAnsi="Calibri" w:eastAsia="Noto Sans TC Thin"/>
                <w:b w:val="0"/>
                <w:i w:val="0"/>
                <w:color w:val="18304A"/>
                <w:sz w:val="18"/>
              </w:rPr>
              <w:t>Overgeneralisation</w:t>
            </w:r>
          </w:p>
        </w:tc>
        <w:tc>
          <w:tcPr>
            <w:tcW w:type="dxa" w:w="4260"/>
            <w:shd w:fill="F3FAF8"/>
          </w:tcPr>
          <w:p>
            <w:pPr>
              <w:keepNext w:val="0"/>
              <w:spacing w:before="0" w:after="0" w:line="269" w:lineRule="auto"/>
              <w:jc w:val="left"/>
            </w:pPr>
            <w:r>
              <w:rPr>
                <w:rFonts w:ascii="Calibri" w:hAnsi="Calibri" w:eastAsia="Noto Sans TC Thin"/>
                <w:b w:val="0"/>
                <w:i w:val="0"/>
                <w:color w:val="18304A"/>
                <w:sz w:val="18"/>
              </w:rPr>
              <w:t>Clarify that this game uses a selected 10^3 ladder.</w:t>
            </w:r>
          </w:p>
        </w:tc>
      </w:tr>
    </w:tbl>
    <w:p>
      <w:pPr>
        <w:spacing w:after="20"/>
      </w:pPr>
    </w:p>
    <w:p>
      <w:pPr>
        <w:pStyle w:val="Heading2"/>
      </w:pPr>
      <w:r>
        <w:t>Differentiation</w:t>
      </w:r>
    </w:p>
    <w:p>
      <w:pPr>
        <w:pStyle w:val="ListBullet"/>
        <w:keepNext w:val="0"/>
        <w:spacing w:before="0" w:after="80" w:line="300" w:lineRule="auto"/>
        <w:ind w:left="540" w:hanging="271"/>
      </w:pPr>
      <w:r>
        <w:rPr>
          <w:rFonts w:ascii="Calibri" w:hAnsi="Calibri" w:eastAsia="Noto Sans TC Thin"/>
          <w:b w:val="0"/>
          <w:i w:val="0"/>
          <w:color w:val="18304A"/>
          <w:sz w:val="22"/>
        </w:rPr>
        <w:t>Support: keep students in pairs, allow Scanner hints and ask only for too large/too small before exact conversion.</w:t>
      </w:r>
    </w:p>
    <w:p>
      <w:pPr>
        <w:pStyle w:val="ListBullet"/>
        <w:keepNext w:val="0"/>
        <w:spacing w:before="0" w:after="80" w:line="300" w:lineRule="auto"/>
        <w:ind w:left="540" w:hanging="271"/>
      </w:pPr>
      <w:r>
        <w:rPr>
          <w:rFonts w:ascii="Calibri" w:hAnsi="Calibri" w:eastAsia="Noto Sans TC Thin"/>
          <w:b w:val="0"/>
          <w:i w:val="0"/>
          <w:color w:val="18304A"/>
          <w:sz w:val="22"/>
        </w:rPr>
        <w:t>Core: require a spoken reason before each choice and one written equality at the end.</w:t>
      </w:r>
    </w:p>
    <w:p>
      <w:pPr>
        <w:pStyle w:val="ListBullet"/>
        <w:keepNext w:val="0"/>
        <w:spacing w:before="0" w:after="80" w:line="300" w:lineRule="auto"/>
        <w:ind w:left="540" w:hanging="271"/>
      </w:pPr>
      <w:r>
        <w:rPr>
          <w:rFonts w:ascii="Calibri" w:hAnsi="Calibri" w:eastAsia="Noto Sans TC Thin"/>
          <w:b w:val="0"/>
          <w:i w:val="0"/>
          <w:color w:val="18304A"/>
          <w:sz w:val="22"/>
        </w:rPr>
        <w:t>Extension: open the Scale Museum and ask why atto is more familiar in time than in everyday length.</w:t>
      </w:r>
    </w:p>
    <w:p>
      <w:pPr>
        <w:pStyle w:val="ListBullet"/>
        <w:keepNext w:val="0"/>
        <w:spacing w:before="0" w:after="80" w:line="300" w:lineRule="auto"/>
        <w:ind w:left="540" w:hanging="271"/>
      </w:pPr>
      <w:r>
        <w:rPr>
          <w:rFonts w:ascii="Calibri" w:hAnsi="Calibri" w:eastAsia="Noto Sans TC Thin"/>
          <w:b w:val="0"/>
          <w:i w:val="0"/>
          <w:color w:val="18304A"/>
          <w:sz w:val="22"/>
        </w:rPr>
        <w:t>Language support: students may play in Traditional Chinese while saying English prefix names such as nano, micro and kilo.</w:t>
      </w:r>
    </w:p>
    <w:p>
      <w:pPr>
        <w:pStyle w:val="Heading2"/>
      </w:pPr>
      <w:r>
        <w:t>Accessibility and fair use</w:t>
      </w:r>
    </w:p>
    <w:p>
      <w:pPr>
        <w:pStyle w:val="ListBullet"/>
        <w:keepNext w:val="0"/>
        <w:spacing w:before="0" w:after="80" w:line="300" w:lineRule="auto"/>
        <w:ind w:left="540" w:hanging="271"/>
      </w:pPr>
      <w:r>
        <w:rPr>
          <w:rFonts w:ascii="Calibri" w:hAnsi="Calibri" w:eastAsia="Noto Sans TC Thin"/>
          <w:b w:val="0"/>
          <w:i w:val="0"/>
          <w:color w:val="18304A"/>
          <w:sz w:val="22"/>
        </w:rPr>
        <w:t>Do not grade speed. The untimed missions contain the intended learning evidence.</w:t>
      </w:r>
    </w:p>
    <w:p>
      <w:pPr>
        <w:pStyle w:val="ListBullet"/>
        <w:keepNext w:val="0"/>
        <w:spacing w:before="0" w:after="80" w:line="300" w:lineRule="auto"/>
        <w:ind w:left="540" w:hanging="271"/>
      </w:pPr>
      <w:r>
        <w:rPr>
          <w:rFonts w:ascii="Calibri" w:hAnsi="Calibri" w:eastAsia="Noto Sans TC Thin"/>
          <w:b w:val="0"/>
          <w:i w:val="0"/>
          <w:color w:val="18304A"/>
          <w:sz w:val="22"/>
        </w:rPr>
        <w:t>Keyboard, tap, swap and arrow controls are equivalent ways to complete sorting.</w:t>
      </w:r>
    </w:p>
    <w:p>
      <w:pPr>
        <w:pStyle w:val="ListBullet"/>
        <w:keepNext w:val="0"/>
        <w:spacing w:before="0" w:after="80" w:line="300" w:lineRule="auto"/>
        <w:ind w:left="540" w:hanging="271"/>
      </w:pPr>
      <w:r>
        <w:rPr>
          <w:rFonts w:ascii="Calibri" w:hAnsi="Calibri" w:eastAsia="Noto Sans TC Thin"/>
          <w:b w:val="0"/>
          <w:i w:val="0"/>
          <w:color w:val="18304A"/>
          <w:sz w:val="22"/>
        </w:rPr>
        <w:t>Avoid colour-only instructions; refer to labels, symbols, positions and feedback text.</w:t>
      </w:r>
    </w:p>
    <w:p>
      <w:r>
        <w:br w:type="page"/>
      </w:r>
    </w:p>
    <w:p>
      <w:pPr>
        <w:pStyle w:val="Heading1"/>
      </w:pPr>
      <w:r>
        <w:t>6. Assessment and reflection</w:t>
      </w:r>
    </w:p>
    <w:p>
      <w:pPr>
        <w:pStyle w:val="Heading2"/>
      </w:pPr>
      <w:r>
        <w:t>Three-item exit ticket</w:t>
      </w:r>
    </w:p>
    <w:p>
      <w:pPr>
        <w:pStyle w:val="ListNumber"/>
        <w:keepNext w:val="0"/>
        <w:spacing w:before="0" w:after="80" w:line="300" w:lineRule="auto"/>
        <w:ind w:left="540" w:hanging="271"/>
      </w:pPr>
      <w:r>
        <w:rPr>
          <w:rFonts w:ascii="Calibri" w:hAnsi="Calibri" w:eastAsia="Noto Sans TC Thin"/>
          <w:b w:val="0"/>
          <w:i w:val="0"/>
          <w:color w:val="18304A"/>
          <w:sz w:val="22"/>
        </w:rPr>
        <w:t>Put 2 m, 7 mm and 70 µm in ascending order.</w:t>
      </w:r>
    </w:p>
    <w:p>
      <w:pPr>
        <w:pStyle w:val="ListNumber"/>
        <w:keepNext w:val="0"/>
        <w:spacing w:before="0" w:after="80" w:line="300" w:lineRule="auto"/>
        <w:ind w:left="540" w:hanging="271"/>
      </w:pPr>
      <w:r>
        <w:rPr>
          <w:rFonts w:ascii="Calibri" w:hAnsi="Calibri" w:eastAsia="Noto Sans TC Thin"/>
          <w:b w:val="0"/>
          <w:i w:val="0"/>
          <w:color w:val="18304A"/>
          <w:sz w:val="22"/>
        </w:rPr>
        <w:t>Complete: 24.5 mm = ______ m = ______ x 10^______ m.</w:t>
      </w:r>
    </w:p>
    <w:p>
      <w:pPr>
        <w:pStyle w:val="ListNumber"/>
        <w:keepNext w:val="0"/>
        <w:spacing w:before="0" w:after="80" w:line="300" w:lineRule="auto"/>
        <w:ind w:left="540" w:hanging="271"/>
      </w:pPr>
      <w:r>
        <w:rPr>
          <w:rFonts w:ascii="Calibri" w:hAnsi="Calibri" w:eastAsia="Noto Sans TC Thin"/>
          <w:b w:val="0"/>
          <w:i w:val="0"/>
          <w:color w:val="18304A"/>
          <w:sz w:val="22"/>
        </w:rPr>
        <w:t>Explain why metre belongs at 10^0 on the scale and why m alone is not a prefix.</w:t>
      </w:r>
    </w:p>
    <w:p>
      <w:pPr>
        <w:keepNext w:val="0"/>
        <w:spacing w:before="0" w:after="120" w:line="300" w:lineRule="auto"/>
        <w:jc w:val="left"/>
      </w:pPr>
      <w:r>
        <w:rPr>
          <w:rFonts w:ascii="Calibri" w:hAnsi="Calibri" w:eastAsia="Noto Sans TC Thin"/>
          <w:b/>
          <w:i/>
          <w:color w:val="64748B"/>
          <w:sz w:val="19"/>
        </w:rPr>
        <w:t>Suggested answers: 70 µm &lt; 7 mm &lt; 2 m; 24.5 mm = 0.0245 m = 2.45 x 10^-2 m; 10^0 = 1, so one base metre has no prefix.</w:t>
      </w:r>
    </w:p>
    <w:p>
      <w:pPr>
        <w:pStyle w:val="Heading2"/>
      </w:pPr>
      <w:r>
        <w:t>Pilot feedback to collect</w:t>
      </w:r>
    </w:p>
    <w:p>
      <w:pPr>
        <w:pStyle w:val="ListBullet"/>
        <w:keepNext w:val="0"/>
        <w:spacing w:before="0" w:after="80" w:line="300" w:lineRule="auto"/>
        <w:ind w:left="540" w:hanging="271"/>
      </w:pPr>
      <w:r>
        <w:rPr>
          <w:rFonts w:ascii="Calibri" w:hAnsi="Calibri" w:eastAsia="Noto Sans TC Thin"/>
          <w:b w:val="0"/>
          <w:i w:val="0"/>
          <w:color w:val="18304A"/>
          <w:sz w:val="22"/>
        </w:rPr>
        <w:t>Which object comparison felt easiest and which felt least believable?</w:t>
      </w:r>
    </w:p>
    <w:p>
      <w:pPr>
        <w:pStyle w:val="ListBullet"/>
        <w:keepNext w:val="0"/>
        <w:spacing w:before="0" w:after="80" w:line="300" w:lineRule="auto"/>
        <w:ind w:left="540" w:hanging="271"/>
      </w:pPr>
      <w:r>
        <w:rPr>
          <w:rFonts w:ascii="Calibri" w:hAnsi="Calibri" w:eastAsia="Noto Sans TC Thin"/>
          <w:b w:val="0"/>
          <w:i w:val="0"/>
          <w:color w:val="18304A"/>
          <w:sz w:val="22"/>
        </w:rPr>
        <w:t>At which mission did students begin using powers of ten independently?</w:t>
      </w:r>
    </w:p>
    <w:p>
      <w:pPr>
        <w:pStyle w:val="ListBullet"/>
        <w:keepNext w:val="0"/>
        <w:spacing w:before="0" w:after="80" w:line="300" w:lineRule="auto"/>
        <w:ind w:left="540" w:hanging="271"/>
      </w:pPr>
      <w:r>
        <w:rPr>
          <w:rFonts w:ascii="Calibri" w:hAnsi="Calibri" w:eastAsia="Noto Sans TC Thin"/>
          <w:b w:val="0"/>
          <w:i w:val="0"/>
          <w:color w:val="18304A"/>
          <w:sz w:val="22"/>
        </w:rPr>
        <w:t>Did students confuse metre m, milli m and mega M after the lesson?</w:t>
      </w:r>
    </w:p>
    <w:p>
      <w:pPr>
        <w:pStyle w:val="ListBullet"/>
        <w:keepNext w:val="0"/>
        <w:spacing w:before="0" w:after="80" w:line="300" w:lineRule="auto"/>
        <w:ind w:left="540" w:hanging="271"/>
      </w:pPr>
      <w:r>
        <w:rPr>
          <w:rFonts w:ascii="Calibri" w:hAnsi="Calibri" w:eastAsia="Noto Sans TC Thin"/>
          <w:b w:val="0"/>
          <w:i w:val="0"/>
          <w:color w:val="18304A"/>
          <w:sz w:val="22"/>
        </w:rPr>
        <w:t>Were any controls difficult on the actual school laptops or iPads?</w:t>
      </w:r>
    </w:p>
    <w:p>
      <w:pPr>
        <w:pStyle w:val="ListBullet"/>
        <w:keepNext w:val="0"/>
        <w:spacing w:before="0" w:after="80" w:line="300" w:lineRule="auto"/>
        <w:ind w:left="540" w:hanging="271"/>
      </w:pPr>
      <w:r>
        <w:rPr>
          <w:rFonts w:ascii="Calibri" w:hAnsi="Calibri" w:eastAsia="Noto Sans TC Thin"/>
          <w:b w:val="0"/>
          <w:i w:val="0"/>
          <w:color w:val="18304A"/>
          <w:sz w:val="22"/>
        </w:rPr>
        <w:t>Was 15-20 minutes realistic for your class? Record the actual time.</w:t>
      </w:r>
    </w:p>
    <w:p>
      <w:pPr>
        <w:pStyle w:val="Heading2"/>
      </w:pPr>
      <w:r>
        <w:t>Sharing with colleagues</w:t>
      </w:r>
    </w:p>
    <w:p>
      <w:pPr>
        <w:pStyle w:val="ListNumber"/>
        <w:keepNext w:val="0"/>
        <w:spacing w:before="0" w:after="80" w:line="300" w:lineRule="auto"/>
        <w:ind w:left="540" w:hanging="271"/>
      </w:pPr>
      <w:r>
        <w:rPr>
          <w:rFonts w:ascii="Calibri" w:hAnsi="Calibri" w:eastAsia="Noto Sans TC Thin"/>
          <w:b w:val="0"/>
          <w:i w:val="0"/>
          <w:color w:val="18304A"/>
          <w:sz w:val="22"/>
        </w:rPr>
        <w:t>Pilot the private version with one class and collect the feedback above.</w:t>
      </w:r>
    </w:p>
    <w:p>
      <w:pPr>
        <w:pStyle w:val="ListNumber"/>
        <w:keepNext w:val="0"/>
        <w:spacing w:before="0" w:after="80" w:line="300" w:lineRule="auto"/>
        <w:ind w:left="540" w:hanging="271"/>
      </w:pPr>
      <w:r>
        <w:rPr>
          <w:rFonts w:ascii="Calibri" w:hAnsi="Calibri" w:eastAsia="Noto Sans TC Thin"/>
          <w:b w:val="0"/>
          <w:i w:val="0"/>
          <w:color w:val="18304A"/>
          <w:sz w:val="22"/>
        </w:rPr>
        <w:t>When ready, change the site from owner-only to public link access. Until then, colleagues cannot open the current private URL.</w:t>
      </w:r>
    </w:p>
    <w:p>
      <w:pPr>
        <w:pStyle w:val="ListNumber"/>
        <w:keepNext w:val="0"/>
        <w:spacing w:before="0" w:after="80" w:line="300" w:lineRule="auto"/>
        <w:ind w:left="540" w:hanging="271"/>
      </w:pPr>
      <w:r>
        <w:rPr>
          <w:rFonts w:ascii="Calibri" w:hAnsi="Calibri" w:eastAsia="Noto Sans TC Thin"/>
          <w:b w:val="0"/>
          <w:i w:val="0"/>
          <w:color w:val="18304A"/>
          <w:sz w:val="22"/>
        </w:rPr>
        <w:t>Share two items together: the game link and this Teacher Guide. Tell colleagues that no student login is required and progress stays on the device.</w:t>
      </w:r>
    </w:p>
    <w:p>
      <w:pPr>
        <w:pStyle w:val="ListNumber"/>
        <w:keepNext w:val="0"/>
        <w:spacing w:before="0" w:after="80" w:line="300" w:lineRule="auto"/>
        <w:ind w:left="540" w:hanging="271"/>
      </w:pPr>
      <w:r>
        <w:rPr>
          <w:rFonts w:ascii="Calibri" w:hAnsi="Calibri" w:eastAsia="Noto Sans TC Thin"/>
          <w:b w:val="0"/>
          <w:i w:val="0"/>
          <w:color w:val="18304A"/>
          <w:sz w:val="22"/>
        </w:rPr>
        <w:t>Invite colleagues to test one full mission sequence before using Sprint or opening all missions.</w:t>
      </w:r>
    </w:p>
    <w:p>
      <w:pPr>
        <w:pStyle w:val="ListNumber"/>
        <w:keepNext w:val="0"/>
        <w:spacing w:before="0" w:after="80" w:line="300" w:lineRule="auto"/>
        <w:ind w:left="540" w:hanging="271"/>
      </w:pPr>
      <w:r>
        <w:rPr>
          <w:rFonts w:ascii="Calibri" w:hAnsi="Calibri" w:eastAsia="Noto Sans TC Thin"/>
          <w:b w:val="0"/>
          <w:i w:val="0"/>
          <w:color w:val="18304A"/>
          <w:sz w:val="22"/>
        </w:rPr>
        <w:t>Use a short version label and date when circulating updates so staff know which release they tested.</w:t>
      </w:r>
    </w:p>
    <w:p>
      <w:pPr>
        <w:keepNext w:val="0"/>
        <w:spacing w:before="100" w:after="160" w:line="288" w:lineRule="auto"/>
        <w:ind w:left="259" w:right="259"/>
        <w:shd w:fill="FFE4D8"/>
        <w:pBdr>
          <w:left w:val="single" w:sz="22" w:space="8" w:color="D94131"/>
        </w:pBdr>
      </w:pPr>
      <w:r>
        <w:rPr>
          <w:rFonts w:ascii="Calibri" w:hAnsi="Calibri" w:eastAsia="Noto Sans TC Thin"/>
          <w:b/>
          <w:i w:val="0"/>
          <w:color w:val="D94131"/>
          <w:sz w:val="21"/>
        </w:rPr>
        <w:t xml:space="preserve">RECOMMENDED MESSAGE  </w:t>
      </w:r>
      <w:r>
        <w:rPr>
          <w:rFonts w:ascii="Calibri" w:hAnsi="Calibri" w:eastAsia="Noto Sans TC Thin"/>
          <w:b w:val="0"/>
          <w:i w:val="0"/>
          <w:color w:val="18304A"/>
          <w:sz w:val="21"/>
        </w:rPr>
        <w:t>I am piloting Scale Quest, a bilingual 15-20 minute science game on length scales and SI prefixes. Please try the five guided missions before the optional Sprint, then send me one strength, one confusing point and your device type.</w:t>
      </w:r>
    </w:p>
    <w:p>
      <w:pPr>
        <w:keepNext w:val="0"/>
        <w:spacing w:before="0" w:after="120" w:line="300" w:lineRule="auto"/>
        <w:jc w:val="left"/>
      </w:pPr>
      <w:r>
        <w:rPr>
          <w:rFonts w:ascii="Calibri" w:hAnsi="Calibri" w:eastAsia="Noto Sans TC Thin"/>
          <w:b/>
          <w:i w:val="0"/>
          <w:color w:val="18304A"/>
          <w:sz w:val="21"/>
        </w:rPr>
        <w:t xml:space="preserve">Current game link: </w:t>
      </w:r>
      <w:hyperlink r:id="rId11">
        <w:r>
          <w:rPr>
            <w:rFonts w:ascii="Calibri" w:hAnsi="Calibri"/>
            <w:color w:val="087F78"/>
            <w:u w:val="single"/>
          </w:rPr>
          <w:t>https://scale-quest-hk.ym03chan.chatgpt.site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Noto Sans TC Thin"/>
        <w:b w:val="0"/>
        <w:i w:val="0"/>
        <w:color w:val="64748B"/>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Bdr>
        <w:bottom w:val="single" w:sz="8" w:space="4" w:color="BEDBD6"/>
      </w:pBdr>
    </w:pPr>
    <w:r>
      <w:rPr>
        <w:rFonts w:ascii="Calibri" w:hAnsi="Calibri" w:eastAsia="Noto Sans TC Thin"/>
        <w:b/>
        <w:i w:val="0"/>
        <w:color w:val="64748B"/>
        <w:sz w:val="17"/>
      </w:rPr>
      <w:t>SCALE QUEST  |  TEACHER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Noto Sans TC Thin"/>
      <w:color w:val="1830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Noto Sans TC Thin"/>
      <w:b/>
      <w:bCs/>
      <w:color w:val="087F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Noto Sans TC Thin"/>
      <w:b/>
      <w:bCs/>
      <w:color w:val="18304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Noto Sans TC Thin"/>
      <w:b/>
      <w:bCs/>
      <w:color w:val="294A6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ale-quest-hk.ym03chan.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 Quest Teacher Guide</dc:title>
  <dc:subject>Classroom implementation guide for Scale Quest: From Atoms to Space</dc:subject>
  <dc:creator>Scale Quest Education Project</dc:creator>
  <cp:keywords>SI prefixes, scale sense, physics education, Hong Kong, bilingual game</cp:keywords>
  <dc:description>generated by python-docx</dc:description>
  <cp:lastModifiedBy/>
  <cp:revision>1</cp:revision>
  <dcterms:created xsi:type="dcterms:W3CDTF">2013-12-23T23:15:00Z</dcterms:created>
  <dcterms:modified xsi:type="dcterms:W3CDTF">2013-12-23T23:15:00Z</dcterms:modified>
  <cp:category/>
</cp:coreProperties>
</file>