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CORA Chatbot Topic Flows</w:t>
      </w:r>
    </w:p>
    <w:p>
      <w:r>
        <w:drawing>
          <wp:inline xmlns:a="http://schemas.openxmlformats.org/drawingml/2006/main" xmlns:pic="http://schemas.openxmlformats.org/drawingml/2006/picture">
            <wp:extent cx="5943600" cy="5943600"/>
            <wp:docPr id="1" name="Picture 1"/>
            <wp:cNvGraphicFramePr>
              <a:graphicFrameLocks noChangeAspect="1"/>
            </wp:cNvGraphicFramePr>
            <a:graphic>
              <a:graphicData uri="http://schemas.openxmlformats.org/drawingml/2006/picture">
                <pic:pic>
                  <pic:nvPicPr>
                    <pic:cNvPr id="0" name="A_PowerPoint_slide_contains_flowcharts_depicting_v.png"/>
                    <pic:cNvPicPr/>
                  </pic:nvPicPr>
                  <pic:blipFill>
                    <a:blip r:embed="rId9"/>
                    <a:stretch>
                      <a:fillRect/>
                    </a:stretch>
                  </pic:blipFill>
                  <pic:spPr>
                    <a:xfrm>
                      <a:off x="0" y="0"/>
                      <a:ext cx="5943600" cy="5943600"/>
                    </a:xfrm>
                    <a:prstGeom prst="rect"/>
                  </pic:spPr>
                </pic:pic>
              </a:graphicData>
            </a:graphic>
          </wp:inline>
        </w:drawing>
      </w:r>
    </w:p>
    <w:p>
      <w:r>
        <w:t>Each flowchart represents a topic configured in the CORA chatbot prototype, including Greeting, Fallback, End of Conversation, Start Over, and others. These visual flows help communicate the logic and interactions built in Microsoft Copilot Studio.</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