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CB9" w:rsidRPr="00B12CB9" w:rsidRDefault="00B12CB9" w:rsidP="00B12CB9">
      <w:pPr>
        <w:shd w:val="clear" w:color="auto" w:fill="FFFFFF"/>
        <w:spacing w:before="240" w:after="120" w:line="324" w:lineRule="atLeast"/>
        <w:outlineLvl w:val="0"/>
        <w:rPr>
          <w:rFonts w:ascii="Arial" w:eastAsia="Times New Roman" w:hAnsi="Arial" w:cs="Arial"/>
          <w:vanish/>
          <w:color w:val="000000"/>
          <w:kern w:val="36"/>
          <w:sz w:val="29"/>
          <w:szCs w:val="29"/>
          <w:lang/>
        </w:rPr>
      </w:pPr>
      <w:r w:rsidRPr="00B12CB9">
        <w:rPr>
          <w:rFonts w:ascii="Arial" w:eastAsia="Times New Roman" w:hAnsi="Arial" w:cs="Arial"/>
          <w:vanish/>
          <w:color w:val="000000"/>
          <w:kern w:val="36"/>
          <w:sz w:val="29"/>
          <w:szCs w:val="29"/>
          <w:lang/>
        </w:rPr>
        <w:t>Predicting Patients with High Risk of Becoming High-Cost Healthcare Users in Ontario (Canada)</w:t>
      </w:r>
    </w:p>
    <w:p w:rsidR="00B12CB9" w:rsidRPr="00B12CB9" w:rsidRDefault="00B12CB9" w:rsidP="00B12CB9">
      <w:pPr>
        <w:shd w:val="clear" w:color="auto" w:fill="FFFFFF"/>
        <w:spacing w:line="240" w:lineRule="auto"/>
        <w:rPr>
          <w:rFonts w:ascii="Arial" w:eastAsia="Times New Roman" w:hAnsi="Arial" w:cs="Arial"/>
          <w:color w:val="000000"/>
          <w:sz w:val="19"/>
          <w:szCs w:val="19"/>
        </w:rPr>
      </w:pPr>
      <w:hyperlink r:id="rId5" w:history="1">
        <w:r w:rsidRPr="00B12CB9">
          <w:rPr>
            <w:rFonts w:ascii="Arial" w:eastAsia="Times New Roman" w:hAnsi="Arial" w:cs="Arial"/>
            <w:color w:val="642A8F"/>
            <w:sz w:val="19"/>
            <w:u w:val="single"/>
          </w:rPr>
          <w:t>Yuriy Chechulin</w:t>
        </w:r>
      </w:hyperlink>
      <w:r w:rsidRPr="00B12CB9">
        <w:rPr>
          <w:rFonts w:ascii="Arial" w:eastAsia="Times New Roman" w:hAnsi="Arial" w:cs="Arial"/>
          <w:color w:val="000000"/>
          <w:sz w:val="19"/>
          <w:szCs w:val="19"/>
        </w:rPr>
        <w:t>, MPH, MD, </w:t>
      </w:r>
      <w:hyperlink r:id="rId6" w:history="1">
        <w:r w:rsidRPr="00B12CB9">
          <w:rPr>
            <w:rFonts w:ascii="Arial" w:eastAsia="Times New Roman" w:hAnsi="Arial" w:cs="Arial"/>
            <w:color w:val="642A8F"/>
            <w:sz w:val="19"/>
            <w:u w:val="single"/>
          </w:rPr>
          <w:t>Amir Nazerian</w:t>
        </w:r>
      </w:hyperlink>
      <w:r w:rsidRPr="00B12CB9">
        <w:rPr>
          <w:rFonts w:ascii="Arial" w:eastAsia="Times New Roman" w:hAnsi="Arial" w:cs="Arial"/>
          <w:color w:val="000000"/>
          <w:sz w:val="19"/>
          <w:szCs w:val="19"/>
        </w:rPr>
        <w:t>, MSc, </w:t>
      </w:r>
      <w:hyperlink r:id="rId7" w:history="1">
        <w:r w:rsidRPr="00B12CB9">
          <w:rPr>
            <w:rFonts w:ascii="Arial" w:eastAsia="Times New Roman" w:hAnsi="Arial" w:cs="Arial"/>
            <w:color w:val="642A8F"/>
            <w:sz w:val="19"/>
            <w:u w:val="single"/>
          </w:rPr>
          <w:t>Saad Rais</w:t>
        </w:r>
      </w:hyperlink>
      <w:r w:rsidRPr="00B12CB9">
        <w:rPr>
          <w:rFonts w:ascii="Arial" w:eastAsia="Times New Roman" w:hAnsi="Arial" w:cs="Arial"/>
          <w:color w:val="000000"/>
          <w:sz w:val="19"/>
          <w:szCs w:val="19"/>
        </w:rPr>
        <w:t>, MSc, and </w:t>
      </w:r>
      <w:hyperlink r:id="rId8" w:history="1">
        <w:r w:rsidRPr="00B12CB9">
          <w:rPr>
            <w:rFonts w:ascii="Arial" w:eastAsia="Times New Roman" w:hAnsi="Arial" w:cs="Arial"/>
            <w:color w:val="642A8F"/>
            <w:sz w:val="19"/>
            <w:u w:val="single"/>
          </w:rPr>
          <w:t>Kamil Malikov</w:t>
        </w:r>
      </w:hyperlink>
      <w:r w:rsidRPr="00B12CB9">
        <w:rPr>
          <w:rFonts w:ascii="Arial" w:eastAsia="Times New Roman" w:hAnsi="Arial" w:cs="Arial"/>
          <w:color w:val="000000"/>
          <w:sz w:val="19"/>
          <w:szCs w:val="19"/>
        </w:rPr>
        <w:t>, CMA, MBA, MD</w:t>
      </w:r>
    </w:p>
    <w:p w:rsidR="00B12CB9" w:rsidRPr="00B12CB9" w:rsidRDefault="00B12CB9" w:rsidP="00B12CB9">
      <w:pPr>
        <w:shd w:val="clear" w:color="auto" w:fill="FFFFFF"/>
        <w:spacing w:line="393" w:lineRule="atLeast"/>
        <w:rPr>
          <w:rFonts w:ascii="Arial" w:eastAsia="Times New Roman" w:hAnsi="Arial" w:cs="Arial"/>
          <w:color w:val="000000"/>
          <w:sz w:val="16"/>
          <w:szCs w:val="16"/>
        </w:rPr>
      </w:pPr>
      <w:hyperlink r:id="rId9" w:history="1">
        <w:r w:rsidRPr="00B12CB9">
          <w:rPr>
            <w:rFonts w:ascii="Arial" w:eastAsia="Times New Roman" w:hAnsi="Arial" w:cs="Arial"/>
            <w:color w:val="642A8F"/>
            <w:sz w:val="16"/>
            <w:u w:val="single"/>
          </w:rPr>
          <w:t>Author information</w:t>
        </w:r>
      </w:hyperlink>
      <w:r w:rsidRPr="00B12CB9">
        <w:rPr>
          <w:rFonts w:ascii="Arial" w:eastAsia="Times New Roman" w:hAnsi="Arial" w:cs="Arial"/>
          <w:color w:val="000000"/>
          <w:sz w:val="16"/>
          <w:szCs w:val="16"/>
        </w:rPr>
        <w:t> </w:t>
      </w:r>
      <w:hyperlink r:id="rId10" w:history="1">
        <w:r w:rsidRPr="00B12CB9">
          <w:rPr>
            <w:rFonts w:ascii="Arial" w:eastAsia="Times New Roman" w:hAnsi="Arial" w:cs="Arial"/>
            <w:color w:val="642A8F"/>
            <w:sz w:val="16"/>
            <w:u w:val="single"/>
          </w:rPr>
          <w:t>Copyright and License information</w:t>
        </w:r>
      </w:hyperlink>
      <w:r w:rsidRPr="00B12CB9">
        <w:rPr>
          <w:rFonts w:ascii="Arial" w:eastAsia="Times New Roman" w:hAnsi="Arial" w:cs="Arial"/>
          <w:color w:val="000000"/>
          <w:sz w:val="16"/>
          <w:szCs w:val="16"/>
        </w:rPr>
        <w:t> </w:t>
      </w:r>
      <w:hyperlink r:id="rId11" w:history="1">
        <w:r w:rsidRPr="00B12CB9">
          <w:rPr>
            <w:rFonts w:ascii="Arial" w:eastAsia="Times New Roman" w:hAnsi="Arial" w:cs="Arial"/>
            <w:color w:val="642A8F"/>
            <w:sz w:val="16"/>
            <w:u w:val="single"/>
          </w:rPr>
          <w:t>Disclaimer</w:t>
        </w:r>
      </w:hyperlink>
    </w:p>
    <w:p w:rsidR="00B12CB9" w:rsidRPr="00B12CB9" w:rsidRDefault="00B12CB9" w:rsidP="00B12CB9">
      <w:pPr>
        <w:shd w:val="clear" w:color="auto" w:fill="FFF4CE"/>
        <w:spacing w:line="393" w:lineRule="atLeast"/>
        <w:rPr>
          <w:rFonts w:ascii="Arial" w:eastAsia="Times New Roman" w:hAnsi="Arial" w:cs="Arial"/>
          <w:color w:val="000000"/>
          <w:sz w:val="16"/>
          <w:szCs w:val="16"/>
        </w:rPr>
      </w:pPr>
      <w:r w:rsidRPr="00B12CB9">
        <w:rPr>
          <w:rFonts w:ascii="Arial" w:eastAsia="Times New Roman" w:hAnsi="Arial" w:cs="Arial"/>
          <w:color w:val="000000"/>
          <w:sz w:val="16"/>
          <w:szCs w:val="16"/>
        </w:rPr>
        <w:t>This article has been </w:t>
      </w:r>
      <w:hyperlink r:id="rId12" w:history="1">
        <w:r w:rsidRPr="00B12CB9">
          <w:rPr>
            <w:rFonts w:ascii="Arial" w:eastAsia="Times New Roman" w:hAnsi="Arial" w:cs="Arial"/>
            <w:color w:val="642A8F"/>
            <w:sz w:val="16"/>
            <w:u w:val="single"/>
          </w:rPr>
          <w:t>cited by</w:t>
        </w:r>
      </w:hyperlink>
      <w:r w:rsidRPr="00B12CB9">
        <w:rPr>
          <w:rFonts w:ascii="Arial" w:eastAsia="Times New Roman" w:hAnsi="Arial" w:cs="Arial"/>
          <w:color w:val="000000"/>
          <w:sz w:val="16"/>
          <w:szCs w:val="16"/>
        </w:rPr>
        <w:t> other articles in PMC.</w:t>
      </w:r>
    </w:p>
    <w:p w:rsidR="00B12CB9" w:rsidRPr="00B12CB9" w:rsidRDefault="00B12CB9" w:rsidP="00B12CB9">
      <w:pPr>
        <w:shd w:val="clear" w:color="auto" w:fill="FFFFFF"/>
        <w:spacing w:after="0" w:line="240" w:lineRule="auto"/>
        <w:jc w:val="right"/>
        <w:rPr>
          <w:rFonts w:ascii="Arial" w:eastAsia="Times New Roman" w:hAnsi="Arial" w:cs="Arial"/>
          <w:vanish/>
          <w:color w:val="000000"/>
          <w:sz w:val="24"/>
          <w:szCs w:val="24"/>
          <w:lang/>
        </w:rPr>
      </w:pPr>
      <w:hyperlink r:id="rId13" w:tooltip="Go to other sections in this page" w:history="1">
        <w:r w:rsidRPr="00B12CB9">
          <w:rPr>
            <w:rFonts w:ascii="Arial" w:eastAsia="Times New Roman" w:hAnsi="Arial" w:cs="Arial"/>
            <w:vanish/>
            <w:color w:val="642A8F"/>
            <w:sz w:val="24"/>
            <w:szCs w:val="24"/>
            <w:u w:val="single"/>
            <w:lang/>
          </w:rPr>
          <w:t>Go to:</w:t>
        </w:r>
      </w:hyperlink>
    </w:p>
    <w:p w:rsidR="00B12CB9" w:rsidRPr="00B12CB9" w:rsidRDefault="00B12CB9" w:rsidP="00B12CB9">
      <w:pPr>
        <w:pBdr>
          <w:bottom w:val="single" w:sz="6" w:space="0" w:color="97B0C8"/>
        </w:pBdr>
        <w:shd w:val="clear" w:color="auto" w:fill="FFFFFF"/>
        <w:spacing w:before="270" w:after="0" w:line="267" w:lineRule="atLeast"/>
        <w:outlineLvl w:val="1"/>
        <w:rPr>
          <w:rFonts w:ascii="Arial" w:eastAsia="Times New Roman" w:hAnsi="Arial" w:cs="Arial"/>
          <w:color w:val="985735"/>
          <w:sz w:val="27"/>
          <w:szCs w:val="27"/>
          <w:lang/>
        </w:rPr>
      </w:pPr>
      <w:r w:rsidRPr="00B12CB9">
        <w:rPr>
          <w:rFonts w:ascii="Arial" w:eastAsia="Times New Roman" w:hAnsi="Arial" w:cs="Arial"/>
          <w:color w:val="985735"/>
          <w:sz w:val="27"/>
          <w:szCs w:val="27"/>
          <w:lang/>
        </w:rPr>
        <w:t>Abstract</w:t>
      </w:r>
    </w:p>
    <w:p w:rsidR="00B12CB9" w:rsidRPr="00B12CB9" w:rsidRDefault="00B12CB9" w:rsidP="00B12CB9">
      <w:pPr>
        <w:shd w:val="clear" w:color="auto" w:fill="FFFFFF"/>
        <w:spacing w:before="166" w:after="166" w:line="240" w:lineRule="auto"/>
        <w:rPr>
          <w:rFonts w:ascii="Times New Roman" w:eastAsia="Times New Roman" w:hAnsi="Times New Roman" w:cs="Times New Roman"/>
          <w:vanish/>
          <w:color w:val="000000"/>
          <w:sz w:val="24"/>
          <w:szCs w:val="24"/>
          <w:lang/>
        </w:rPr>
      </w:pPr>
      <w:r w:rsidRPr="00B12CB9">
        <w:rPr>
          <w:rFonts w:ascii="Times New Roman" w:eastAsia="Times New Roman" w:hAnsi="Times New Roman" w:cs="Times New Roman"/>
          <w:vanish/>
          <w:color w:val="000000"/>
          <w:sz w:val="24"/>
          <w:szCs w:val="24"/>
          <w:lang/>
        </w:rPr>
        <w:t>Literature and original analysis of healthcare costs have shown that a small proportion of patients consume the majority of healthcare resources. A proactive approach is to target interventions towards those patients who are at risk of becoming high-cost users (HCUs). This approach requires identifying high-risk patients accurately before substantial avoidable costs have been incurred and health status has deteriorated further. We developed a predictive model to identify patients at risk of becoming HCUs in Ontario. HCUs were defined as the top 5% of patients incurring the highest costs. Information was collected on various demographic and utilization characteristics. The modelling technique used was logistic regression. If the top 5% of patients at risk of becoming HCUs are followed, the sensitivity is 42.2% and specificity is 97%. Alternatives for implementation of the model include collaboration between different levels of healthcare services for personalized healthcare interventions and interventions addressing needs of patient cohorts with high-cost conditions.</w:t>
      </w:r>
    </w:p>
    <w:p w:rsidR="00B12CB9" w:rsidRPr="00B12CB9" w:rsidRDefault="00B12CB9" w:rsidP="00B12CB9">
      <w:pPr>
        <w:shd w:val="clear" w:color="auto" w:fill="FFFFFF"/>
        <w:spacing w:after="166" w:line="240" w:lineRule="auto"/>
        <w:rPr>
          <w:rFonts w:ascii="Times New Roman" w:eastAsia="Times New Roman" w:hAnsi="Times New Roman" w:cs="Times New Roman"/>
          <w:color w:val="000000"/>
          <w:sz w:val="24"/>
          <w:szCs w:val="24"/>
        </w:rPr>
      </w:pPr>
      <w:r w:rsidRPr="00B12CB9">
        <w:rPr>
          <w:rFonts w:ascii="Times New Roman" w:eastAsia="Times New Roman" w:hAnsi="Times New Roman" w:cs="Times New Roman"/>
          <w:color w:val="000000"/>
          <w:sz w:val="24"/>
          <w:szCs w:val="24"/>
        </w:rPr>
        <w:t>Literature from different jurisdictions has shown that a relatively small proportion of patients consume the majority of healthcare resources. In Ontario, for example, 5% of healthcare users consumed 61% of hospital and home care spending (</w:t>
      </w:r>
      <w:hyperlink r:id="rId14" w:anchor="R16" w:history="1">
        <w:r w:rsidRPr="00B12CB9">
          <w:rPr>
            <w:rFonts w:ascii="Times New Roman" w:eastAsia="Times New Roman" w:hAnsi="Times New Roman" w:cs="Times New Roman"/>
            <w:color w:val="642A8F"/>
            <w:sz w:val="24"/>
            <w:szCs w:val="24"/>
            <w:u w:val="single"/>
          </w:rPr>
          <w:t>Rais et al. 2013</w:t>
        </w:r>
      </w:hyperlink>
      <w:r w:rsidRPr="00B12CB9">
        <w:rPr>
          <w:rFonts w:ascii="Times New Roman" w:eastAsia="Times New Roman" w:hAnsi="Times New Roman" w:cs="Times New Roman"/>
          <w:color w:val="000000"/>
          <w:sz w:val="24"/>
          <w:szCs w:val="24"/>
        </w:rPr>
        <w:t>). A study of physician services utilization in British Columbia found that 5% of healthcare users consumed 30% of spending on physician services (</w:t>
      </w:r>
      <w:hyperlink r:id="rId15" w:anchor="R17" w:history="1">
        <w:r w:rsidRPr="00B12CB9">
          <w:rPr>
            <w:rFonts w:ascii="Times New Roman" w:eastAsia="Times New Roman" w:hAnsi="Times New Roman" w:cs="Times New Roman"/>
            <w:color w:val="642A8F"/>
            <w:sz w:val="24"/>
            <w:szCs w:val="24"/>
            <w:u w:val="single"/>
          </w:rPr>
          <w:t>Reid et al. 2003</w:t>
        </w:r>
      </w:hyperlink>
      <w:r w:rsidRPr="00B12CB9">
        <w:rPr>
          <w:rFonts w:ascii="Times New Roman" w:eastAsia="Times New Roman" w:hAnsi="Times New Roman" w:cs="Times New Roman"/>
          <w:color w:val="000000"/>
          <w:sz w:val="24"/>
          <w:szCs w:val="24"/>
        </w:rPr>
        <w:t>). In Manitoba, 5% of prescription drug users accounted for 41% of prescription expenditures (</w:t>
      </w:r>
      <w:hyperlink r:id="rId16" w:anchor="R12" w:history="1">
        <w:r w:rsidRPr="00B12CB9">
          <w:rPr>
            <w:rFonts w:ascii="Times New Roman" w:eastAsia="Times New Roman" w:hAnsi="Times New Roman" w:cs="Times New Roman"/>
            <w:color w:val="642A8F"/>
            <w:sz w:val="24"/>
            <w:szCs w:val="24"/>
            <w:u w:val="single"/>
          </w:rPr>
          <w:t>Kozyrskyj et al. 2005</w:t>
        </w:r>
      </w:hyperlink>
      <w:r w:rsidRPr="00B12CB9">
        <w:rPr>
          <w:rFonts w:ascii="Times New Roman" w:eastAsia="Times New Roman" w:hAnsi="Times New Roman" w:cs="Times New Roman"/>
          <w:color w:val="000000"/>
          <w:sz w:val="24"/>
          <w:szCs w:val="24"/>
        </w:rPr>
        <w:t>). In Australia, high-cost users (HCUs) accounted for 38% of both in-patient costs and in-patient days (</w:t>
      </w:r>
      <w:hyperlink r:id="rId17" w:anchor="R5" w:history="1">
        <w:r w:rsidRPr="00B12CB9">
          <w:rPr>
            <w:rFonts w:ascii="Times New Roman" w:eastAsia="Times New Roman" w:hAnsi="Times New Roman" w:cs="Times New Roman"/>
            <w:color w:val="642A8F"/>
            <w:sz w:val="24"/>
            <w:szCs w:val="24"/>
            <w:u w:val="single"/>
          </w:rPr>
          <w:t>Calver et al. 2006</w:t>
        </w:r>
      </w:hyperlink>
      <w:r w:rsidRPr="00B12CB9">
        <w:rPr>
          <w:rFonts w:ascii="Times New Roman" w:eastAsia="Times New Roman" w:hAnsi="Times New Roman" w:cs="Times New Roman"/>
          <w:color w:val="000000"/>
          <w:sz w:val="24"/>
          <w:szCs w:val="24"/>
        </w:rPr>
        <w:t>). US data from the Arizona Health Care Cost Containment System showed that 10% of patients accounted for two-thirds of health-care costs (</w:t>
      </w:r>
      <w:hyperlink r:id="rId18" w:anchor="R14" w:history="1">
        <w:r w:rsidRPr="00B12CB9">
          <w:rPr>
            <w:rFonts w:ascii="Times New Roman" w:eastAsia="Times New Roman" w:hAnsi="Times New Roman" w:cs="Times New Roman"/>
            <w:color w:val="642A8F"/>
            <w:sz w:val="24"/>
            <w:szCs w:val="24"/>
            <w:u w:val="single"/>
          </w:rPr>
          <w:t>Moturu et al. 2010</w:t>
        </w:r>
      </w:hyperlink>
      <w:r w:rsidRPr="00B12CB9">
        <w:rPr>
          <w:rFonts w:ascii="Times New Roman" w:eastAsia="Times New Roman" w:hAnsi="Times New Roman" w:cs="Times New Roman"/>
          <w:color w:val="000000"/>
          <w:sz w:val="24"/>
          <w:szCs w:val="24"/>
        </w:rPr>
        <w:t>). Another study in the United States looking at healthcare expenditures from 1928 through 1996 found that the top 5% of HCUs accounted for more than half of health spending in both 1987 and 1996, while the top 10% accounted for about 70% of all healthcare spending (</w:t>
      </w:r>
      <w:hyperlink r:id="rId19" w:anchor="R2" w:history="1">
        <w:r w:rsidRPr="00B12CB9">
          <w:rPr>
            <w:rFonts w:ascii="Times New Roman" w:eastAsia="Times New Roman" w:hAnsi="Times New Roman" w:cs="Times New Roman"/>
            <w:color w:val="642A8F"/>
            <w:sz w:val="24"/>
            <w:szCs w:val="24"/>
            <w:u w:val="single"/>
          </w:rPr>
          <w:t>Berk and Monheit 2001</w:t>
        </w:r>
      </w:hyperlink>
      <w:r w:rsidRPr="00B12CB9">
        <w:rPr>
          <w:rFonts w:ascii="Times New Roman" w:eastAsia="Times New Roman" w:hAnsi="Times New Roman" w:cs="Times New Roman"/>
          <w:color w:val="000000"/>
          <w:sz w:val="24"/>
          <w:szCs w:val="24"/>
        </w:rPr>
        <w:t>). Yet another US study found that 5% of the population accounted for 49% of total healthcare spending (</w:t>
      </w:r>
      <w:hyperlink r:id="rId20" w:anchor="R6" w:history="1">
        <w:r w:rsidRPr="00B12CB9">
          <w:rPr>
            <w:rFonts w:ascii="Times New Roman" w:eastAsia="Times New Roman" w:hAnsi="Times New Roman" w:cs="Times New Roman"/>
            <w:color w:val="642A8F"/>
            <w:sz w:val="24"/>
            <w:szCs w:val="24"/>
            <w:u w:val="single"/>
          </w:rPr>
          <w:t>Center for Healthcare Research and Transformation 2010</w:t>
        </w:r>
      </w:hyperlink>
      <w:r w:rsidRPr="00B12CB9">
        <w:rPr>
          <w:rFonts w:ascii="Times New Roman" w:eastAsia="Times New Roman" w:hAnsi="Times New Roman" w:cs="Times New Roman"/>
          <w:color w:val="000000"/>
          <w:sz w:val="24"/>
          <w:szCs w:val="24"/>
        </w:rPr>
        <w:t>).</w:t>
      </w:r>
    </w:p>
    <w:p w:rsidR="00B12CB9" w:rsidRPr="00B12CB9" w:rsidRDefault="00B12CB9" w:rsidP="00B12CB9">
      <w:pPr>
        <w:shd w:val="clear" w:color="auto" w:fill="FFFFFF"/>
        <w:spacing w:before="166" w:after="166" w:line="240" w:lineRule="auto"/>
        <w:rPr>
          <w:rFonts w:ascii="Times New Roman" w:eastAsia="Times New Roman" w:hAnsi="Times New Roman" w:cs="Times New Roman"/>
          <w:color w:val="000000"/>
          <w:sz w:val="24"/>
          <w:szCs w:val="24"/>
        </w:rPr>
      </w:pPr>
      <w:r w:rsidRPr="00B12CB9">
        <w:rPr>
          <w:rFonts w:ascii="Times New Roman" w:eastAsia="Times New Roman" w:hAnsi="Times New Roman" w:cs="Times New Roman"/>
          <w:color w:val="000000"/>
          <w:sz w:val="24"/>
          <w:szCs w:val="24"/>
        </w:rPr>
        <w:t>Given the impact of these HCUs of healthcare, interventions directed at them may improve overall patient outcomes and quality of life, and reduce healthcare spending. A report from </w:t>
      </w:r>
      <w:hyperlink r:id="rId21" w:anchor="R19" w:history="1">
        <w:r w:rsidRPr="00B12CB9">
          <w:rPr>
            <w:rFonts w:ascii="Times New Roman" w:eastAsia="Times New Roman" w:hAnsi="Times New Roman" w:cs="Times New Roman"/>
            <w:color w:val="642A8F"/>
            <w:sz w:val="24"/>
            <w:szCs w:val="24"/>
            <w:u w:val="single"/>
          </w:rPr>
          <w:t>The Commonwealth Fund (2012)</w:t>
        </w:r>
      </w:hyperlink>
      <w:r w:rsidRPr="00B12CB9">
        <w:rPr>
          <w:rFonts w:ascii="Times New Roman" w:eastAsia="Times New Roman" w:hAnsi="Times New Roman" w:cs="Times New Roman"/>
          <w:color w:val="000000"/>
          <w:sz w:val="24"/>
          <w:szCs w:val="24"/>
        </w:rPr>
        <w:t> supports this view, emphasizing the need to address high-cost healthcare users as the first step towards achieving “rapid improvements in the value of services provided.” </w:t>
      </w:r>
      <w:hyperlink r:id="rId22" w:anchor="R8" w:history="1">
        <w:r w:rsidRPr="00B12CB9">
          <w:rPr>
            <w:rFonts w:ascii="Times New Roman" w:eastAsia="Times New Roman" w:hAnsi="Times New Roman" w:cs="Times New Roman"/>
            <w:color w:val="642A8F"/>
            <w:sz w:val="24"/>
            <w:szCs w:val="24"/>
            <w:u w:val="single"/>
          </w:rPr>
          <w:t>Gawande (2011)</w:t>
        </w:r>
      </w:hyperlink>
      <w:r w:rsidRPr="00B12CB9">
        <w:rPr>
          <w:rFonts w:ascii="Times New Roman" w:eastAsia="Times New Roman" w:hAnsi="Times New Roman" w:cs="Times New Roman"/>
          <w:color w:val="000000"/>
          <w:sz w:val="24"/>
          <w:szCs w:val="24"/>
        </w:rPr>
        <w:t> also argued that focusing on a few areas or individuals would have a significant impact on patient outcomes and system costs.</w:t>
      </w:r>
    </w:p>
    <w:p w:rsidR="00B12CB9" w:rsidRPr="00B12CB9" w:rsidRDefault="00B12CB9" w:rsidP="00B12CB9">
      <w:pPr>
        <w:shd w:val="clear" w:color="auto" w:fill="FFFFFF"/>
        <w:spacing w:before="166" w:after="166" w:line="240" w:lineRule="auto"/>
        <w:rPr>
          <w:rFonts w:ascii="Times New Roman" w:eastAsia="Times New Roman" w:hAnsi="Times New Roman" w:cs="Times New Roman"/>
          <w:color w:val="000000"/>
          <w:sz w:val="24"/>
          <w:szCs w:val="24"/>
        </w:rPr>
      </w:pPr>
      <w:r w:rsidRPr="00B12CB9">
        <w:rPr>
          <w:rFonts w:ascii="Times New Roman" w:eastAsia="Times New Roman" w:hAnsi="Times New Roman" w:cs="Times New Roman"/>
          <w:color w:val="000000"/>
          <w:sz w:val="24"/>
          <w:szCs w:val="24"/>
        </w:rPr>
        <w:t>A proactive approach to addressing the problem of HCUs is to target interventions towards patients who are at risk of becoming HCUs. This approach is aimed at preventing at-risk patients from becoming HCUs in the first place. Such an approach requires some mechanism to identify or predict high-risk patients accurately before substantial preventable or avoidable costs have been incurred and health status has deteriorated further (</w:t>
      </w:r>
      <w:hyperlink r:id="rId23" w:anchor="R3" w:history="1">
        <w:r w:rsidRPr="00B12CB9">
          <w:rPr>
            <w:rFonts w:ascii="Times New Roman" w:eastAsia="Times New Roman" w:hAnsi="Times New Roman" w:cs="Times New Roman"/>
            <w:color w:val="642A8F"/>
            <w:sz w:val="24"/>
            <w:szCs w:val="24"/>
            <w:u w:val="single"/>
          </w:rPr>
          <w:t>Billings et al. 2006</w:t>
        </w:r>
      </w:hyperlink>
      <w:r w:rsidRPr="00B12CB9">
        <w:rPr>
          <w:rFonts w:ascii="Times New Roman" w:eastAsia="Times New Roman" w:hAnsi="Times New Roman" w:cs="Times New Roman"/>
          <w:color w:val="000000"/>
          <w:sz w:val="24"/>
          <w:szCs w:val="24"/>
        </w:rPr>
        <w:t>). One such mechanism is a statistical predictive model.</w:t>
      </w:r>
    </w:p>
    <w:p w:rsidR="00B12CB9" w:rsidRPr="00B12CB9" w:rsidRDefault="00B12CB9" w:rsidP="00B12CB9">
      <w:pPr>
        <w:shd w:val="clear" w:color="auto" w:fill="FFFFFF"/>
        <w:spacing w:before="166" w:after="166" w:line="240" w:lineRule="auto"/>
        <w:rPr>
          <w:rFonts w:ascii="Times New Roman" w:eastAsia="Times New Roman" w:hAnsi="Times New Roman" w:cs="Times New Roman"/>
          <w:color w:val="000000"/>
          <w:sz w:val="24"/>
          <w:szCs w:val="24"/>
        </w:rPr>
      </w:pPr>
      <w:r w:rsidRPr="00B12CB9">
        <w:rPr>
          <w:rFonts w:ascii="Times New Roman" w:eastAsia="Times New Roman" w:hAnsi="Times New Roman" w:cs="Times New Roman"/>
          <w:color w:val="000000"/>
          <w:sz w:val="24"/>
          <w:szCs w:val="24"/>
        </w:rPr>
        <w:t>A number of publications have proposed various methods to predict future HCUs, each advocating a different model, predictor variables and type of data. </w:t>
      </w:r>
      <w:hyperlink r:id="rId24" w:anchor="R3" w:history="1">
        <w:r w:rsidRPr="00B12CB9">
          <w:rPr>
            <w:rFonts w:ascii="Times New Roman" w:eastAsia="Times New Roman" w:hAnsi="Times New Roman" w:cs="Times New Roman"/>
            <w:color w:val="642A8F"/>
            <w:sz w:val="24"/>
            <w:szCs w:val="24"/>
            <w:u w:val="single"/>
          </w:rPr>
          <w:t>Billings and colleagues (2006)</w:t>
        </w:r>
      </w:hyperlink>
      <w:r w:rsidRPr="00B12CB9">
        <w:rPr>
          <w:rFonts w:ascii="Times New Roman" w:eastAsia="Times New Roman" w:hAnsi="Times New Roman" w:cs="Times New Roman"/>
          <w:color w:val="000000"/>
          <w:sz w:val="24"/>
          <w:szCs w:val="24"/>
        </w:rPr>
        <w:t> presented a case-finding tool for patients at risk of readmission to hospital and developed an algorithm to identify high-risk patients in the United Kingdom. The key factors predicting subsequent admission included age, sex, ethnicity, number of previous admissions and clinical condition. In the United States, </w:t>
      </w:r>
      <w:hyperlink r:id="rId25" w:anchor="R7" w:history="1">
        <w:r w:rsidRPr="00B12CB9">
          <w:rPr>
            <w:rFonts w:ascii="Times New Roman" w:eastAsia="Times New Roman" w:hAnsi="Times New Roman" w:cs="Times New Roman"/>
            <w:color w:val="642A8F"/>
            <w:sz w:val="24"/>
            <w:szCs w:val="24"/>
            <w:u w:val="single"/>
          </w:rPr>
          <w:t>Fleishman and Cohen (2010)</w:t>
        </w:r>
      </w:hyperlink>
      <w:r w:rsidRPr="00B12CB9">
        <w:rPr>
          <w:rFonts w:ascii="Times New Roman" w:eastAsia="Times New Roman" w:hAnsi="Times New Roman" w:cs="Times New Roman"/>
          <w:color w:val="000000"/>
          <w:sz w:val="24"/>
          <w:szCs w:val="24"/>
        </w:rPr>
        <w:t> found that medical condition information improved prediction of high expenditures beyond that obtainable using gender and age. </w:t>
      </w:r>
      <w:hyperlink r:id="rId26" w:anchor="R1" w:history="1">
        <w:r w:rsidRPr="00B12CB9">
          <w:rPr>
            <w:rFonts w:ascii="Times New Roman" w:eastAsia="Times New Roman" w:hAnsi="Times New Roman" w:cs="Times New Roman"/>
            <w:color w:val="642A8F"/>
            <w:sz w:val="24"/>
            <w:szCs w:val="24"/>
            <w:u w:val="single"/>
          </w:rPr>
          <w:t>Ash and colleagues (2001)</w:t>
        </w:r>
      </w:hyperlink>
      <w:r w:rsidRPr="00B12CB9">
        <w:rPr>
          <w:rFonts w:ascii="Times New Roman" w:eastAsia="Times New Roman" w:hAnsi="Times New Roman" w:cs="Times New Roman"/>
          <w:color w:val="000000"/>
          <w:sz w:val="24"/>
          <w:szCs w:val="24"/>
        </w:rPr>
        <w:t xml:space="preserve"> also found that risk models based on Diagnostic Cost Groups (DCG) were at least as powerful as prior cost for identifying HCUs. In Ontario, Walraven and colleagues (2010) derived and validated an index to predict early death or unplanned readmission after discharge from hospital. Variables independently associated with this outcome (from which authors derived the mnemonic “LACE”) included length of stay (“L”), acuity of the admission </w:t>
      </w:r>
      <w:r w:rsidRPr="00B12CB9">
        <w:rPr>
          <w:rFonts w:ascii="Times New Roman" w:eastAsia="Times New Roman" w:hAnsi="Times New Roman" w:cs="Times New Roman"/>
          <w:color w:val="000000"/>
          <w:sz w:val="24"/>
          <w:szCs w:val="24"/>
        </w:rPr>
        <w:lastRenderedPageBreak/>
        <w:t>(“A”), co-morbidity of the patient (measured with the Charlson co-morbidity index score, “C”); and emergency department use (measured as the number of visits in the six months before admission, “E”).</w:t>
      </w:r>
    </w:p>
    <w:p w:rsidR="00B12CB9" w:rsidRPr="00B12CB9" w:rsidRDefault="00B12CB9" w:rsidP="00B12CB9">
      <w:pPr>
        <w:shd w:val="clear" w:color="auto" w:fill="FFFFFF"/>
        <w:spacing w:before="166" w:line="240" w:lineRule="auto"/>
        <w:rPr>
          <w:rFonts w:ascii="Times New Roman" w:eastAsia="Times New Roman" w:hAnsi="Times New Roman" w:cs="Times New Roman"/>
          <w:color w:val="000000"/>
          <w:sz w:val="24"/>
          <w:szCs w:val="24"/>
        </w:rPr>
      </w:pPr>
      <w:r w:rsidRPr="00B12CB9">
        <w:rPr>
          <w:rFonts w:ascii="Times New Roman" w:eastAsia="Times New Roman" w:hAnsi="Times New Roman" w:cs="Times New Roman"/>
          <w:color w:val="000000"/>
          <w:sz w:val="24"/>
          <w:szCs w:val="24"/>
        </w:rPr>
        <w:t>Building upon previous research, we developed a predictive model to identify patients at risk of becoming high-cost healthcare users in Ontario. The methods and results of this predictive modelling are presented here. Potential ways to utilize this information in practice and the next steps are also discussed.</w:t>
      </w:r>
    </w:p>
    <w:p w:rsidR="00B12CB9" w:rsidRPr="00B12CB9" w:rsidRDefault="00B12CB9" w:rsidP="00B12CB9">
      <w:pPr>
        <w:shd w:val="clear" w:color="auto" w:fill="FFFFFF"/>
        <w:spacing w:after="0" w:line="240" w:lineRule="auto"/>
        <w:jc w:val="right"/>
        <w:rPr>
          <w:rFonts w:ascii="Arial" w:eastAsia="Times New Roman" w:hAnsi="Arial" w:cs="Arial"/>
          <w:color w:val="000000"/>
          <w:sz w:val="24"/>
          <w:szCs w:val="24"/>
        </w:rPr>
      </w:pPr>
      <w:hyperlink r:id="rId27" w:tooltip="Go to other sections in this page" w:history="1">
        <w:r w:rsidRPr="00B12CB9">
          <w:rPr>
            <w:rFonts w:ascii="Arial" w:eastAsia="Times New Roman" w:hAnsi="Arial" w:cs="Arial"/>
            <w:color w:val="642A8F"/>
            <w:sz w:val="24"/>
            <w:szCs w:val="24"/>
            <w:u w:val="single"/>
          </w:rPr>
          <w:t>Go to:</w:t>
        </w:r>
      </w:hyperlink>
    </w:p>
    <w:p w:rsidR="00B12CB9" w:rsidRPr="00B12CB9" w:rsidRDefault="00B12CB9" w:rsidP="00B12CB9">
      <w:pPr>
        <w:pBdr>
          <w:bottom w:val="single" w:sz="6" w:space="0" w:color="97B0C8"/>
        </w:pBdr>
        <w:shd w:val="clear" w:color="auto" w:fill="FFFFFF"/>
        <w:spacing w:before="270" w:after="0" w:line="267" w:lineRule="atLeast"/>
        <w:outlineLvl w:val="1"/>
        <w:rPr>
          <w:rFonts w:ascii="Arial" w:eastAsia="Times New Roman" w:hAnsi="Arial" w:cs="Arial"/>
          <w:color w:val="985735"/>
          <w:sz w:val="27"/>
          <w:szCs w:val="27"/>
        </w:rPr>
      </w:pPr>
      <w:r w:rsidRPr="00B12CB9">
        <w:rPr>
          <w:rFonts w:ascii="Arial" w:eastAsia="Times New Roman" w:hAnsi="Arial" w:cs="Arial"/>
          <w:color w:val="985735"/>
          <w:sz w:val="27"/>
          <w:szCs w:val="27"/>
        </w:rPr>
        <w:t>Methodology</w:t>
      </w:r>
    </w:p>
    <w:p w:rsidR="00B12CB9" w:rsidRPr="00B12CB9" w:rsidRDefault="00B12CB9" w:rsidP="00B12CB9">
      <w:pPr>
        <w:shd w:val="clear" w:color="auto" w:fill="FFFFFF"/>
        <w:spacing w:before="166" w:after="166" w:line="240" w:lineRule="auto"/>
        <w:rPr>
          <w:rFonts w:ascii="Times New Roman" w:eastAsia="Times New Roman" w:hAnsi="Times New Roman" w:cs="Times New Roman"/>
          <w:color w:val="000000"/>
          <w:sz w:val="24"/>
          <w:szCs w:val="24"/>
        </w:rPr>
      </w:pPr>
      <w:r w:rsidRPr="00B12CB9">
        <w:rPr>
          <w:rFonts w:ascii="Times New Roman" w:eastAsia="Times New Roman" w:hAnsi="Times New Roman" w:cs="Times New Roman"/>
          <w:color w:val="000000"/>
          <w:sz w:val="24"/>
          <w:szCs w:val="24"/>
        </w:rPr>
        <w:t>The purpose of the model presented in this paper is to predict who will or will not become a high-cost healthcare user in the next year, given various patient-level characteristics in the current year and two previous years. The model predicts HCU status in fiscal year (FY) 2010/11 among patients (users of the healthcare system) from FY 2009/10, using patient characteristics from FY 2007/08 through FY 2009/10. The model was validated by applying it to predict HCU status in FY 2009/10 using patient characteristics from FY 2006/07 through FY 2008/09 (out-of-sample prediction power). Data for the analysis were obtained from the Ontario Ministry of Health and Long-Term Care (MOHLTC).</w:t>
      </w:r>
    </w:p>
    <w:p w:rsidR="00B12CB9" w:rsidRPr="00B12CB9" w:rsidRDefault="00B12CB9" w:rsidP="00B12CB9">
      <w:pPr>
        <w:shd w:val="clear" w:color="auto" w:fill="FFFFFF"/>
        <w:spacing w:before="166" w:after="166" w:line="240" w:lineRule="auto"/>
        <w:rPr>
          <w:rFonts w:ascii="Times New Roman" w:eastAsia="Times New Roman" w:hAnsi="Times New Roman" w:cs="Times New Roman"/>
          <w:color w:val="000000"/>
          <w:sz w:val="24"/>
          <w:szCs w:val="24"/>
        </w:rPr>
      </w:pPr>
      <w:r w:rsidRPr="00B12CB9">
        <w:rPr>
          <w:rFonts w:ascii="Times New Roman" w:eastAsia="Times New Roman" w:hAnsi="Times New Roman" w:cs="Times New Roman"/>
          <w:color w:val="000000"/>
          <w:sz w:val="24"/>
          <w:szCs w:val="24"/>
        </w:rPr>
        <w:t>The cohort of patients incorporated in the model included all Ontario residents serviced by the Ontario healthcare system during FY 2009/10 in one of the following care types (database in parentheses):</w:t>
      </w:r>
    </w:p>
    <w:p w:rsidR="00B12CB9" w:rsidRPr="00B12CB9" w:rsidRDefault="00B12CB9" w:rsidP="00B12CB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12CB9">
        <w:rPr>
          <w:rFonts w:ascii="Times New Roman" w:eastAsia="Times New Roman" w:hAnsi="Times New Roman" w:cs="Times New Roman"/>
          <w:color w:val="000000"/>
          <w:sz w:val="24"/>
          <w:szCs w:val="24"/>
        </w:rPr>
        <w:t>Physician services – OHIP (Claims History Database)</w:t>
      </w:r>
    </w:p>
    <w:p w:rsidR="00B12CB9" w:rsidRPr="00B12CB9" w:rsidRDefault="00B12CB9" w:rsidP="00B12CB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12CB9">
        <w:rPr>
          <w:rFonts w:ascii="Times New Roman" w:eastAsia="Times New Roman" w:hAnsi="Times New Roman" w:cs="Times New Roman"/>
          <w:color w:val="000000"/>
          <w:sz w:val="24"/>
          <w:szCs w:val="24"/>
        </w:rPr>
        <w:t>Acute in-patient care – AIP (Discharge Abstract Database)</w:t>
      </w:r>
    </w:p>
    <w:p w:rsidR="00B12CB9" w:rsidRPr="00B12CB9" w:rsidRDefault="00B12CB9" w:rsidP="00B12CB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12CB9">
        <w:rPr>
          <w:rFonts w:ascii="Times New Roman" w:eastAsia="Times New Roman" w:hAnsi="Times New Roman" w:cs="Times New Roman"/>
          <w:color w:val="000000"/>
          <w:sz w:val="24"/>
          <w:szCs w:val="24"/>
        </w:rPr>
        <w:t>Day surgery – DS (National Ambulatory Care Reporting System)</w:t>
      </w:r>
    </w:p>
    <w:p w:rsidR="00B12CB9" w:rsidRPr="00B12CB9" w:rsidRDefault="00B12CB9" w:rsidP="00B12CB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12CB9">
        <w:rPr>
          <w:rFonts w:ascii="Times New Roman" w:eastAsia="Times New Roman" w:hAnsi="Times New Roman" w:cs="Times New Roman"/>
          <w:color w:val="000000"/>
          <w:sz w:val="24"/>
          <w:szCs w:val="24"/>
        </w:rPr>
        <w:t>Emergency room – ER (National Ambulatory Care Reporting System)</w:t>
      </w:r>
    </w:p>
    <w:p w:rsidR="00B12CB9" w:rsidRPr="00B12CB9" w:rsidRDefault="00B12CB9" w:rsidP="00B12CB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12CB9">
        <w:rPr>
          <w:rFonts w:ascii="Times New Roman" w:eastAsia="Times New Roman" w:hAnsi="Times New Roman" w:cs="Times New Roman"/>
          <w:color w:val="000000"/>
          <w:sz w:val="24"/>
          <w:szCs w:val="24"/>
        </w:rPr>
        <w:t>Dialysis – (National Ambulatory Care Reporting System)</w:t>
      </w:r>
    </w:p>
    <w:p w:rsidR="00B12CB9" w:rsidRPr="00B12CB9" w:rsidRDefault="00B12CB9" w:rsidP="00B12CB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12CB9">
        <w:rPr>
          <w:rFonts w:ascii="Times New Roman" w:eastAsia="Times New Roman" w:hAnsi="Times New Roman" w:cs="Times New Roman"/>
          <w:color w:val="000000"/>
          <w:sz w:val="24"/>
          <w:szCs w:val="24"/>
        </w:rPr>
        <w:t>Oncology – (National Ambulatory Care Reporting System)</w:t>
      </w:r>
    </w:p>
    <w:p w:rsidR="00B12CB9" w:rsidRPr="00B12CB9" w:rsidRDefault="00B12CB9" w:rsidP="00B12CB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12CB9">
        <w:rPr>
          <w:rFonts w:ascii="Times New Roman" w:eastAsia="Times New Roman" w:hAnsi="Times New Roman" w:cs="Times New Roman"/>
          <w:color w:val="000000"/>
          <w:sz w:val="24"/>
          <w:szCs w:val="24"/>
        </w:rPr>
        <w:t>Outpatient clinic – (National Ambulatory Care Reporting System)</w:t>
      </w:r>
    </w:p>
    <w:p w:rsidR="00B12CB9" w:rsidRPr="00B12CB9" w:rsidRDefault="00B12CB9" w:rsidP="00B12CB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12CB9">
        <w:rPr>
          <w:rFonts w:ascii="Times New Roman" w:eastAsia="Times New Roman" w:hAnsi="Times New Roman" w:cs="Times New Roman"/>
          <w:color w:val="000000"/>
          <w:sz w:val="24"/>
          <w:szCs w:val="24"/>
        </w:rPr>
        <w:t>Rehabilitation – Rehab (National Rehabilitation System)</w:t>
      </w:r>
    </w:p>
    <w:p w:rsidR="00B12CB9" w:rsidRPr="00B12CB9" w:rsidRDefault="00B12CB9" w:rsidP="00B12CB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12CB9">
        <w:rPr>
          <w:rFonts w:ascii="Times New Roman" w:eastAsia="Times New Roman" w:hAnsi="Times New Roman" w:cs="Times New Roman"/>
          <w:color w:val="000000"/>
          <w:sz w:val="24"/>
          <w:szCs w:val="24"/>
        </w:rPr>
        <w:t>In-patient mental health – MH (Ontario Mental Health Reporting System) Complex continuing care – CCC (Continuing Care Reporting System)</w:t>
      </w:r>
    </w:p>
    <w:p w:rsidR="00B12CB9" w:rsidRPr="00B12CB9" w:rsidRDefault="00B12CB9" w:rsidP="00B12CB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12CB9">
        <w:rPr>
          <w:rFonts w:ascii="Times New Roman" w:eastAsia="Times New Roman" w:hAnsi="Times New Roman" w:cs="Times New Roman"/>
          <w:color w:val="000000"/>
          <w:sz w:val="24"/>
          <w:szCs w:val="24"/>
        </w:rPr>
        <w:t>Long-term care – LTC (Continuing Care Reporting System)</w:t>
      </w:r>
    </w:p>
    <w:p w:rsidR="00B12CB9" w:rsidRPr="00B12CB9" w:rsidRDefault="00B12CB9" w:rsidP="00B12CB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12CB9">
        <w:rPr>
          <w:rFonts w:ascii="Times New Roman" w:eastAsia="Times New Roman" w:hAnsi="Times New Roman" w:cs="Times New Roman"/>
          <w:color w:val="000000"/>
          <w:sz w:val="24"/>
          <w:szCs w:val="24"/>
        </w:rPr>
        <w:t>Home care – HC (Home Care Database)</w:t>
      </w:r>
    </w:p>
    <w:p w:rsidR="00B12CB9" w:rsidRPr="00B12CB9" w:rsidRDefault="00B12CB9" w:rsidP="00B12CB9">
      <w:pPr>
        <w:shd w:val="clear" w:color="auto" w:fill="FFFFFF"/>
        <w:spacing w:before="166" w:after="166" w:line="240" w:lineRule="auto"/>
        <w:rPr>
          <w:rFonts w:ascii="Times New Roman" w:eastAsia="Times New Roman" w:hAnsi="Times New Roman" w:cs="Times New Roman"/>
          <w:color w:val="000000"/>
          <w:sz w:val="24"/>
          <w:szCs w:val="24"/>
        </w:rPr>
      </w:pPr>
      <w:r w:rsidRPr="00B12CB9">
        <w:rPr>
          <w:rFonts w:ascii="Times New Roman" w:eastAsia="Times New Roman" w:hAnsi="Times New Roman" w:cs="Times New Roman"/>
          <w:color w:val="000000"/>
          <w:sz w:val="24"/>
          <w:szCs w:val="24"/>
        </w:rPr>
        <w:t>Data from various administrative sources were linked using encrypted health insurance numbers. In Ontario, which has a single-payer government health system (OHIP), all patients have unique health insurance numbers that are recorded in all sectors whenever a patient receives a health service.</w:t>
      </w:r>
    </w:p>
    <w:p w:rsidR="00B12CB9" w:rsidRPr="00B12CB9" w:rsidRDefault="00B12CB9" w:rsidP="00B12CB9">
      <w:pPr>
        <w:shd w:val="clear" w:color="auto" w:fill="FFFFFF"/>
        <w:spacing w:before="166" w:after="166" w:line="240" w:lineRule="auto"/>
        <w:rPr>
          <w:rFonts w:ascii="Times New Roman" w:eastAsia="Times New Roman" w:hAnsi="Times New Roman" w:cs="Times New Roman"/>
          <w:color w:val="000000"/>
          <w:sz w:val="24"/>
          <w:szCs w:val="24"/>
        </w:rPr>
      </w:pPr>
      <w:r w:rsidRPr="00B12CB9">
        <w:rPr>
          <w:rFonts w:ascii="Times New Roman" w:eastAsia="Times New Roman" w:hAnsi="Times New Roman" w:cs="Times New Roman"/>
          <w:color w:val="000000"/>
          <w:sz w:val="24"/>
          <w:szCs w:val="24"/>
        </w:rPr>
        <w:t>Patients were excluded if they died during FY 2009/10 (as they could not become high users the next year) or were under five years of age in FY 2009/10 (as the history of disease and health utilization progression is required to build a good predictive model). The validation patient cohort was built similarly based on FY 2008/09 data.</w:t>
      </w:r>
    </w:p>
    <w:p w:rsidR="00B12CB9" w:rsidRPr="00B12CB9" w:rsidRDefault="00B12CB9" w:rsidP="00B12CB9">
      <w:pPr>
        <w:shd w:val="clear" w:color="auto" w:fill="FFFFFF"/>
        <w:spacing w:before="166" w:after="166" w:line="240" w:lineRule="auto"/>
        <w:rPr>
          <w:rFonts w:ascii="Times New Roman" w:eastAsia="Times New Roman" w:hAnsi="Times New Roman" w:cs="Times New Roman"/>
          <w:color w:val="000000"/>
          <w:sz w:val="24"/>
          <w:szCs w:val="24"/>
        </w:rPr>
      </w:pPr>
      <w:r w:rsidRPr="00B12CB9">
        <w:rPr>
          <w:rFonts w:ascii="Times New Roman" w:eastAsia="Times New Roman" w:hAnsi="Times New Roman" w:cs="Times New Roman"/>
          <w:color w:val="000000"/>
          <w:sz w:val="24"/>
          <w:szCs w:val="24"/>
        </w:rPr>
        <w:lastRenderedPageBreak/>
        <w:t>HCUs of healthcare in FY 2010/11 (for the modelling cohort) or in FY 2009/10 (for the validation cohort) were defined as the top 5% cost-incurring healthcare users. In order to identify HCU status, we summed costs across care types for each user. Patient costs for AIP, ER, DS, Rehab, CCC, MH and HC were derived from actual unit cost</w:t>
      </w:r>
      <w:hyperlink r:id="rId28" w:anchor="F1" w:history="1">
        <w:r w:rsidRPr="00B12CB9">
          <w:rPr>
            <w:rFonts w:ascii="Times New Roman" w:eastAsia="Times New Roman" w:hAnsi="Times New Roman" w:cs="Times New Roman"/>
            <w:color w:val="642A8F"/>
            <w:sz w:val="17"/>
            <w:u w:val="single"/>
            <w:vertAlign w:val="superscript"/>
          </w:rPr>
          <w:t>1</w:t>
        </w:r>
      </w:hyperlink>
      <w:r w:rsidRPr="00B12CB9">
        <w:rPr>
          <w:rFonts w:ascii="Times New Roman" w:eastAsia="Times New Roman" w:hAnsi="Times New Roman" w:cs="Times New Roman"/>
          <w:color w:val="000000"/>
          <w:sz w:val="24"/>
          <w:szCs w:val="24"/>
        </w:rPr>
        <w:t> (actual cost per weighted case) times weighted volume of services (number of weighted cases). Cost for OHIP claims was represented by fees approved. Patient cost for LTC was estimated using average cost per patient per day times patient length of stay. Costs for outpatient oncology, outpatient dialysis and outpatient clinic were not included owing to data quality issues with case mix and cost data in these sectors, and the Ministry's general recommendation not to use these data in funding formulas in Ontario. Users (patients) were sorted in descending order of total expenditures, and the top 5% of users were classified as high-cost healthcare users. A binary variable was created and added to the data to identify patients as either high users or not.</w:t>
      </w:r>
    </w:p>
    <w:p w:rsidR="00B12CB9" w:rsidRPr="00B12CB9" w:rsidRDefault="00B12CB9" w:rsidP="00B12CB9">
      <w:pPr>
        <w:shd w:val="clear" w:color="auto" w:fill="FFFFFF"/>
        <w:spacing w:before="166" w:after="166" w:line="240" w:lineRule="auto"/>
        <w:rPr>
          <w:rFonts w:ascii="Times New Roman" w:eastAsia="Times New Roman" w:hAnsi="Times New Roman" w:cs="Times New Roman"/>
          <w:color w:val="000000"/>
          <w:sz w:val="24"/>
          <w:szCs w:val="24"/>
        </w:rPr>
      </w:pPr>
      <w:r w:rsidRPr="00B12CB9">
        <w:rPr>
          <w:rFonts w:ascii="Times New Roman" w:eastAsia="Times New Roman" w:hAnsi="Times New Roman" w:cs="Times New Roman"/>
          <w:color w:val="000000"/>
          <w:sz w:val="24"/>
          <w:szCs w:val="24"/>
        </w:rPr>
        <w:t>Information was collected on factors (covariates) that may have an influence on the outcome (becoming a high user). These included demographic variables (e.g., age, sex, Rurality Index of Ontario [RIO] Score by the Ontario Medical Association</w:t>
      </w:r>
      <w:hyperlink r:id="rId29" w:anchor="F2" w:history="1">
        <w:r w:rsidRPr="00B12CB9">
          <w:rPr>
            <w:rFonts w:ascii="Times New Roman" w:eastAsia="Times New Roman" w:hAnsi="Times New Roman" w:cs="Times New Roman"/>
            <w:color w:val="642A8F"/>
            <w:sz w:val="17"/>
            <w:u w:val="single"/>
            <w:vertAlign w:val="superscript"/>
          </w:rPr>
          <w:t>2</w:t>
        </w:r>
      </w:hyperlink>
      <w:r w:rsidRPr="00B12CB9">
        <w:rPr>
          <w:rFonts w:ascii="Times New Roman" w:eastAsia="Times New Roman" w:hAnsi="Times New Roman" w:cs="Times New Roman"/>
          <w:color w:val="000000"/>
          <w:sz w:val="24"/>
          <w:szCs w:val="24"/>
        </w:rPr>
        <w:t>); clinical variables (e.g., ICD-10 based chapters created from ICD-10 and ICD-9 diagnoses</w:t>
      </w:r>
      <w:hyperlink r:id="rId30" w:anchor="F3" w:history="1">
        <w:r w:rsidRPr="00B12CB9">
          <w:rPr>
            <w:rFonts w:ascii="Times New Roman" w:eastAsia="Times New Roman" w:hAnsi="Times New Roman" w:cs="Times New Roman"/>
            <w:color w:val="642A8F"/>
            <w:sz w:val="17"/>
            <w:u w:val="single"/>
            <w:vertAlign w:val="superscript"/>
          </w:rPr>
          <w:t>3</w:t>
        </w:r>
      </w:hyperlink>
      <w:r w:rsidRPr="00B12CB9">
        <w:rPr>
          <w:rFonts w:ascii="Times New Roman" w:eastAsia="Times New Roman" w:hAnsi="Times New Roman" w:cs="Times New Roman"/>
          <w:color w:val="000000"/>
          <w:sz w:val="24"/>
          <w:szCs w:val="24"/>
        </w:rPr>
        <w:t>), with further separation of certain chronic conditions such as diabetes, congestive heart failure (CHF) and chronic obstructive pulmonary disease (COPD)</w:t>
      </w:r>
      <w:hyperlink r:id="rId31" w:anchor="F4" w:history="1">
        <w:r w:rsidRPr="00B12CB9">
          <w:rPr>
            <w:rFonts w:ascii="Times New Roman" w:eastAsia="Times New Roman" w:hAnsi="Times New Roman" w:cs="Times New Roman"/>
            <w:color w:val="642A8F"/>
            <w:sz w:val="17"/>
            <w:u w:val="single"/>
            <w:vertAlign w:val="superscript"/>
          </w:rPr>
          <w:t>4</w:t>
        </w:r>
      </w:hyperlink>
      <w:r w:rsidRPr="00B12CB9">
        <w:rPr>
          <w:rFonts w:ascii="Times New Roman" w:eastAsia="Times New Roman" w:hAnsi="Times New Roman" w:cs="Times New Roman"/>
          <w:color w:val="000000"/>
          <w:sz w:val="24"/>
          <w:szCs w:val="24"/>
        </w:rPr>
        <w:t>; socio-economic status (SES) variables (e.g., material and social deprivation indices</w:t>
      </w:r>
      <w:hyperlink r:id="rId32" w:anchor="F5" w:history="1">
        <w:r w:rsidRPr="00B12CB9">
          <w:rPr>
            <w:rFonts w:ascii="Times New Roman" w:eastAsia="Times New Roman" w:hAnsi="Times New Roman" w:cs="Times New Roman"/>
            <w:color w:val="642A8F"/>
            <w:sz w:val="17"/>
            <w:u w:val="single"/>
            <w:vertAlign w:val="superscript"/>
          </w:rPr>
          <w:t>5</w:t>
        </w:r>
      </w:hyperlink>
      <w:r w:rsidRPr="00B12CB9">
        <w:rPr>
          <w:rFonts w:ascii="Times New Roman" w:eastAsia="Times New Roman" w:hAnsi="Times New Roman" w:cs="Times New Roman"/>
          <w:color w:val="000000"/>
          <w:sz w:val="24"/>
          <w:szCs w:val="24"/>
        </w:rPr>
        <w:t>); and utilization variables for all care types from current year and previous two years, enabling us to account for disease progression (e.g., number of visits, number of hospitalizations).</w:t>
      </w:r>
    </w:p>
    <w:p w:rsidR="00B12CB9" w:rsidRPr="00B12CB9" w:rsidRDefault="00B12CB9" w:rsidP="00B12CB9">
      <w:pPr>
        <w:shd w:val="clear" w:color="auto" w:fill="FFFFFF"/>
        <w:spacing w:before="166" w:after="166" w:line="240" w:lineRule="auto"/>
        <w:rPr>
          <w:rFonts w:ascii="Times New Roman" w:eastAsia="Times New Roman" w:hAnsi="Times New Roman" w:cs="Times New Roman"/>
          <w:color w:val="000000"/>
          <w:sz w:val="24"/>
          <w:szCs w:val="24"/>
        </w:rPr>
      </w:pPr>
      <w:r w:rsidRPr="00B12CB9">
        <w:rPr>
          <w:rFonts w:ascii="Times New Roman" w:eastAsia="Times New Roman" w:hAnsi="Times New Roman" w:cs="Times New Roman"/>
          <w:color w:val="000000"/>
          <w:sz w:val="24"/>
          <w:szCs w:val="24"/>
        </w:rPr>
        <w:t>Continuous variables, if necessary, were transformed to categorical variables (e.g., age into age groups). Continuous variables for healthcare utilization were categorized based on percentiles (zero category was created first, then median was calculated for the remaining positive values, and two remaining categories were created: less than median, and equal or more than median). Where applicable, missing values were imputed via the multiple imputation technique (using SAS PROC MI, SAS Institute). The final data set had missing values for only three variables in our model: Rurality Index of Ontario (1.51% of patients with missing values) and social and material deprivation (3.72% of patients with missing values). The pattern of the missing data allowed us to assume that the values were missing completely at random (MCAR). As a next step, a number of variables were reduced using the variable clustering technique (SAS PROC VARCLUS, SAS Institute).</w:t>
      </w:r>
    </w:p>
    <w:p w:rsidR="00B12CB9" w:rsidRPr="00B12CB9" w:rsidRDefault="00B12CB9" w:rsidP="00B12CB9">
      <w:pPr>
        <w:shd w:val="clear" w:color="auto" w:fill="FFFFFF"/>
        <w:spacing w:before="166" w:after="166" w:line="240" w:lineRule="auto"/>
        <w:rPr>
          <w:rFonts w:ascii="Times New Roman" w:eastAsia="Times New Roman" w:hAnsi="Times New Roman" w:cs="Times New Roman"/>
          <w:color w:val="000000"/>
          <w:sz w:val="24"/>
          <w:szCs w:val="24"/>
        </w:rPr>
      </w:pPr>
      <w:r w:rsidRPr="00B12CB9">
        <w:rPr>
          <w:rFonts w:ascii="Times New Roman" w:eastAsia="Times New Roman" w:hAnsi="Times New Roman" w:cs="Times New Roman"/>
          <w:color w:val="000000"/>
          <w:sz w:val="24"/>
          <w:szCs w:val="24"/>
        </w:rPr>
        <w:t>A logistic regression model predicting the next year's HCU status was built and executed in SAS 9.1.3 on the FY 2009/10 patient cohort. Performance of the model was evaluated using C-statistic for predictive ability of the model. Significance of the parameter estimates (p-values) and odds ratios were evaluated as well.</w:t>
      </w:r>
    </w:p>
    <w:p w:rsidR="00B12CB9" w:rsidRPr="00B12CB9" w:rsidRDefault="00B12CB9" w:rsidP="00B12CB9">
      <w:pPr>
        <w:shd w:val="clear" w:color="auto" w:fill="FFFFFF"/>
        <w:spacing w:before="166" w:after="166" w:line="240" w:lineRule="auto"/>
        <w:rPr>
          <w:rFonts w:ascii="Times New Roman" w:eastAsia="Times New Roman" w:hAnsi="Times New Roman" w:cs="Times New Roman"/>
          <w:color w:val="000000"/>
          <w:sz w:val="24"/>
          <w:szCs w:val="24"/>
        </w:rPr>
      </w:pPr>
      <w:r w:rsidRPr="00B12CB9">
        <w:rPr>
          <w:rFonts w:ascii="Times New Roman" w:eastAsia="Times New Roman" w:hAnsi="Times New Roman" w:cs="Times New Roman"/>
          <w:color w:val="000000"/>
          <w:sz w:val="24"/>
          <w:szCs w:val="24"/>
        </w:rPr>
        <w:t xml:space="preserve">Validation of the model on the FY 2008/09 cohort was done to evaluate the out-of-sample prediction power. Good predictive models should show strong performance in the new (out-of-sample, scored) data, since in-sample performance could be unduly optimistic if the model over-fitted the data (in this case, out-of-sample performance could be very poor). Moreover, this is the intended application of predictive models: to apply the model to the new data with unknown outcomes in order to predict them. Receiver-operating characteristic (ROC) curve and calibration (goodness-of-fit) curves were constructed based on the validation sample. Out-of-sample model performance was evaluated using sensitivity, specificity, positive and negative predictive values, </w:t>
      </w:r>
      <w:r w:rsidRPr="00B12CB9">
        <w:rPr>
          <w:rFonts w:ascii="Times New Roman" w:eastAsia="Times New Roman" w:hAnsi="Times New Roman" w:cs="Times New Roman"/>
          <w:color w:val="000000"/>
          <w:sz w:val="24"/>
          <w:szCs w:val="24"/>
        </w:rPr>
        <w:lastRenderedPageBreak/>
        <w:t>and accuracy on the validation sample (calculated for scenarios if following up on the top 1%, 5%, 10% or 15% of patients with the highest risk of becoming HCUs). Cut-off probability levels for different potential follow-up cohorts (if following up 1% of highest risk users, 5%, 10% or 15%) were selected, and the outcome variable was set at 1 if the predicted probability equaled or exceeded that cut-off. Multiple cut-offs for follow-up are presented (following up 1%, 5%, 10%, 15%) to enable dialogue on the degree of sensitivity that could be achieved if different resources are utilized (assuming that implementation of follow-up interventions requires additional resources).</w:t>
      </w:r>
    </w:p>
    <w:p w:rsidR="00B12CB9" w:rsidRPr="00B12CB9" w:rsidRDefault="00B12CB9" w:rsidP="00B12CB9">
      <w:pPr>
        <w:shd w:val="clear" w:color="auto" w:fill="FFFFFF"/>
        <w:spacing w:before="166" w:after="166" w:line="240" w:lineRule="auto"/>
        <w:rPr>
          <w:rFonts w:ascii="Times New Roman" w:eastAsia="Times New Roman" w:hAnsi="Times New Roman" w:cs="Times New Roman"/>
          <w:color w:val="000000"/>
          <w:sz w:val="24"/>
          <w:szCs w:val="24"/>
        </w:rPr>
      </w:pPr>
      <w:r w:rsidRPr="00B12CB9">
        <w:rPr>
          <w:rFonts w:ascii="Times New Roman" w:eastAsia="Times New Roman" w:hAnsi="Times New Roman" w:cs="Times New Roman"/>
          <w:color w:val="000000"/>
          <w:sz w:val="24"/>
          <w:szCs w:val="24"/>
        </w:rPr>
        <w:t>Formal ethics review was not required because de-identified Ministry administrative data were used.</w:t>
      </w:r>
    </w:p>
    <w:p w:rsidR="00B12CB9" w:rsidRPr="00B12CB9" w:rsidRDefault="00B12CB9" w:rsidP="00B12CB9">
      <w:pPr>
        <w:shd w:val="clear" w:color="auto" w:fill="FFFFFF"/>
        <w:spacing w:after="0" w:line="240" w:lineRule="auto"/>
        <w:jc w:val="right"/>
        <w:rPr>
          <w:rFonts w:ascii="Arial" w:eastAsia="Times New Roman" w:hAnsi="Arial" w:cs="Arial"/>
          <w:color w:val="000000"/>
          <w:sz w:val="24"/>
          <w:szCs w:val="24"/>
        </w:rPr>
      </w:pPr>
      <w:hyperlink r:id="rId33" w:tooltip="Go to other sections in this page" w:history="1">
        <w:r w:rsidRPr="00B12CB9">
          <w:rPr>
            <w:rFonts w:ascii="Arial" w:eastAsia="Times New Roman" w:hAnsi="Arial" w:cs="Arial"/>
            <w:color w:val="642A8F"/>
            <w:sz w:val="24"/>
            <w:szCs w:val="24"/>
            <w:u w:val="single"/>
          </w:rPr>
          <w:t>Go to:</w:t>
        </w:r>
      </w:hyperlink>
    </w:p>
    <w:p w:rsidR="00B12CB9" w:rsidRPr="00B12CB9" w:rsidRDefault="00B12CB9" w:rsidP="00B12CB9">
      <w:pPr>
        <w:pBdr>
          <w:bottom w:val="single" w:sz="6" w:space="0" w:color="97B0C8"/>
        </w:pBdr>
        <w:shd w:val="clear" w:color="auto" w:fill="FFFFFF"/>
        <w:spacing w:before="270" w:after="0" w:line="267" w:lineRule="atLeast"/>
        <w:outlineLvl w:val="1"/>
        <w:rPr>
          <w:rFonts w:ascii="Arial" w:eastAsia="Times New Roman" w:hAnsi="Arial" w:cs="Arial"/>
          <w:color w:val="985735"/>
          <w:sz w:val="27"/>
          <w:szCs w:val="27"/>
        </w:rPr>
      </w:pPr>
      <w:r w:rsidRPr="00B12CB9">
        <w:rPr>
          <w:rFonts w:ascii="Arial" w:eastAsia="Times New Roman" w:hAnsi="Arial" w:cs="Arial"/>
          <w:color w:val="985735"/>
          <w:sz w:val="27"/>
          <w:szCs w:val="27"/>
        </w:rPr>
        <w:t>Results</w:t>
      </w:r>
    </w:p>
    <w:p w:rsidR="00B12CB9" w:rsidRPr="00B12CB9" w:rsidRDefault="00B12CB9" w:rsidP="00B12CB9">
      <w:pPr>
        <w:shd w:val="clear" w:color="auto" w:fill="FFFFFF"/>
        <w:spacing w:before="166" w:after="166" w:line="240" w:lineRule="auto"/>
        <w:rPr>
          <w:rFonts w:ascii="Times New Roman" w:eastAsia="Times New Roman" w:hAnsi="Times New Roman" w:cs="Times New Roman"/>
          <w:color w:val="000000"/>
          <w:sz w:val="24"/>
          <w:szCs w:val="24"/>
        </w:rPr>
      </w:pPr>
      <w:r w:rsidRPr="00B12CB9">
        <w:rPr>
          <w:rFonts w:ascii="Times New Roman" w:eastAsia="Times New Roman" w:hAnsi="Times New Roman" w:cs="Times New Roman"/>
          <w:color w:val="000000"/>
          <w:sz w:val="24"/>
          <w:szCs w:val="24"/>
        </w:rPr>
        <w:t>Patient characteristics of the model cohort and the validation cohort are presented in Table 1. The population of patients in the FY 2009/10 model cohort was 10,300,856. The number of variables in the initial model was 97. Sixty-four variables were transformed. The number of variables removed because of clustering was 28, leaving 69 variables in the final model. See Table 1 at </w:t>
      </w:r>
      <w:hyperlink r:id="rId34" w:tgtFrame="_blank" w:history="1">
        <w:r w:rsidRPr="00B12CB9">
          <w:rPr>
            <w:rFonts w:ascii="Times New Roman" w:eastAsia="Times New Roman" w:hAnsi="Times New Roman" w:cs="Times New Roman"/>
            <w:color w:val="642A8F"/>
            <w:sz w:val="24"/>
            <w:szCs w:val="24"/>
            <w:u w:val="single"/>
          </w:rPr>
          <w:t>www.longwoods.com/content/23710</w:t>
        </w:r>
      </w:hyperlink>
      <w:r w:rsidRPr="00B12CB9">
        <w:rPr>
          <w:rFonts w:ascii="Times New Roman" w:eastAsia="Times New Roman" w:hAnsi="Times New Roman" w:cs="Times New Roman"/>
          <w:color w:val="000000"/>
          <w:sz w:val="24"/>
          <w:szCs w:val="24"/>
        </w:rPr>
        <w:t>.</w:t>
      </w:r>
    </w:p>
    <w:p w:rsidR="00B12CB9" w:rsidRPr="00B12CB9" w:rsidRDefault="00B12CB9" w:rsidP="00B12CB9">
      <w:pPr>
        <w:shd w:val="clear" w:color="auto" w:fill="FFFFFF"/>
        <w:spacing w:before="166" w:after="166" w:line="240" w:lineRule="auto"/>
        <w:rPr>
          <w:rFonts w:ascii="Times New Roman" w:eastAsia="Times New Roman" w:hAnsi="Times New Roman" w:cs="Times New Roman"/>
          <w:color w:val="000000"/>
          <w:sz w:val="24"/>
          <w:szCs w:val="24"/>
        </w:rPr>
      </w:pPr>
      <w:r w:rsidRPr="00B12CB9">
        <w:rPr>
          <w:rFonts w:ascii="Times New Roman" w:eastAsia="Times New Roman" w:hAnsi="Times New Roman" w:cs="Times New Roman"/>
          <w:color w:val="000000"/>
          <w:sz w:val="24"/>
          <w:szCs w:val="24"/>
        </w:rPr>
        <w:t>The model achieved a very strong C-statistic: .865.</w:t>
      </w:r>
      <w:hyperlink r:id="rId35" w:anchor="F6" w:history="1">
        <w:r w:rsidRPr="00B12CB9">
          <w:rPr>
            <w:rFonts w:ascii="Times New Roman" w:eastAsia="Times New Roman" w:hAnsi="Times New Roman" w:cs="Times New Roman"/>
            <w:color w:val="642A8F"/>
            <w:sz w:val="17"/>
            <w:u w:val="single"/>
            <w:vertAlign w:val="superscript"/>
          </w:rPr>
          <w:t>6</w:t>
        </w:r>
      </w:hyperlink>
      <w:r w:rsidRPr="00B12CB9">
        <w:rPr>
          <w:rFonts w:ascii="Times New Roman" w:eastAsia="Times New Roman" w:hAnsi="Times New Roman" w:cs="Times New Roman"/>
          <w:color w:val="000000"/>
          <w:sz w:val="24"/>
          <w:szCs w:val="24"/>
        </w:rPr>
        <w:t> Odds ratios for all predictor variables used and their 95% confidence intervals are reported in Table 2. Among the patients that the model predicted to be high-cost healthcare users in 2010, 46.2% were not HCUs in 2009. See Table 2 at </w:t>
      </w:r>
      <w:hyperlink r:id="rId36" w:tgtFrame="_blank" w:history="1">
        <w:r w:rsidRPr="00B12CB9">
          <w:rPr>
            <w:rFonts w:ascii="Times New Roman" w:eastAsia="Times New Roman" w:hAnsi="Times New Roman" w:cs="Times New Roman"/>
            <w:color w:val="642A8F"/>
            <w:sz w:val="24"/>
            <w:szCs w:val="24"/>
            <w:u w:val="single"/>
          </w:rPr>
          <w:t>www.longwoods.com/content/23710</w:t>
        </w:r>
      </w:hyperlink>
      <w:r w:rsidRPr="00B12CB9">
        <w:rPr>
          <w:rFonts w:ascii="Times New Roman" w:eastAsia="Times New Roman" w:hAnsi="Times New Roman" w:cs="Times New Roman"/>
          <w:color w:val="000000"/>
          <w:sz w:val="24"/>
          <w:szCs w:val="24"/>
        </w:rPr>
        <w:t>.</w:t>
      </w:r>
    </w:p>
    <w:p w:rsidR="00B12CB9" w:rsidRPr="00B12CB9" w:rsidRDefault="00B12CB9" w:rsidP="00B12CB9">
      <w:pPr>
        <w:shd w:val="clear" w:color="auto" w:fill="FFFFFF"/>
        <w:spacing w:before="166" w:after="166" w:line="240" w:lineRule="auto"/>
        <w:rPr>
          <w:rFonts w:ascii="Times New Roman" w:eastAsia="Times New Roman" w:hAnsi="Times New Roman" w:cs="Times New Roman"/>
          <w:color w:val="000000"/>
          <w:sz w:val="24"/>
          <w:szCs w:val="24"/>
        </w:rPr>
      </w:pPr>
      <w:r w:rsidRPr="00B12CB9">
        <w:rPr>
          <w:rFonts w:ascii="Times New Roman" w:eastAsia="Times New Roman" w:hAnsi="Times New Roman" w:cs="Times New Roman"/>
          <w:color w:val="000000"/>
          <w:sz w:val="24"/>
          <w:szCs w:val="24"/>
        </w:rPr>
        <w:t>Odds ratios analysis reveals that age is a strong predictor of becoming a high-cost healthcare user, and there is a clear pattern of substantially increasing risk as age increases. Similarly, as the material and social deprivation indices increase, the risk of becoming a high-cost user increases. Interestingly, social deprivation seems to increase risk more than material deprivation. Males have an increased risk compared to females. There is also a clear pattern of increased risk as the degree of rurality increases (as measured by the Rurality Index of Ontario Score). Current and past (1 year ago and 2 years ago) healthcare utilization across different care types are among the strongest predictors of becoming high-cost healthcare users. Of particular note are long-stay, long-term care utilization, more than one hospitalization in in-patient mental health, chronic continuing care, acute in-patient care, high number of outpatient dialysis and oncology visits, and high number of services in home care. The most influential diagnoses (controlling for all other variables in the model) are mental and behavioural disorders; congestive heart failure, chronic obstructive pulmonary disease and diabetes; diagnoses in pregnancy, childbirth and the puerperium ICD chapter; and congenital malformations, deformations and chromosomal abnormalities.</w:t>
      </w:r>
    </w:p>
    <w:p w:rsidR="00B12CB9" w:rsidRPr="00B12CB9" w:rsidRDefault="00B12CB9" w:rsidP="00B12CB9">
      <w:pPr>
        <w:shd w:val="clear" w:color="auto" w:fill="FFFFFF"/>
        <w:spacing w:before="166" w:after="166" w:line="240" w:lineRule="auto"/>
        <w:rPr>
          <w:rFonts w:ascii="Times New Roman" w:eastAsia="Times New Roman" w:hAnsi="Times New Roman" w:cs="Times New Roman"/>
          <w:color w:val="000000"/>
          <w:sz w:val="24"/>
          <w:szCs w:val="24"/>
        </w:rPr>
      </w:pPr>
      <w:r w:rsidRPr="00B12CB9">
        <w:rPr>
          <w:rFonts w:ascii="Times New Roman" w:eastAsia="Times New Roman" w:hAnsi="Times New Roman" w:cs="Times New Roman"/>
          <w:color w:val="000000"/>
          <w:sz w:val="24"/>
          <w:szCs w:val="24"/>
        </w:rPr>
        <w:t>Based on out-of-sample validation, both the ROC curve (Figure </w:t>
      </w:r>
      <w:hyperlink r:id="rId37" w:tgtFrame="figure" w:history="1">
        <w:r w:rsidRPr="00B12CB9">
          <w:rPr>
            <w:rFonts w:ascii="Times New Roman" w:eastAsia="Times New Roman" w:hAnsi="Times New Roman" w:cs="Times New Roman"/>
            <w:color w:val="642A8F"/>
            <w:sz w:val="24"/>
            <w:szCs w:val="24"/>
            <w:u w:val="single"/>
          </w:rPr>
          <w:t>​</w:t>
        </w:r>
        <w:r w:rsidRPr="00B12CB9">
          <w:rPr>
            <w:rFonts w:ascii="Times New Roman" w:eastAsia="Times New Roman" w:hAnsi="Times New Roman" w:cs="Times New Roman"/>
            <w:color w:val="642A8F"/>
            <w:sz w:val="24"/>
            <w:szCs w:val="24"/>
          </w:rPr>
          <w:t>(Figure1)</w:t>
        </w:r>
        <w:r w:rsidRPr="00B12CB9">
          <w:rPr>
            <w:rFonts w:ascii="Times New Roman" w:eastAsia="Times New Roman" w:hAnsi="Times New Roman" w:cs="Times New Roman"/>
            <w:color w:val="642A8F"/>
            <w:sz w:val="24"/>
            <w:szCs w:val="24"/>
            <w:u w:val="single"/>
          </w:rPr>
          <w:t>1</w:t>
        </w:r>
      </w:hyperlink>
      <w:r w:rsidRPr="00B12CB9">
        <w:rPr>
          <w:rFonts w:ascii="Times New Roman" w:eastAsia="Times New Roman" w:hAnsi="Times New Roman" w:cs="Times New Roman"/>
          <w:color w:val="000000"/>
          <w:sz w:val="24"/>
          <w:szCs w:val="24"/>
        </w:rPr>
        <w:t>) and the calibration (goodness-of-fit) curves (Figure </w:t>
      </w:r>
      <w:hyperlink r:id="rId38" w:tgtFrame="figure" w:history="1">
        <w:r w:rsidRPr="00B12CB9">
          <w:rPr>
            <w:rFonts w:ascii="Times New Roman" w:eastAsia="Times New Roman" w:hAnsi="Times New Roman" w:cs="Times New Roman"/>
            <w:color w:val="642A8F"/>
            <w:sz w:val="24"/>
            <w:szCs w:val="24"/>
            <w:u w:val="single"/>
          </w:rPr>
          <w:t>​</w:t>
        </w:r>
        <w:r w:rsidRPr="00B12CB9">
          <w:rPr>
            <w:rFonts w:ascii="Times New Roman" w:eastAsia="Times New Roman" w:hAnsi="Times New Roman" w:cs="Times New Roman"/>
            <w:color w:val="642A8F"/>
            <w:sz w:val="24"/>
            <w:szCs w:val="24"/>
          </w:rPr>
          <w:t>(Figure2)</w:t>
        </w:r>
        <w:r w:rsidRPr="00B12CB9">
          <w:rPr>
            <w:rFonts w:ascii="Times New Roman" w:eastAsia="Times New Roman" w:hAnsi="Times New Roman" w:cs="Times New Roman"/>
            <w:color w:val="642A8F"/>
            <w:sz w:val="24"/>
            <w:szCs w:val="24"/>
            <w:u w:val="single"/>
          </w:rPr>
          <w:t>2</w:t>
        </w:r>
      </w:hyperlink>
      <w:r w:rsidRPr="00B12CB9">
        <w:rPr>
          <w:rFonts w:ascii="Times New Roman" w:eastAsia="Times New Roman" w:hAnsi="Times New Roman" w:cs="Times New Roman"/>
          <w:color w:val="000000"/>
          <w:sz w:val="24"/>
          <w:szCs w:val="24"/>
        </w:rPr>
        <w:t>) show very good out-of-sample model performance. Table </w:t>
      </w:r>
      <w:hyperlink r:id="rId39" w:tgtFrame="table" w:history="1">
        <w:r w:rsidRPr="00B12CB9">
          <w:rPr>
            <w:rFonts w:ascii="Times New Roman" w:eastAsia="Times New Roman" w:hAnsi="Times New Roman" w:cs="Times New Roman"/>
            <w:color w:val="642A8F"/>
            <w:sz w:val="24"/>
            <w:szCs w:val="24"/>
            <w:u w:val="single"/>
          </w:rPr>
          <w:t>​</w:t>
        </w:r>
        <w:r w:rsidRPr="00B12CB9">
          <w:rPr>
            <w:rFonts w:ascii="Times New Roman" w:eastAsia="Times New Roman" w:hAnsi="Times New Roman" w:cs="Times New Roman"/>
            <w:color w:val="642A8F"/>
            <w:sz w:val="24"/>
            <w:szCs w:val="24"/>
          </w:rPr>
          <w:t>Table3</w:t>
        </w:r>
        <w:r w:rsidRPr="00B12CB9">
          <w:rPr>
            <w:rFonts w:ascii="Times New Roman" w:eastAsia="Times New Roman" w:hAnsi="Times New Roman" w:cs="Times New Roman"/>
            <w:color w:val="642A8F"/>
            <w:sz w:val="24"/>
            <w:szCs w:val="24"/>
            <w:u w:val="single"/>
          </w:rPr>
          <w:t>3</w:t>
        </w:r>
      </w:hyperlink>
      <w:r w:rsidRPr="00B12CB9">
        <w:rPr>
          <w:rFonts w:ascii="Times New Roman" w:eastAsia="Times New Roman" w:hAnsi="Times New Roman" w:cs="Times New Roman"/>
          <w:color w:val="000000"/>
          <w:sz w:val="24"/>
          <w:szCs w:val="24"/>
        </w:rPr>
        <w:t xml:space="preserve"> presents sensitivity, specificity, positive and negative predictive values, and accuracy for different cut-off points for the validation (out-of-sample) cohort. If the top 5% patients at risk of becoming HCUs are followed, the achieved sensitivity and specificity is 42.2% and 97%, respectively. These values suggest very reasonable predictive power, indicating that </w:t>
      </w:r>
      <w:r w:rsidRPr="00B12CB9">
        <w:rPr>
          <w:rFonts w:ascii="Times New Roman" w:eastAsia="Times New Roman" w:hAnsi="Times New Roman" w:cs="Times New Roman"/>
          <w:color w:val="000000"/>
          <w:sz w:val="24"/>
          <w:szCs w:val="24"/>
        </w:rPr>
        <w:lastRenderedPageBreak/>
        <w:t>the model picks up 42.2% of all high-cost healthcare users and correctly identifies 97% of those who are not high users. Accuracy of 94.2% is also very reasonable (percentage of true positive and true negative out of all patients).</w:t>
      </w:r>
    </w:p>
    <w:p w:rsidR="00B12CB9" w:rsidRPr="00B12CB9" w:rsidRDefault="00B12CB9" w:rsidP="00B12CB9">
      <w:pPr>
        <w:shd w:val="clear" w:color="auto" w:fill="FFFCF0"/>
        <w:spacing w:after="0" w:line="240" w:lineRule="auto"/>
        <w:rPr>
          <w:rFonts w:ascii="Times New Roman" w:eastAsia="Times New Roman" w:hAnsi="Times New Roman" w:cs="Times New Roman"/>
          <w:color w:val="642A8F"/>
          <w:sz w:val="24"/>
          <w:szCs w:val="24"/>
          <w:u w:val="single"/>
        </w:rPr>
      </w:pPr>
      <w:r w:rsidRPr="00B12CB9">
        <w:rPr>
          <w:rFonts w:ascii="Times New Roman" w:eastAsia="Times New Roman" w:hAnsi="Times New Roman" w:cs="Times New Roman"/>
          <w:color w:val="000000"/>
          <w:sz w:val="24"/>
          <w:szCs w:val="24"/>
        </w:rPr>
        <w:fldChar w:fldCharType="begin"/>
      </w:r>
      <w:r w:rsidRPr="00B12CB9">
        <w:rPr>
          <w:rFonts w:ascii="Times New Roman" w:eastAsia="Times New Roman" w:hAnsi="Times New Roman" w:cs="Times New Roman"/>
          <w:color w:val="000000"/>
          <w:sz w:val="24"/>
          <w:szCs w:val="24"/>
        </w:rPr>
        <w:instrText xml:space="preserve"> HYPERLINK "https://www.ncbi.nlm.nih.gov/pmc/articles/PMC3999564/figure/FG1/" \t "figure" </w:instrText>
      </w:r>
      <w:r w:rsidRPr="00B12CB9">
        <w:rPr>
          <w:rFonts w:ascii="Times New Roman" w:eastAsia="Times New Roman" w:hAnsi="Times New Roman" w:cs="Times New Roman"/>
          <w:color w:val="000000"/>
          <w:sz w:val="24"/>
          <w:szCs w:val="24"/>
        </w:rPr>
        <w:fldChar w:fldCharType="separate"/>
      </w:r>
    </w:p>
    <w:p w:rsidR="00B12CB9" w:rsidRPr="00B12CB9" w:rsidRDefault="00B12CB9" w:rsidP="00B12CB9">
      <w:pPr>
        <w:shd w:val="clear" w:color="auto" w:fill="FFFCF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642A8F"/>
          <w:sz w:val="24"/>
          <w:szCs w:val="24"/>
        </w:rPr>
        <w:drawing>
          <wp:inline distT="0" distB="0" distL="0" distR="0">
            <wp:extent cx="5715000" cy="3143250"/>
            <wp:effectExtent l="19050" t="0" r="0" b="0"/>
            <wp:docPr id="1" name="Picture 1" descr="An external file that holds a picture, illustration, etc.&#10;Object name is policy-09-74-g004.jpg">
              <a:hlinkClick xmlns:a="http://schemas.openxmlformats.org/drawingml/2006/main" r:id="rId37" tgtFrame="&quot;fig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ternal file that holds a picture, illustration, etc.&#10;Object name is policy-09-74-g004.jpg">
                      <a:hlinkClick r:id="rId37" tgtFrame="&quot;figure&quot;"/>
                    </pic:cNvPr>
                    <pic:cNvPicPr>
                      <a:picLocks noChangeAspect="1" noChangeArrowheads="1"/>
                    </pic:cNvPicPr>
                  </pic:nvPicPr>
                  <pic:blipFill>
                    <a:blip r:embed="rId40"/>
                    <a:srcRect/>
                    <a:stretch>
                      <a:fillRect/>
                    </a:stretch>
                  </pic:blipFill>
                  <pic:spPr bwMode="auto">
                    <a:xfrm>
                      <a:off x="0" y="0"/>
                      <a:ext cx="5715000" cy="3143250"/>
                    </a:xfrm>
                    <a:prstGeom prst="rect">
                      <a:avLst/>
                    </a:prstGeom>
                    <a:noFill/>
                    <a:ln w="9525">
                      <a:noFill/>
                      <a:miter lim="800000"/>
                      <a:headEnd/>
                      <a:tailEnd/>
                    </a:ln>
                  </pic:spPr>
                </pic:pic>
              </a:graphicData>
            </a:graphic>
          </wp:inline>
        </w:drawing>
      </w:r>
    </w:p>
    <w:p w:rsidR="00B12CB9" w:rsidRPr="00B12CB9" w:rsidRDefault="00B12CB9" w:rsidP="00B12CB9">
      <w:pPr>
        <w:shd w:val="clear" w:color="auto" w:fill="FFFCF0"/>
        <w:spacing w:after="0" w:line="240" w:lineRule="auto"/>
        <w:rPr>
          <w:rFonts w:ascii="Times New Roman" w:eastAsia="Times New Roman" w:hAnsi="Times New Roman" w:cs="Times New Roman"/>
          <w:color w:val="000000"/>
          <w:sz w:val="24"/>
          <w:szCs w:val="24"/>
        </w:rPr>
      </w:pPr>
      <w:r w:rsidRPr="00B12CB9">
        <w:rPr>
          <w:rFonts w:ascii="Times New Roman" w:eastAsia="Times New Roman" w:hAnsi="Times New Roman" w:cs="Times New Roman"/>
          <w:color w:val="000000"/>
          <w:sz w:val="24"/>
          <w:szCs w:val="24"/>
        </w:rPr>
        <w:fldChar w:fldCharType="end"/>
      </w:r>
    </w:p>
    <w:p w:rsidR="00B12CB9" w:rsidRPr="00B12CB9" w:rsidRDefault="00B12CB9" w:rsidP="00B12CB9">
      <w:pPr>
        <w:shd w:val="clear" w:color="auto" w:fill="FFFCF0"/>
        <w:spacing w:after="0" w:line="240" w:lineRule="auto"/>
        <w:textAlignment w:val="top"/>
        <w:rPr>
          <w:rFonts w:ascii="Times New Roman" w:eastAsia="Times New Roman" w:hAnsi="Times New Roman" w:cs="Times New Roman"/>
          <w:color w:val="666666"/>
        </w:rPr>
      </w:pPr>
      <w:hyperlink r:id="rId41" w:tgtFrame="figure" w:history="1">
        <w:r w:rsidRPr="00B12CB9">
          <w:rPr>
            <w:rFonts w:ascii="Times New Roman" w:eastAsia="Times New Roman" w:hAnsi="Times New Roman" w:cs="Times New Roman"/>
            <w:color w:val="642A8F"/>
            <w:u w:val="single"/>
          </w:rPr>
          <w:t>FIGURE 1.</w:t>
        </w:r>
      </w:hyperlink>
    </w:p>
    <w:p w:rsidR="00B12CB9" w:rsidRPr="00B12CB9" w:rsidRDefault="00B12CB9" w:rsidP="00B12CB9">
      <w:pPr>
        <w:shd w:val="clear" w:color="auto" w:fill="FFFCF0"/>
        <w:spacing w:before="166" w:line="240" w:lineRule="auto"/>
        <w:textAlignment w:val="top"/>
        <w:rPr>
          <w:rFonts w:ascii="Times New Roman" w:eastAsia="Times New Roman" w:hAnsi="Times New Roman" w:cs="Times New Roman"/>
          <w:color w:val="666666"/>
        </w:rPr>
      </w:pPr>
      <w:r w:rsidRPr="00B12CB9">
        <w:rPr>
          <w:rFonts w:ascii="Times New Roman" w:eastAsia="Times New Roman" w:hAnsi="Times New Roman" w:cs="Times New Roman"/>
          <w:color w:val="666666"/>
        </w:rPr>
        <w:t>Receiver operating characteristic (ROC) plot of model performance on scored 2008 data</w:t>
      </w:r>
    </w:p>
    <w:p w:rsidR="00B12CB9" w:rsidRPr="00B12CB9" w:rsidRDefault="00B12CB9" w:rsidP="00B12CB9">
      <w:pPr>
        <w:shd w:val="clear" w:color="auto" w:fill="FFFCF0"/>
        <w:spacing w:after="0" w:line="240" w:lineRule="auto"/>
        <w:rPr>
          <w:rFonts w:ascii="Times New Roman" w:eastAsia="Times New Roman" w:hAnsi="Times New Roman" w:cs="Times New Roman"/>
          <w:color w:val="642A8F"/>
          <w:sz w:val="24"/>
          <w:szCs w:val="24"/>
          <w:u w:val="single"/>
        </w:rPr>
      </w:pPr>
      <w:r w:rsidRPr="00B12CB9">
        <w:rPr>
          <w:rFonts w:ascii="Times New Roman" w:eastAsia="Times New Roman" w:hAnsi="Times New Roman" w:cs="Times New Roman"/>
          <w:color w:val="000000"/>
          <w:sz w:val="24"/>
          <w:szCs w:val="24"/>
        </w:rPr>
        <w:fldChar w:fldCharType="begin"/>
      </w:r>
      <w:r w:rsidRPr="00B12CB9">
        <w:rPr>
          <w:rFonts w:ascii="Times New Roman" w:eastAsia="Times New Roman" w:hAnsi="Times New Roman" w:cs="Times New Roman"/>
          <w:color w:val="000000"/>
          <w:sz w:val="24"/>
          <w:szCs w:val="24"/>
        </w:rPr>
        <w:instrText xml:space="preserve"> HYPERLINK "https://www.ncbi.nlm.nih.gov/pmc/articles/PMC3999564/figure/FG2/" \t "figure" </w:instrText>
      </w:r>
      <w:r w:rsidRPr="00B12CB9">
        <w:rPr>
          <w:rFonts w:ascii="Times New Roman" w:eastAsia="Times New Roman" w:hAnsi="Times New Roman" w:cs="Times New Roman"/>
          <w:color w:val="000000"/>
          <w:sz w:val="24"/>
          <w:szCs w:val="24"/>
        </w:rPr>
        <w:fldChar w:fldCharType="separate"/>
      </w:r>
    </w:p>
    <w:p w:rsidR="00B12CB9" w:rsidRPr="00B12CB9" w:rsidRDefault="00B12CB9" w:rsidP="00B12CB9">
      <w:pPr>
        <w:shd w:val="clear" w:color="auto" w:fill="FFFCF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642A8F"/>
          <w:sz w:val="24"/>
          <w:szCs w:val="24"/>
        </w:rPr>
        <w:drawing>
          <wp:inline distT="0" distB="0" distL="0" distR="0">
            <wp:extent cx="5715000" cy="3276600"/>
            <wp:effectExtent l="19050" t="0" r="0" b="0"/>
            <wp:docPr id="2" name="Picture 2" descr="An external file that holds a picture, illustration, etc.&#10;Object name is policy-09-74-g005.jpg">
              <a:hlinkClick xmlns:a="http://schemas.openxmlformats.org/drawingml/2006/main" r:id="rId38" tgtFrame="&quot;fig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external file that holds a picture, illustration, etc.&#10;Object name is policy-09-74-g005.jpg">
                      <a:hlinkClick r:id="rId38" tgtFrame="&quot;figure&quot;"/>
                    </pic:cNvPr>
                    <pic:cNvPicPr>
                      <a:picLocks noChangeAspect="1" noChangeArrowheads="1"/>
                    </pic:cNvPicPr>
                  </pic:nvPicPr>
                  <pic:blipFill>
                    <a:blip r:embed="rId42"/>
                    <a:srcRect/>
                    <a:stretch>
                      <a:fillRect/>
                    </a:stretch>
                  </pic:blipFill>
                  <pic:spPr bwMode="auto">
                    <a:xfrm>
                      <a:off x="0" y="0"/>
                      <a:ext cx="5715000" cy="3276600"/>
                    </a:xfrm>
                    <a:prstGeom prst="rect">
                      <a:avLst/>
                    </a:prstGeom>
                    <a:noFill/>
                    <a:ln w="9525">
                      <a:noFill/>
                      <a:miter lim="800000"/>
                      <a:headEnd/>
                      <a:tailEnd/>
                    </a:ln>
                  </pic:spPr>
                </pic:pic>
              </a:graphicData>
            </a:graphic>
          </wp:inline>
        </w:drawing>
      </w:r>
    </w:p>
    <w:p w:rsidR="00B12CB9" w:rsidRPr="00B12CB9" w:rsidRDefault="00B12CB9" w:rsidP="00B12CB9">
      <w:pPr>
        <w:shd w:val="clear" w:color="auto" w:fill="FFFCF0"/>
        <w:spacing w:after="0" w:line="240" w:lineRule="auto"/>
        <w:rPr>
          <w:rFonts w:ascii="Times New Roman" w:eastAsia="Times New Roman" w:hAnsi="Times New Roman" w:cs="Times New Roman"/>
          <w:color w:val="000000"/>
          <w:sz w:val="24"/>
          <w:szCs w:val="24"/>
        </w:rPr>
      </w:pPr>
      <w:r w:rsidRPr="00B12CB9">
        <w:rPr>
          <w:rFonts w:ascii="Times New Roman" w:eastAsia="Times New Roman" w:hAnsi="Times New Roman" w:cs="Times New Roman"/>
          <w:color w:val="000000"/>
          <w:sz w:val="24"/>
          <w:szCs w:val="24"/>
        </w:rPr>
        <w:lastRenderedPageBreak/>
        <w:fldChar w:fldCharType="end"/>
      </w:r>
    </w:p>
    <w:p w:rsidR="00B12CB9" w:rsidRPr="00B12CB9" w:rsidRDefault="00B12CB9" w:rsidP="00B12CB9">
      <w:pPr>
        <w:shd w:val="clear" w:color="auto" w:fill="FFFCF0"/>
        <w:spacing w:after="0" w:line="240" w:lineRule="auto"/>
        <w:textAlignment w:val="top"/>
        <w:rPr>
          <w:rFonts w:ascii="Times New Roman" w:eastAsia="Times New Roman" w:hAnsi="Times New Roman" w:cs="Times New Roman"/>
          <w:color w:val="666666"/>
        </w:rPr>
      </w:pPr>
      <w:hyperlink r:id="rId43" w:tgtFrame="figure" w:history="1">
        <w:r w:rsidRPr="00B12CB9">
          <w:rPr>
            <w:rFonts w:ascii="Times New Roman" w:eastAsia="Times New Roman" w:hAnsi="Times New Roman" w:cs="Times New Roman"/>
            <w:color w:val="642A8F"/>
            <w:u w:val="single"/>
          </w:rPr>
          <w:t>FIGURE 2.</w:t>
        </w:r>
      </w:hyperlink>
    </w:p>
    <w:p w:rsidR="00B12CB9" w:rsidRPr="00B12CB9" w:rsidRDefault="00B12CB9" w:rsidP="00B12CB9">
      <w:pPr>
        <w:shd w:val="clear" w:color="auto" w:fill="FFFCF0"/>
        <w:spacing w:before="166" w:line="240" w:lineRule="auto"/>
        <w:textAlignment w:val="top"/>
        <w:rPr>
          <w:rFonts w:ascii="Times New Roman" w:eastAsia="Times New Roman" w:hAnsi="Times New Roman" w:cs="Times New Roman"/>
          <w:color w:val="666666"/>
        </w:rPr>
      </w:pPr>
      <w:r w:rsidRPr="00B12CB9">
        <w:rPr>
          <w:rFonts w:ascii="Times New Roman" w:eastAsia="Times New Roman" w:hAnsi="Times New Roman" w:cs="Times New Roman"/>
          <w:color w:val="666666"/>
        </w:rPr>
        <w:t>Goodness of fit (calibration) curve on scored 2008 data</w:t>
      </w:r>
    </w:p>
    <w:p w:rsidR="00B12CB9" w:rsidRPr="00B12CB9" w:rsidRDefault="00B12CB9" w:rsidP="00B12CB9">
      <w:pPr>
        <w:shd w:val="clear" w:color="auto" w:fill="FFFCF0"/>
        <w:spacing w:after="154" w:line="300" w:lineRule="atLeast"/>
        <w:outlineLvl w:val="2"/>
        <w:rPr>
          <w:rFonts w:ascii="Arial" w:eastAsia="Times New Roman" w:hAnsi="Arial" w:cs="Arial"/>
          <w:color w:val="724128"/>
          <w:sz w:val="24"/>
          <w:szCs w:val="24"/>
        </w:rPr>
      </w:pPr>
      <w:r w:rsidRPr="00B12CB9">
        <w:rPr>
          <w:rFonts w:ascii="Arial" w:eastAsia="Times New Roman" w:hAnsi="Arial" w:cs="Arial"/>
          <w:color w:val="724128"/>
          <w:sz w:val="24"/>
          <w:szCs w:val="24"/>
        </w:rPr>
        <w:t>TABLE 3.</w:t>
      </w:r>
    </w:p>
    <w:p w:rsidR="00B12CB9" w:rsidRPr="00B12CB9" w:rsidRDefault="00B12CB9" w:rsidP="00B12CB9">
      <w:pPr>
        <w:shd w:val="clear" w:color="auto" w:fill="FFFCF0"/>
        <w:spacing w:before="166" w:line="240" w:lineRule="auto"/>
        <w:rPr>
          <w:rFonts w:ascii="Times New Roman" w:eastAsia="Times New Roman" w:hAnsi="Times New Roman" w:cs="Times New Roman"/>
          <w:color w:val="000000"/>
          <w:sz w:val="24"/>
          <w:szCs w:val="24"/>
        </w:rPr>
      </w:pPr>
      <w:r w:rsidRPr="00B12CB9">
        <w:rPr>
          <w:rFonts w:ascii="Times New Roman" w:eastAsia="Times New Roman" w:hAnsi="Times New Roman" w:cs="Times New Roman"/>
          <w:color w:val="000000"/>
          <w:sz w:val="24"/>
          <w:szCs w:val="24"/>
        </w:rPr>
        <w:t>Predictive (out-of-sample) performance of the model</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616"/>
        <w:gridCol w:w="1013"/>
        <w:gridCol w:w="1013"/>
        <w:gridCol w:w="1013"/>
        <w:gridCol w:w="1013"/>
        <w:gridCol w:w="1277"/>
        <w:gridCol w:w="2607"/>
      </w:tblGrid>
      <w:tr w:rsidR="00B12CB9" w:rsidRPr="00B12CB9" w:rsidTr="00B12CB9">
        <w:trPr>
          <w:tblHeader/>
        </w:trPr>
        <w:tc>
          <w:tcPr>
            <w:tcW w:w="0" w:type="auto"/>
            <w:vMerge w:val="restart"/>
            <w:tcBorders>
              <w:top w:val="nil"/>
              <w:left w:val="nil"/>
              <w:bottom w:val="single" w:sz="6" w:space="0" w:color="888888"/>
              <w:right w:val="single" w:sz="6" w:space="0" w:color="888888"/>
            </w:tcBorders>
            <w:tcMar>
              <w:top w:w="48" w:type="dxa"/>
              <w:left w:w="96" w:type="dxa"/>
              <w:bottom w:w="48" w:type="dxa"/>
              <w:right w:w="96" w:type="dxa"/>
            </w:tcMar>
            <w:vAlign w:val="bottom"/>
            <w:hideMark/>
          </w:tcPr>
          <w:p w:rsidR="00B12CB9" w:rsidRPr="00B12CB9" w:rsidRDefault="00B12CB9" w:rsidP="00B12CB9">
            <w:pPr>
              <w:spacing w:before="332" w:after="332" w:line="393" w:lineRule="atLeast"/>
              <w:rPr>
                <w:rFonts w:ascii="Times New Roman" w:eastAsia="Times New Roman" w:hAnsi="Times New Roman" w:cs="Times New Roman"/>
                <w:b/>
                <w:bCs/>
                <w:sz w:val="20"/>
                <w:szCs w:val="20"/>
              </w:rPr>
            </w:pPr>
            <w:r w:rsidRPr="00B12CB9">
              <w:rPr>
                <w:rFonts w:ascii="Times New Roman" w:eastAsia="Times New Roman" w:hAnsi="Times New Roman" w:cs="Times New Roman"/>
                <w:b/>
                <w:bCs/>
                <w:sz w:val="20"/>
                <w:szCs w:val="20"/>
              </w:rPr>
              <w:t>Metric</w:t>
            </w:r>
          </w:p>
        </w:tc>
        <w:tc>
          <w:tcPr>
            <w:tcW w:w="0" w:type="auto"/>
            <w:gridSpan w:val="4"/>
            <w:tcBorders>
              <w:top w:val="nil"/>
              <w:left w:val="single" w:sz="6" w:space="0" w:color="888888"/>
              <w:bottom w:val="single" w:sz="6" w:space="0" w:color="888888"/>
              <w:right w:val="single" w:sz="6" w:space="0" w:color="888888"/>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b/>
                <w:bCs/>
                <w:sz w:val="20"/>
                <w:szCs w:val="20"/>
              </w:rPr>
            </w:pPr>
            <w:r w:rsidRPr="00B12CB9">
              <w:rPr>
                <w:rFonts w:ascii="Times New Roman" w:eastAsia="Times New Roman" w:hAnsi="Times New Roman" w:cs="Times New Roman"/>
                <w:b/>
                <w:bCs/>
                <w:sz w:val="20"/>
                <w:szCs w:val="20"/>
              </w:rPr>
              <w:t>Selection of patients based on predicted probabilities – the top:</w:t>
            </w:r>
          </w:p>
        </w:tc>
        <w:tc>
          <w:tcPr>
            <w:tcW w:w="0" w:type="auto"/>
            <w:vMerge w:val="restart"/>
            <w:tcBorders>
              <w:top w:val="nil"/>
              <w:left w:val="single" w:sz="6" w:space="0" w:color="888888"/>
              <w:bottom w:val="single" w:sz="6" w:space="0" w:color="888888"/>
              <w:right w:val="single" w:sz="6" w:space="0" w:color="888888"/>
            </w:tcBorders>
            <w:tcMar>
              <w:top w:w="48" w:type="dxa"/>
              <w:left w:w="96" w:type="dxa"/>
              <w:bottom w:w="48" w:type="dxa"/>
              <w:right w:w="96" w:type="dxa"/>
            </w:tcMar>
            <w:vAlign w:val="bottom"/>
            <w:hideMark/>
          </w:tcPr>
          <w:p w:rsidR="00B12CB9" w:rsidRPr="00B12CB9" w:rsidRDefault="00B12CB9" w:rsidP="00B12CB9">
            <w:pPr>
              <w:spacing w:before="332" w:after="332" w:line="393" w:lineRule="atLeast"/>
              <w:rPr>
                <w:rFonts w:ascii="Times New Roman" w:eastAsia="Times New Roman" w:hAnsi="Times New Roman" w:cs="Times New Roman"/>
                <w:b/>
                <w:bCs/>
                <w:sz w:val="20"/>
                <w:szCs w:val="20"/>
              </w:rPr>
            </w:pPr>
            <w:r w:rsidRPr="00B12CB9">
              <w:rPr>
                <w:rFonts w:ascii="Times New Roman" w:eastAsia="Times New Roman" w:hAnsi="Times New Roman" w:cs="Times New Roman"/>
                <w:b/>
                <w:bCs/>
                <w:sz w:val="20"/>
                <w:szCs w:val="20"/>
              </w:rPr>
              <w:t>Formula</w:t>
            </w:r>
          </w:p>
        </w:tc>
        <w:tc>
          <w:tcPr>
            <w:tcW w:w="0" w:type="auto"/>
            <w:vMerge w:val="restart"/>
            <w:tcBorders>
              <w:top w:val="nil"/>
              <w:left w:val="single" w:sz="6" w:space="0" w:color="888888"/>
              <w:bottom w:val="single" w:sz="6" w:space="0" w:color="888888"/>
              <w:right w:val="nil"/>
            </w:tcBorders>
            <w:tcMar>
              <w:top w:w="48" w:type="dxa"/>
              <w:left w:w="96" w:type="dxa"/>
              <w:bottom w:w="48" w:type="dxa"/>
              <w:right w:w="96" w:type="dxa"/>
            </w:tcMar>
            <w:vAlign w:val="bottom"/>
            <w:hideMark/>
          </w:tcPr>
          <w:p w:rsidR="00B12CB9" w:rsidRPr="00B12CB9" w:rsidRDefault="00B12CB9" w:rsidP="00B12CB9">
            <w:pPr>
              <w:spacing w:before="332" w:after="332" w:line="393" w:lineRule="atLeast"/>
              <w:rPr>
                <w:rFonts w:ascii="Times New Roman" w:eastAsia="Times New Roman" w:hAnsi="Times New Roman" w:cs="Times New Roman"/>
                <w:b/>
                <w:bCs/>
                <w:sz w:val="20"/>
                <w:szCs w:val="20"/>
              </w:rPr>
            </w:pPr>
            <w:r w:rsidRPr="00B12CB9">
              <w:rPr>
                <w:rFonts w:ascii="Times New Roman" w:eastAsia="Times New Roman" w:hAnsi="Times New Roman" w:cs="Times New Roman"/>
                <w:b/>
                <w:bCs/>
                <w:sz w:val="20"/>
                <w:szCs w:val="20"/>
              </w:rPr>
              <w:t>Notes</w:t>
            </w:r>
          </w:p>
        </w:tc>
      </w:tr>
      <w:tr w:rsidR="00B12CB9" w:rsidRPr="00B12CB9" w:rsidTr="00B12CB9">
        <w:trPr>
          <w:tblHeader/>
        </w:trPr>
        <w:tc>
          <w:tcPr>
            <w:tcW w:w="0" w:type="auto"/>
            <w:vMerge/>
            <w:tcBorders>
              <w:top w:val="nil"/>
              <w:left w:val="nil"/>
              <w:bottom w:val="single" w:sz="6" w:space="0" w:color="888888"/>
              <w:right w:val="single" w:sz="6" w:space="0" w:color="888888"/>
            </w:tcBorders>
            <w:vAlign w:val="center"/>
            <w:hideMark/>
          </w:tcPr>
          <w:p w:rsidR="00B12CB9" w:rsidRPr="00B12CB9" w:rsidRDefault="00B12CB9" w:rsidP="00B12CB9">
            <w:pPr>
              <w:spacing w:after="0" w:line="240" w:lineRule="auto"/>
              <w:rPr>
                <w:rFonts w:ascii="Times New Roman" w:eastAsia="Times New Roman" w:hAnsi="Times New Roman" w:cs="Times New Roman"/>
                <w:b/>
                <w:bCs/>
                <w:sz w:val="20"/>
                <w:szCs w:val="20"/>
              </w:rPr>
            </w:pPr>
          </w:p>
        </w:tc>
        <w:tc>
          <w:tcPr>
            <w:tcW w:w="0" w:type="auto"/>
            <w:tcBorders>
              <w:top w:val="single" w:sz="6" w:space="0" w:color="888888"/>
              <w:left w:val="nil"/>
              <w:bottom w:val="nil"/>
              <w:right w:val="single" w:sz="6" w:space="0" w:color="888888"/>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b/>
                <w:bCs/>
                <w:sz w:val="20"/>
                <w:szCs w:val="20"/>
              </w:rPr>
            </w:pPr>
            <w:r w:rsidRPr="00B12CB9">
              <w:rPr>
                <w:rFonts w:ascii="Times New Roman" w:eastAsia="Times New Roman" w:hAnsi="Times New Roman" w:cs="Times New Roman"/>
                <w:b/>
                <w:bCs/>
                <w:sz w:val="20"/>
                <w:szCs w:val="20"/>
              </w:rPr>
              <w:t>1%</w:t>
            </w:r>
          </w:p>
        </w:tc>
        <w:tc>
          <w:tcPr>
            <w:tcW w:w="0" w:type="auto"/>
            <w:tcBorders>
              <w:top w:val="single" w:sz="6" w:space="0" w:color="888888"/>
              <w:left w:val="single" w:sz="6" w:space="0" w:color="888888"/>
              <w:bottom w:val="nil"/>
              <w:right w:val="single" w:sz="6" w:space="0" w:color="888888"/>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b/>
                <w:bCs/>
                <w:sz w:val="20"/>
                <w:szCs w:val="20"/>
              </w:rPr>
            </w:pPr>
            <w:r w:rsidRPr="00B12CB9">
              <w:rPr>
                <w:rFonts w:ascii="Times New Roman" w:eastAsia="Times New Roman" w:hAnsi="Times New Roman" w:cs="Times New Roman"/>
                <w:b/>
                <w:bCs/>
                <w:sz w:val="20"/>
                <w:szCs w:val="20"/>
              </w:rPr>
              <w:t>5%</w:t>
            </w:r>
          </w:p>
        </w:tc>
        <w:tc>
          <w:tcPr>
            <w:tcW w:w="0" w:type="auto"/>
            <w:tcBorders>
              <w:top w:val="single" w:sz="6" w:space="0" w:color="888888"/>
              <w:left w:val="single" w:sz="6" w:space="0" w:color="888888"/>
              <w:bottom w:val="nil"/>
              <w:right w:val="single" w:sz="6" w:space="0" w:color="888888"/>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b/>
                <w:bCs/>
                <w:sz w:val="20"/>
                <w:szCs w:val="20"/>
              </w:rPr>
            </w:pPr>
            <w:r w:rsidRPr="00B12CB9">
              <w:rPr>
                <w:rFonts w:ascii="Times New Roman" w:eastAsia="Times New Roman" w:hAnsi="Times New Roman" w:cs="Times New Roman"/>
                <w:b/>
                <w:bCs/>
                <w:sz w:val="20"/>
                <w:szCs w:val="20"/>
              </w:rPr>
              <w:t>10%</w:t>
            </w:r>
          </w:p>
        </w:tc>
        <w:tc>
          <w:tcPr>
            <w:tcW w:w="0" w:type="auto"/>
            <w:tcBorders>
              <w:top w:val="single" w:sz="6" w:space="0" w:color="888888"/>
              <w:left w:val="single" w:sz="6" w:space="0" w:color="888888"/>
              <w:bottom w:val="nil"/>
              <w:right w:val="nil"/>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b/>
                <w:bCs/>
                <w:sz w:val="20"/>
                <w:szCs w:val="20"/>
              </w:rPr>
            </w:pPr>
            <w:r w:rsidRPr="00B12CB9">
              <w:rPr>
                <w:rFonts w:ascii="Times New Roman" w:eastAsia="Times New Roman" w:hAnsi="Times New Roman" w:cs="Times New Roman"/>
                <w:b/>
                <w:bCs/>
                <w:sz w:val="20"/>
                <w:szCs w:val="20"/>
              </w:rPr>
              <w:t>15%</w:t>
            </w:r>
          </w:p>
        </w:tc>
        <w:tc>
          <w:tcPr>
            <w:tcW w:w="0" w:type="auto"/>
            <w:vMerge/>
            <w:tcBorders>
              <w:top w:val="nil"/>
              <w:left w:val="single" w:sz="6" w:space="0" w:color="888888"/>
              <w:bottom w:val="single" w:sz="6" w:space="0" w:color="888888"/>
              <w:right w:val="single" w:sz="6" w:space="0" w:color="888888"/>
            </w:tcBorders>
            <w:vAlign w:val="center"/>
            <w:hideMark/>
          </w:tcPr>
          <w:p w:rsidR="00B12CB9" w:rsidRPr="00B12CB9" w:rsidRDefault="00B12CB9" w:rsidP="00B12CB9">
            <w:pPr>
              <w:spacing w:after="0" w:line="240" w:lineRule="auto"/>
              <w:rPr>
                <w:rFonts w:ascii="Times New Roman" w:eastAsia="Times New Roman" w:hAnsi="Times New Roman" w:cs="Times New Roman"/>
                <w:b/>
                <w:bCs/>
                <w:sz w:val="20"/>
                <w:szCs w:val="20"/>
              </w:rPr>
            </w:pPr>
          </w:p>
        </w:tc>
        <w:tc>
          <w:tcPr>
            <w:tcW w:w="0" w:type="auto"/>
            <w:vMerge/>
            <w:tcBorders>
              <w:top w:val="nil"/>
              <w:left w:val="single" w:sz="6" w:space="0" w:color="888888"/>
              <w:bottom w:val="single" w:sz="6" w:space="0" w:color="888888"/>
              <w:right w:val="nil"/>
            </w:tcBorders>
            <w:vAlign w:val="center"/>
            <w:hideMark/>
          </w:tcPr>
          <w:p w:rsidR="00B12CB9" w:rsidRPr="00B12CB9" w:rsidRDefault="00B12CB9" w:rsidP="00B12CB9">
            <w:pPr>
              <w:spacing w:after="0" w:line="240" w:lineRule="auto"/>
              <w:rPr>
                <w:rFonts w:ascii="Times New Roman" w:eastAsia="Times New Roman" w:hAnsi="Times New Roman" w:cs="Times New Roman"/>
                <w:b/>
                <w:bCs/>
                <w:sz w:val="20"/>
                <w:szCs w:val="20"/>
              </w:rPr>
            </w:pPr>
          </w:p>
        </w:tc>
      </w:tr>
      <w:tr w:rsidR="00B12CB9" w:rsidRPr="00B12CB9" w:rsidTr="00B12CB9">
        <w:tc>
          <w:tcPr>
            <w:tcW w:w="0" w:type="auto"/>
            <w:tcBorders>
              <w:top w:val="nil"/>
              <w:left w:val="nil"/>
              <w:bottom w:val="single" w:sz="6" w:space="0" w:color="888888"/>
              <w:right w:val="single" w:sz="6" w:space="0" w:color="888888"/>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sz w:val="20"/>
                <w:szCs w:val="20"/>
              </w:rPr>
            </w:pPr>
            <w:r w:rsidRPr="00B12CB9">
              <w:rPr>
                <w:rFonts w:ascii="Times New Roman" w:eastAsia="Times New Roman" w:hAnsi="Times New Roman" w:cs="Times New Roman"/>
                <w:sz w:val="20"/>
                <w:szCs w:val="20"/>
              </w:rPr>
              <w:t>Sensitivity</w:t>
            </w:r>
          </w:p>
        </w:tc>
        <w:tc>
          <w:tcPr>
            <w:tcW w:w="0" w:type="auto"/>
            <w:tcBorders>
              <w:top w:val="nil"/>
              <w:left w:val="single" w:sz="6" w:space="0" w:color="888888"/>
              <w:bottom w:val="single" w:sz="6" w:space="0" w:color="888888"/>
              <w:right w:val="single" w:sz="6" w:space="0" w:color="888888"/>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sz w:val="20"/>
                <w:szCs w:val="20"/>
              </w:rPr>
            </w:pPr>
            <w:r w:rsidRPr="00B12CB9">
              <w:rPr>
                <w:rFonts w:ascii="Times New Roman" w:eastAsia="Times New Roman" w:hAnsi="Times New Roman" w:cs="Times New Roman"/>
                <w:sz w:val="20"/>
                <w:szCs w:val="20"/>
              </w:rPr>
              <w:t>15.8%</w:t>
            </w:r>
          </w:p>
        </w:tc>
        <w:tc>
          <w:tcPr>
            <w:tcW w:w="0" w:type="auto"/>
            <w:tcBorders>
              <w:top w:val="nil"/>
              <w:left w:val="single" w:sz="6" w:space="0" w:color="888888"/>
              <w:bottom w:val="single" w:sz="6" w:space="0" w:color="888888"/>
              <w:right w:val="single" w:sz="6" w:space="0" w:color="888888"/>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sz w:val="20"/>
                <w:szCs w:val="20"/>
              </w:rPr>
            </w:pPr>
            <w:r w:rsidRPr="00B12CB9">
              <w:rPr>
                <w:rFonts w:ascii="Times New Roman" w:eastAsia="Times New Roman" w:hAnsi="Times New Roman" w:cs="Times New Roman"/>
                <w:sz w:val="20"/>
                <w:szCs w:val="20"/>
              </w:rPr>
              <w:t>42.2%</w:t>
            </w:r>
          </w:p>
        </w:tc>
        <w:tc>
          <w:tcPr>
            <w:tcW w:w="0" w:type="auto"/>
            <w:tcBorders>
              <w:top w:val="nil"/>
              <w:left w:val="single" w:sz="6" w:space="0" w:color="888888"/>
              <w:bottom w:val="single" w:sz="6" w:space="0" w:color="888888"/>
              <w:right w:val="single" w:sz="6" w:space="0" w:color="888888"/>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sz w:val="20"/>
                <w:szCs w:val="20"/>
              </w:rPr>
            </w:pPr>
            <w:r w:rsidRPr="00B12CB9">
              <w:rPr>
                <w:rFonts w:ascii="Times New Roman" w:eastAsia="Times New Roman" w:hAnsi="Times New Roman" w:cs="Times New Roman"/>
                <w:sz w:val="20"/>
                <w:szCs w:val="20"/>
              </w:rPr>
              <w:t>57.1%</w:t>
            </w:r>
          </w:p>
        </w:tc>
        <w:tc>
          <w:tcPr>
            <w:tcW w:w="0" w:type="auto"/>
            <w:tcBorders>
              <w:top w:val="nil"/>
              <w:left w:val="single" w:sz="6" w:space="0" w:color="888888"/>
              <w:bottom w:val="single" w:sz="6" w:space="0" w:color="888888"/>
              <w:right w:val="single" w:sz="6" w:space="0" w:color="888888"/>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sz w:val="20"/>
                <w:szCs w:val="20"/>
              </w:rPr>
            </w:pPr>
            <w:r w:rsidRPr="00B12CB9">
              <w:rPr>
                <w:rFonts w:ascii="Times New Roman" w:eastAsia="Times New Roman" w:hAnsi="Times New Roman" w:cs="Times New Roman"/>
                <w:sz w:val="20"/>
                <w:szCs w:val="20"/>
              </w:rPr>
              <w:t>66.4%</w:t>
            </w:r>
          </w:p>
        </w:tc>
        <w:tc>
          <w:tcPr>
            <w:tcW w:w="0" w:type="auto"/>
            <w:tcBorders>
              <w:top w:val="nil"/>
              <w:left w:val="single" w:sz="6" w:space="0" w:color="888888"/>
              <w:bottom w:val="single" w:sz="6" w:space="0" w:color="888888"/>
              <w:right w:val="single" w:sz="6" w:space="0" w:color="888888"/>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sz w:val="20"/>
                <w:szCs w:val="20"/>
              </w:rPr>
            </w:pPr>
            <w:r w:rsidRPr="00B12CB9">
              <w:rPr>
                <w:rFonts w:ascii="Times New Roman" w:eastAsia="Times New Roman" w:hAnsi="Times New Roman" w:cs="Times New Roman"/>
                <w:sz w:val="20"/>
                <w:szCs w:val="20"/>
              </w:rPr>
              <w:t>TP/(TP + FN)</w:t>
            </w:r>
          </w:p>
        </w:tc>
        <w:tc>
          <w:tcPr>
            <w:tcW w:w="0" w:type="auto"/>
            <w:tcBorders>
              <w:top w:val="nil"/>
              <w:left w:val="single" w:sz="6" w:space="0" w:color="888888"/>
              <w:bottom w:val="single" w:sz="6" w:space="0" w:color="888888"/>
              <w:right w:val="nil"/>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sz w:val="20"/>
                <w:szCs w:val="20"/>
              </w:rPr>
            </w:pPr>
            <w:r w:rsidRPr="00B12CB9">
              <w:rPr>
                <w:rFonts w:ascii="Times New Roman" w:eastAsia="Times New Roman" w:hAnsi="Times New Roman" w:cs="Times New Roman"/>
                <w:sz w:val="20"/>
                <w:szCs w:val="20"/>
              </w:rPr>
              <w:t>picks up % of all high users</w:t>
            </w:r>
          </w:p>
        </w:tc>
      </w:tr>
      <w:tr w:rsidR="00B12CB9" w:rsidRPr="00B12CB9" w:rsidTr="00B12CB9">
        <w:tc>
          <w:tcPr>
            <w:tcW w:w="0" w:type="auto"/>
            <w:tcBorders>
              <w:top w:val="single" w:sz="6" w:space="0" w:color="888888"/>
              <w:left w:val="nil"/>
              <w:bottom w:val="single" w:sz="6" w:space="0" w:color="888888"/>
              <w:right w:val="single" w:sz="6" w:space="0" w:color="888888"/>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sz w:val="20"/>
                <w:szCs w:val="20"/>
              </w:rPr>
            </w:pPr>
            <w:r w:rsidRPr="00B12CB9">
              <w:rPr>
                <w:rFonts w:ascii="Times New Roman" w:eastAsia="Times New Roman" w:hAnsi="Times New Roman" w:cs="Times New Roman"/>
                <w:sz w:val="20"/>
                <w:szCs w:val="20"/>
              </w:rPr>
              <w:t>Specificity</w:t>
            </w:r>
          </w:p>
        </w:tc>
        <w:tc>
          <w:tcPr>
            <w:tcW w:w="0" w:type="auto"/>
            <w:tcBorders>
              <w:top w:val="single" w:sz="6" w:space="0" w:color="888888"/>
              <w:left w:val="single" w:sz="6" w:space="0" w:color="888888"/>
              <w:bottom w:val="single" w:sz="6" w:space="0" w:color="888888"/>
              <w:right w:val="single" w:sz="6" w:space="0" w:color="888888"/>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sz w:val="20"/>
                <w:szCs w:val="20"/>
              </w:rPr>
            </w:pPr>
            <w:r w:rsidRPr="00B12CB9">
              <w:rPr>
                <w:rFonts w:ascii="Times New Roman" w:eastAsia="Times New Roman" w:hAnsi="Times New Roman" w:cs="Times New Roman"/>
                <w:sz w:val="20"/>
                <w:szCs w:val="20"/>
              </w:rPr>
              <w:t>99.8%</w:t>
            </w:r>
          </w:p>
        </w:tc>
        <w:tc>
          <w:tcPr>
            <w:tcW w:w="0" w:type="auto"/>
            <w:tcBorders>
              <w:top w:val="single" w:sz="6" w:space="0" w:color="888888"/>
              <w:left w:val="single" w:sz="6" w:space="0" w:color="888888"/>
              <w:bottom w:val="single" w:sz="6" w:space="0" w:color="888888"/>
              <w:right w:val="single" w:sz="6" w:space="0" w:color="888888"/>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sz w:val="20"/>
                <w:szCs w:val="20"/>
              </w:rPr>
            </w:pPr>
            <w:r w:rsidRPr="00B12CB9">
              <w:rPr>
                <w:rFonts w:ascii="Times New Roman" w:eastAsia="Times New Roman" w:hAnsi="Times New Roman" w:cs="Times New Roman"/>
                <w:sz w:val="20"/>
                <w:szCs w:val="20"/>
              </w:rPr>
              <w:t>97.0%</w:t>
            </w:r>
          </w:p>
        </w:tc>
        <w:tc>
          <w:tcPr>
            <w:tcW w:w="0" w:type="auto"/>
            <w:tcBorders>
              <w:top w:val="single" w:sz="6" w:space="0" w:color="888888"/>
              <w:left w:val="single" w:sz="6" w:space="0" w:color="888888"/>
              <w:bottom w:val="single" w:sz="6" w:space="0" w:color="888888"/>
              <w:right w:val="single" w:sz="6" w:space="0" w:color="888888"/>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sz w:val="20"/>
                <w:szCs w:val="20"/>
              </w:rPr>
            </w:pPr>
            <w:r w:rsidRPr="00B12CB9">
              <w:rPr>
                <w:rFonts w:ascii="Times New Roman" w:eastAsia="Times New Roman" w:hAnsi="Times New Roman" w:cs="Times New Roman"/>
                <w:sz w:val="20"/>
                <w:szCs w:val="20"/>
              </w:rPr>
              <w:t>92.5%</w:t>
            </w:r>
          </w:p>
        </w:tc>
        <w:tc>
          <w:tcPr>
            <w:tcW w:w="0" w:type="auto"/>
            <w:tcBorders>
              <w:top w:val="single" w:sz="6" w:space="0" w:color="888888"/>
              <w:left w:val="single" w:sz="6" w:space="0" w:color="888888"/>
              <w:bottom w:val="single" w:sz="6" w:space="0" w:color="888888"/>
              <w:right w:val="single" w:sz="6" w:space="0" w:color="888888"/>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sz w:val="20"/>
                <w:szCs w:val="20"/>
              </w:rPr>
            </w:pPr>
            <w:r w:rsidRPr="00B12CB9">
              <w:rPr>
                <w:rFonts w:ascii="Times New Roman" w:eastAsia="Times New Roman" w:hAnsi="Times New Roman" w:cs="Times New Roman"/>
                <w:sz w:val="20"/>
                <w:szCs w:val="20"/>
              </w:rPr>
              <w:t>87.7%</w:t>
            </w:r>
          </w:p>
        </w:tc>
        <w:tc>
          <w:tcPr>
            <w:tcW w:w="0" w:type="auto"/>
            <w:tcBorders>
              <w:top w:val="single" w:sz="6" w:space="0" w:color="888888"/>
              <w:left w:val="single" w:sz="6" w:space="0" w:color="888888"/>
              <w:bottom w:val="single" w:sz="6" w:space="0" w:color="888888"/>
              <w:right w:val="single" w:sz="6" w:space="0" w:color="888888"/>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sz w:val="20"/>
                <w:szCs w:val="20"/>
              </w:rPr>
            </w:pPr>
            <w:r w:rsidRPr="00B12CB9">
              <w:rPr>
                <w:rFonts w:ascii="Times New Roman" w:eastAsia="Times New Roman" w:hAnsi="Times New Roman" w:cs="Times New Roman"/>
                <w:sz w:val="20"/>
                <w:szCs w:val="20"/>
              </w:rPr>
              <w:t>TN/(FP + TN)</w:t>
            </w:r>
          </w:p>
        </w:tc>
        <w:tc>
          <w:tcPr>
            <w:tcW w:w="0" w:type="auto"/>
            <w:tcBorders>
              <w:top w:val="single" w:sz="6" w:space="0" w:color="888888"/>
              <w:left w:val="single" w:sz="6" w:space="0" w:color="888888"/>
              <w:bottom w:val="single" w:sz="6" w:space="0" w:color="888888"/>
              <w:right w:val="nil"/>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sz w:val="20"/>
                <w:szCs w:val="20"/>
              </w:rPr>
            </w:pPr>
            <w:r w:rsidRPr="00B12CB9">
              <w:rPr>
                <w:rFonts w:ascii="Times New Roman" w:eastAsia="Times New Roman" w:hAnsi="Times New Roman" w:cs="Times New Roman"/>
                <w:sz w:val="20"/>
                <w:szCs w:val="20"/>
              </w:rPr>
              <w:t>correctly identifies % of those who are not high users</w:t>
            </w:r>
          </w:p>
        </w:tc>
      </w:tr>
      <w:tr w:rsidR="00B12CB9" w:rsidRPr="00B12CB9" w:rsidTr="00B12CB9">
        <w:tc>
          <w:tcPr>
            <w:tcW w:w="0" w:type="auto"/>
            <w:tcBorders>
              <w:top w:val="single" w:sz="6" w:space="0" w:color="888888"/>
              <w:left w:val="nil"/>
              <w:bottom w:val="single" w:sz="6" w:space="0" w:color="888888"/>
              <w:right w:val="single" w:sz="6" w:space="0" w:color="888888"/>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sz w:val="20"/>
                <w:szCs w:val="20"/>
              </w:rPr>
            </w:pPr>
            <w:r w:rsidRPr="00B12CB9">
              <w:rPr>
                <w:rFonts w:ascii="Times New Roman" w:eastAsia="Times New Roman" w:hAnsi="Times New Roman" w:cs="Times New Roman"/>
                <w:sz w:val="20"/>
                <w:szCs w:val="20"/>
              </w:rPr>
              <w:t>Positive Predictive Value</w:t>
            </w:r>
          </w:p>
        </w:tc>
        <w:tc>
          <w:tcPr>
            <w:tcW w:w="0" w:type="auto"/>
            <w:tcBorders>
              <w:top w:val="single" w:sz="6" w:space="0" w:color="888888"/>
              <w:left w:val="single" w:sz="6" w:space="0" w:color="888888"/>
              <w:bottom w:val="single" w:sz="6" w:space="0" w:color="888888"/>
              <w:right w:val="single" w:sz="6" w:space="0" w:color="888888"/>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sz w:val="20"/>
                <w:szCs w:val="20"/>
              </w:rPr>
            </w:pPr>
            <w:r w:rsidRPr="00B12CB9">
              <w:rPr>
                <w:rFonts w:ascii="Times New Roman" w:eastAsia="Times New Roman" w:hAnsi="Times New Roman" w:cs="Times New Roman"/>
                <w:sz w:val="20"/>
                <w:szCs w:val="20"/>
              </w:rPr>
              <w:t>79.9%</w:t>
            </w:r>
          </w:p>
        </w:tc>
        <w:tc>
          <w:tcPr>
            <w:tcW w:w="0" w:type="auto"/>
            <w:tcBorders>
              <w:top w:val="single" w:sz="6" w:space="0" w:color="888888"/>
              <w:left w:val="single" w:sz="6" w:space="0" w:color="888888"/>
              <w:bottom w:val="single" w:sz="6" w:space="0" w:color="888888"/>
              <w:right w:val="single" w:sz="6" w:space="0" w:color="888888"/>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sz w:val="20"/>
                <w:szCs w:val="20"/>
              </w:rPr>
            </w:pPr>
            <w:r w:rsidRPr="00B12CB9">
              <w:rPr>
                <w:rFonts w:ascii="Times New Roman" w:eastAsia="Times New Roman" w:hAnsi="Times New Roman" w:cs="Times New Roman"/>
                <w:sz w:val="20"/>
                <w:szCs w:val="20"/>
              </w:rPr>
              <w:t>42.6%</w:t>
            </w:r>
          </w:p>
        </w:tc>
        <w:tc>
          <w:tcPr>
            <w:tcW w:w="0" w:type="auto"/>
            <w:tcBorders>
              <w:top w:val="single" w:sz="6" w:space="0" w:color="888888"/>
              <w:left w:val="single" w:sz="6" w:space="0" w:color="888888"/>
              <w:bottom w:val="single" w:sz="6" w:space="0" w:color="888888"/>
              <w:right w:val="single" w:sz="6" w:space="0" w:color="888888"/>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sz w:val="20"/>
                <w:szCs w:val="20"/>
              </w:rPr>
            </w:pPr>
            <w:r w:rsidRPr="00B12CB9">
              <w:rPr>
                <w:rFonts w:ascii="Times New Roman" w:eastAsia="Times New Roman" w:hAnsi="Times New Roman" w:cs="Times New Roman"/>
                <w:sz w:val="20"/>
                <w:szCs w:val="20"/>
              </w:rPr>
              <w:t>28.8%</w:t>
            </w:r>
          </w:p>
        </w:tc>
        <w:tc>
          <w:tcPr>
            <w:tcW w:w="0" w:type="auto"/>
            <w:tcBorders>
              <w:top w:val="single" w:sz="6" w:space="0" w:color="888888"/>
              <w:left w:val="single" w:sz="6" w:space="0" w:color="888888"/>
              <w:bottom w:val="single" w:sz="6" w:space="0" w:color="888888"/>
              <w:right w:val="single" w:sz="6" w:space="0" w:color="888888"/>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sz w:val="20"/>
                <w:szCs w:val="20"/>
              </w:rPr>
            </w:pPr>
            <w:r w:rsidRPr="00B12CB9">
              <w:rPr>
                <w:rFonts w:ascii="Times New Roman" w:eastAsia="Times New Roman" w:hAnsi="Times New Roman" w:cs="Times New Roman"/>
                <w:sz w:val="20"/>
                <w:szCs w:val="20"/>
              </w:rPr>
              <w:t>22.4%</w:t>
            </w:r>
          </w:p>
        </w:tc>
        <w:tc>
          <w:tcPr>
            <w:tcW w:w="0" w:type="auto"/>
            <w:tcBorders>
              <w:top w:val="single" w:sz="6" w:space="0" w:color="888888"/>
              <w:left w:val="single" w:sz="6" w:space="0" w:color="888888"/>
              <w:bottom w:val="single" w:sz="6" w:space="0" w:color="888888"/>
              <w:right w:val="single" w:sz="6" w:space="0" w:color="888888"/>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sz w:val="20"/>
                <w:szCs w:val="20"/>
              </w:rPr>
            </w:pPr>
            <w:r w:rsidRPr="00B12CB9">
              <w:rPr>
                <w:rFonts w:ascii="Times New Roman" w:eastAsia="Times New Roman" w:hAnsi="Times New Roman" w:cs="Times New Roman"/>
                <w:sz w:val="20"/>
                <w:szCs w:val="20"/>
              </w:rPr>
              <w:t>TP/(TP + FP)</w:t>
            </w:r>
          </w:p>
        </w:tc>
        <w:tc>
          <w:tcPr>
            <w:tcW w:w="0" w:type="auto"/>
            <w:tcBorders>
              <w:top w:val="single" w:sz="6" w:space="0" w:color="888888"/>
              <w:left w:val="single" w:sz="6" w:space="0" w:color="888888"/>
              <w:bottom w:val="single" w:sz="6" w:space="0" w:color="888888"/>
              <w:right w:val="nil"/>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sz w:val="20"/>
                <w:szCs w:val="20"/>
              </w:rPr>
            </w:pPr>
            <w:r w:rsidRPr="00B12CB9">
              <w:rPr>
                <w:rFonts w:ascii="Times New Roman" w:eastAsia="Times New Roman" w:hAnsi="Times New Roman" w:cs="Times New Roman"/>
                <w:sz w:val="20"/>
                <w:szCs w:val="20"/>
              </w:rPr>
              <w:t>good at confirming high users</w:t>
            </w:r>
          </w:p>
        </w:tc>
      </w:tr>
      <w:tr w:rsidR="00B12CB9" w:rsidRPr="00B12CB9" w:rsidTr="00B12CB9">
        <w:tc>
          <w:tcPr>
            <w:tcW w:w="0" w:type="auto"/>
            <w:tcBorders>
              <w:top w:val="single" w:sz="6" w:space="0" w:color="888888"/>
              <w:left w:val="nil"/>
              <w:bottom w:val="single" w:sz="6" w:space="0" w:color="888888"/>
              <w:right w:val="single" w:sz="6" w:space="0" w:color="888888"/>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sz w:val="20"/>
                <w:szCs w:val="20"/>
              </w:rPr>
            </w:pPr>
            <w:r w:rsidRPr="00B12CB9">
              <w:rPr>
                <w:rFonts w:ascii="Times New Roman" w:eastAsia="Times New Roman" w:hAnsi="Times New Roman" w:cs="Times New Roman"/>
                <w:sz w:val="20"/>
                <w:szCs w:val="20"/>
              </w:rPr>
              <w:t>Negative Predictive Value</w:t>
            </w:r>
          </w:p>
        </w:tc>
        <w:tc>
          <w:tcPr>
            <w:tcW w:w="0" w:type="auto"/>
            <w:tcBorders>
              <w:top w:val="single" w:sz="6" w:space="0" w:color="888888"/>
              <w:left w:val="single" w:sz="6" w:space="0" w:color="888888"/>
              <w:bottom w:val="single" w:sz="6" w:space="0" w:color="888888"/>
              <w:right w:val="single" w:sz="6" w:space="0" w:color="888888"/>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sz w:val="20"/>
                <w:szCs w:val="20"/>
              </w:rPr>
            </w:pPr>
            <w:r w:rsidRPr="00B12CB9">
              <w:rPr>
                <w:rFonts w:ascii="Times New Roman" w:eastAsia="Times New Roman" w:hAnsi="Times New Roman" w:cs="Times New Roman"/>
                <w:sz w:val="20"/>
                <w:szCs w:val="20"/>
              </w:rPr>
              <w:t>95.7%</w:t>
            </w:r>
          </w:p>
        </w:tc>
        <w:tc>
          <w:tcPr>
            <w:tcW w:w="0" w:type="auto"/>
            <w:tcBorders>
              <w:top w:val="single" w:sz="6" w:space="0" w:color="888888"/>
              <w:left w:val="single" w:sz="6" w:space="0" w:color="888888"/>
              <w:bottom w:val="single" w:sz="6" w:space="0" w:color="888888"/>
              <w:right w:val="single" w:sz="6" w:space="0" w:color="888888"/>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sz w:val="20"/>
                <w:szCs w:val="20"/>
              </w:rPr>
            </w:pPr>
            <w:r w:rsidRPr="00B12CB9">
              <w:rPr>
                <w:rFonts w:ascii="Times New Roman" w:eastAsia="Times New Roman" w:hAnsi="Times New Roman" w:cs="Times New Roman"/>
                <w:sz w:val="20"/>
                <w:szCs w:val="20"/>
              </w:rPr>
              <w:t>96.9%</w:t>
            </w:r>
          </w:p>
        </w:tc>
        <w:tc>
          <w:tcPr>
            <w:tcW w:w="0" w:type="auto"/>
            <w:tcBorders>
              <w:top w:val="single" w:sz="6" w:space="0" w:color="888888"/>
              <w:left w:val="single" w:sz="6" w:space="0" w:color="888888"/>
              <w:bottom w:val="single" w:sz="6" w:space="0" w:color="888888"/>
              <w:right w:val="single" w:sz="6" w:space="0" w:color="888888"/>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sz w:val="20"/>
                <w:szCs w:val="20"/>
              </w:rPr>
            </w:pPr>
            <w:r w:rsidRPr="00B12CB9">
              <w:rPr>
                <w:rFonts w:ascii="Times New Roman" w:eastAsia="Times New Roman" w:hAnsi="Times New Roman" w:cs="Times New Roman"/>
                <w:sz w:val="20"/>
                <w:szCs w:val="20"/>
              </w:rPr>
              <w:t>97.6%</w:t>
            </w:r>
          </w:p>
        </w:tc>
        <w:tc>
          <w:tcPr>
            <w:tcW w:w="0" w:type="auto"/>
            <w:tcBorders>
              <w:top w:val="single" w:sz="6" w:space="0" w:color="888888"/>
              <w:left w:val="single" w:sz="6" w:space="0" w:color="888888"/>
              <w:bottom w:val="single" w:sz="6" w:space="0" w:color="888888"/>
              <w:right w:val="single" w:sz="6" w:space="0" w:color="888888"/>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sz w:val="20"/>
                <w:szCs w:val="20"/>
              </w:rPr>
            </w:pPr>
            <w:r w:rsidRPr="00B12CB9">
              <w:rPr>
                <w:rFonts w:ascii="Times New Roman" w:eastAsia="Times New Roman" w:hAnsi="Times New Roman" w:cs="Times New Roman"/>
                <w:sz w:val="20"/>
                <w:szCs w:val="20"/>
              </w:rPr>
              <w:t>98.0%</w:t>
            </w:r>
          </w:p>
        </w:tc>
        <w:tc>
          <w:tcPr>
            <w:tcW w:w="0" w:type="auto"/>
            <w:tcBorders>
              <w:top w:val="single" w:sz="6" w:space="0" w:color="888888"/>
              <w:left w:val="single" w:sz="6" w:space="0" w:color="888888"/>
              <w:bottom w:val="single" w:sz="6" w:space="0" w:color="888888"/>
              <w:right w:val="single" w:sz="6" w:space="0" w:color="888888"/>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sz w:val="20"/>
                <w:szCs w:val="20"/>
              </w:rPr>
            </w:pPr>
            <w:r w:rsidRPr="00B12CB9">
              <w:rPr>
                <w:rFonts w:ascii="Times New Roman" w:eastAsia="Times New Roman" w:hAnsi="Times New Roman" w:cs="Times New Roman"/>
                <w:sz w:val="20"/>
                <w:szCs w:val="20"/>
              </w:rPr>
              <w:t>TN/(FN + TN)</w:t>
            </w:r>
          </w:p>
        </w:tc>
        <w:tc>
          <w:tcPr>
            <w:tcW w:w="0" w:type="auto"/>
            <w:tcBorders>
              <w:top w:val="single" w:sz="6" w:space="0" w:color="888888"/>
              <w:left w:val="single" w:sz="6" w:space="0" w:color="888888"/>
              <w:bottom w:val="single" w:sz="6" w:space="0" w:color="888888"/>
              <w:right w:val="nil"/>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sz w:val="20"/>
                <w:szCs w:val="20"/>
              </w:rPr>
            </w:pPr>
            <w:r w:rsidRPr="00B12CB9">
              <w:rPr>
                <w:rFonts w:ascii="Times New Roman" w:eastAsia="Times New Roman" w:hAnsi="Times New Roman" w:cs="Times New Roman"/>
                <w:sz w:val="20"/>
                <w:szCs w:val="20"/>
              </w:rPr>
              <w:t>reassuring that a patient will not become a high user</w:t>
            </w:r>
          </w:p>
        </w:tc>
      </w:tr>
      <w:tr w:rsidR="00B12CB9" w:rsidRPr="00B12CB9" w:rsidTr="00B12CB9">
        <w:tc>
          <w:tcPr>
            <w:tcW w:w="0" w:type="auto"/>
            <w:tcBorders>
              <w:top w:val="single" w:sz="6" w:space="0" w:color="888888"/>
              <w:left w:val="nil"/>
              <w:bottom w:val="nil"/>
              <w:right w:val="single" w:sz="6" w:space="0" w:color="888888"/>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sz w:val="20"/>
                <w:szCs w:val="20"/>
              </w:rPr>
            </w:pPr>
            <w:r w:rsidRPr="00B12CB9">
              <w:rPr>
                <w:rFonts w:ascii="Times New Roman" w:eastAsia="Times New Roman" w:hAnsi="Times New Roman" w:cs="Times New Roman"/>
                <w:sz w:val="20"/>
                <w:szCs w:val="20"/>
              </w:rPr>
              <w:t>Accuracy</w:t>
            </w:r>
          </w:p>
        </w:tc>
        <w:tc>
          <w:tcPr>
            <w:tcW w:w="0" w:type="auto"/>
            <w:tcBorders>
              <w:top w:val="single" w:sz="6" w:space="0" w:color="888888"/>
              <w:left w:val="single" w:sz="6" w:space="0" w:color="888888"/>
              <w:bottom w:val="nil"/>
              <w:right w:val="single" w:sz="6" w:space="0" w:color="888888"/>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sz w:val="20"/>
                <w:szCs w:val="20"/>
              </w:rPr>
            </w:pPr>
            <w:r w:rsidRPr="00B12CB9">
              <w:rPr>
                <w:rFonts w:ascii="Times New Roman" w:eastAsia="Times New Roman" w:hAnsi="Times New Roman" w:cs="Times New Roman"/>
                <w:sz w:val="20"/>
                <w:szCs w:val="20"/>
              </w:rPr>
              <w:t>95.5%</w:t>
            </w:r>
          </w:p>
        </w:tc>
        <w:tc>
          <w:tcPr>
            <w:tcW w:w="0" w:type="auto"/>
            <w:tcBorders>
              <w:top w:val="single" w:sz="6" w:space="0" w:color="888888"/>
              <w:left w:val="single" w:sz="6" w:space="0" w:color="888888"/>
              <w:bottom w:val="nil"/>
              <w:right w:val="single" w:sz="6" w:space="0" w:color="888888"/>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sz w:val="20"/>
                <w:szCs w:val="20"/>
              </w:rPr>
            </w:pPr>
            <w:r w:rsidRPr="00B12CB9">
              <w:rPr>
                <w:rFonts w:ascii="Times New Roman" w:eastAsia="Times New Roman" w:hAnsi="Times New Roman" w:cs="Times New Roman"/>
                <w:sz w:val="20"/>
                <w:szCs w:val="20"/>
              </w:rPr>
              <w:t>94.2%</w:t>
            </w:r>
          </w:p>
        </w:tc>
        <w:tc>
          <w:tcPr>
            <w:tcW w:w="0" w:type="auto"/>
            <w:tcBorders>
              <w:top w:val="single" w:sz="6" w:space="0" w:color="888888"/>
              <w:left w:val="single" w:sz="6" w:space="0" w:color="888888"/>
              <w:bottom w:val="nil"/>
              <w:right w:val="single" w:sz="6" w:space="0" w:color="888888"/>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sz w:val="20"/>
                <w:szCs w:val="20"/>
              </w:rPr>
            </w:pPr>
            <w:r w:rsidRPr="00B12CB9">
              <w:rPr>
                <w:rFonts w:ascii="Times New Roman" w:eastAsia="Times New Roman" w:hAnsi="Times New Roman" w:cs="Times New Roman"/>
                <w:sz w:val="20"/>
                <w:szCs w:val="20"/>
              </w:rPr>
              <w:t>90.7%</w:t>
            </w:r>
          </w:p>
        </w:tc>
        <w:tc>
          <w:tcPr>
            <w:tcW w:w="0" w:type="auto"/>
            <w:tcBorders>
              <w:top w:val="single" w:sz="6" w:space="0" w:color="888888"/>
              <w:left w:val="single" w:sz="6" w:space="0" w:color="888888"/>
              <w:bottom w:val="nil"/>
              <w:right w:val="single" w:sz="6" w:space="0" w:color="888888"/>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sz w:val="20"/>
                <w:szCs w:val="20"/>
              </w:rPr>
            </w:pPr>
            <w:r w:rsidRPr="00B12CB9">
              <w:rPr>
                <w:rFonts w:ascii="Times New Roman" w:eastAsia="Times New Roman" w:hAnsi="Times New Roman" w:cs="Times New Roman"/>
                <w:sz w:val="20"/>
                <w:szCs w:val="20"/>
              </w:rPr>
              <w:t>86.7%</w:t>
            </w:r>
          </w:p>
        </w:tc>
        <w:tc>
          <w:tcPr>
            <w:tcW w:w="0" w:type="auto"/>
            <w:tcBorders>
              <w:top w:val="single" w:sz="6" w:space="0" w:color="888888"/>
              <w:left w:val="single" w:sz="6" w:space="0" w:color="888888"/>
              <w:bottom w:val="nil"/>
              <w:right w:val="single" w:sz="6" w:space="0" w:color="888888"/>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sz w:val="20"/>
                <w:szCs w:val="20"/>
              </w:rPr>
            </w:pPr>
            <w:r w:rsidRPr="00B12CB9">
              <w:rPr>
                <w:rFonts w:ascii="Times New Roman" w:eastAsia="Times New Roman" w:hAnsi="Times New Roman" w:cs="Times New Roman"/>
                <w:sz w:val="20"/>
                <w:szCs w:val="20"/>
              </w:rPr>
              <w:t>(TP + TN)/(P + N)</w:t>
            </w:r>
          </w:p>
        </w:tc>
        <w:tc>
          <w:tcPr>
            <w:tcW w:w="0" w:type="auto"/>
            <w:tcBorders>
              <w:top w:val="single" w:sz="6" w:space="0" w:color="888888"/>
              <w:left w:val="single" w:sz="6" w:space="0" w:color="888888"/>
              <w:bottom w:val="nil"/>
              <w:right w:val="nil"/>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sz w:val="20"/>
                <w:szCs w:val="20"/>
              </w:rPr>
            </w:pPr>
            <w:r w:rsidRPr="00B12CB9">
              <w:rPr>
                <w:rFonts w:ascii="Times New Roman" w:eastAsia="Times New Roman" w:hAnsi="Times New Roman" w:cs="Times New Roman"/>
                <w:sz w:val="20"/>
                <w:szCs w:val="20"/>
              </w:rPr>
              <w:t>% of true positive and true negative out of all patients</w:t>
            </w:r>
          </w:p>
        </w:tc>
      </w:tr>
    </w:tbl>
    <w:p w:rsidR="00B12CB9" w:rsidRPr="00B12CB9" w:rsidRDefault="00B12CB9" w:rsidP="00B12CB9">
      <w:pPr>
        <w:shd w:val="clear" w:color="auto" w:fill="FFFCF0"/>
        <w:spacing w:line="240" w:lineRule="auto"/>
        <w:rPr>
          <w:rFonts w:ascii="Times New Roman" w:eastAsia="Times New Roman" w:hAnsi="Times New Roman" w:cs="Times New Roman"/>
          <w:color w:val="000000"/>
          <w:sz w:val="20"/>
          <w:szCs w:val="20"/>
        </w:rPr>
      </w:pPr>
      <w:r w:rsidRPr="00B12CB9">
        <w:rPr>
          <w:rFonts w:ascii="Times New Roman" w:eastAsia="Times New Roman" w:hAnsi="Times New Roman" w:cs="Times New Roman"/>
          <w:i/>
          <w:iCs/>
          <w:color w:val="000000"/>
          <w:sz w:val="20"/>
        </w:rPr>
        <w:t>Notes:</w:t>
      </w:r>
      <w:r w:rsidRPr="00B12CB9">
        <w:rPr>
          <w:rFonts w:ascii="Times New Roman" w:eastAsia="Times New Roman" w:hAnsi="Times New Roman" w:cs="Times New Roman"/>
          <w:color w:val="000000"/>
          <w:sz w:val="20"/>
          <w:szCs w:val="20"/>
        </w:rPr>
        <w:t> TP – true positive, FN – false negative, TN – true negative, FP – false positive, P – positive, N – negative</w:t>
      </w:r>
    </w:p>
    <w:p w:rsidR="00B12CB9" w:rsidRPr="00B12CB9" w:rsidRDefault="00B12CB9" w:rsidP="00B12CB9">
      <w:pPr>
        <w:shd w:val="clear" w:color="auto" w:fill="FFFFFF"/>
        <w:spacing w:before="166" w:after="166" w:line="240" w:lineRule="auto"/>
        <w:rPr>
          <w:rFonts w:ascii="Times New Roman" w:eastAsia="Times New Roman" w:hAnsi="Times New Roman" w:cs="Times New Roman"/>
          <w:color w:val="000000"/>
          <w:sz w:val="24"/>
          <w:szCs w:val="24"/>
        </w:rPr>
      </w:pPr>
      <w:r w:rsidRPr="00B12CB9">
        <w:rPr>
          <w:rFonts w:ascii="Times New Roman" w:eastAsia="Times New Roman" w:hAnsi="Times New Roman" w:cs="Times New Roman"/>
          <w:color w:val="000000"/>
          <w:sz w:val="24"/>
          <w:szCs w:val="24"/>
        </w:rPr>
        <w:lastRenderedPageBreak/>
        <w:t>Table </w:t>
      </w:r>
      <w:hyperlink r:id="rId44" w:tgtFrame="table" w:history="1">
        <w:r w:rsidRPr="00B12CB9">
          <w:rPr>
            <w:rFonts w:ascii="Times New Roman" w:eastAsia="Times New Roman" w:hAnsi="Times New Roman" w:cs="Times New Roman"/>
            <w:color w:val="642A8F"/>
            <w:sz w:val="24"/>
            <w:szCs w:val="24"/>
            <w:u w:val="single"/>
          </w:rPr>
          <w:t>​</w:t>
        </w:r>
        <w:r w:rsidRPr="00B12CB9">
          <w:rPr>
            <w:rFonts w:ascii="Times New Roman" w:eastAsia="Times New Roman" w:hAnsi="Times New Roman" w:cs="Times New Roman"/>
            <w:color w:val="642A8F"/>
            <w:sz w:val="24"/>
            <w:szCs w:val="24"/>
          </w:rPr>
          <w:t>Table3</w:t>
        </w:r>
        <w:r w:rsidRPr="00B12CB9">
          <w:rPr>
            <w:rFonts w:ascii="Times New Roman" w:eastAsia="Times New Roman" w:hAnsi="Times New Roman" w:cs="Times New Roman"/>
            <w:color w:val="642A8F"/>
            <w:sz w:val="24"/>
            <w:szCs w:val="24"/>
            <w:u w:val="single"/>
          </w:rPr>
          <w:t>3</w:t>
        </w:r>
      </w:hyperlink>
      <w:r w:rsidRPr="00B12CB9">
        <w:rPr>
          <w:rFonts w:ascii="Times New Roman" w:eastAsia="Times New Roman" w:hAnsi="Times New Roman" w:cs="Times New Roman"/>
          <w:color w:val="000000"/>
          <w:sz w:val="24"/>
          <w:szCs w:val="24"/>
        </w:rPr>
        <w:t> also presents sensitivity, specificity and so on for other follow-up cut-off points (such as 1%, 10% and 15%). This analysis is still based on the 5% HCU model (i.e., predicting the risk of becoming a top 5% high-cost healthcare user). However, the cut-off point for follow-up of patients could be selected at any level (following up 1%, or even 10% of patients with the highest risk of becoming top 5% healthcare users), depending on availability of healthcare funding for follow-up, thus increasing or decreasing the sensitivity, or the number of captured future top 5% high-cost healthcare users.</w:t>
      </w:r>
    </w:p>
    <w:p w:rsidR="00B12CB9" w:rsidRPr="00B12CB9" w:rsidRDefault="00B12CB9" w:rsidP="00B12CB9">
      <w:pPr>
        <w:shd w:val="clear" w:color="auto" w:fill="FFFFFF"/>
        <w:spacing w:after="0" w:line="240" w:lineRule="auto"/>
        <w:jc w:val="right"/>
        <w:rPr>
          <w:rFonts w:ascii="Arial" w:eastAsia="Times New Roman" w:hAnsi="Arial" w:cs="Arial"/>
          <w:color w:val="000000"/>
          <w:sz w:val="24"/>
          <w:szCs w:val="24"/>
        </w:rPr>
      </w:pPr>
      <w:hyperlink r:id="rId45" w:tooltip="Go to other sections in this page" w:history="1">
        <w:r w:rsidRPr="00B12CB9">
          <w:rPr>
            <w:rFonts w:ascii="Arial" w:eastAsia="Times New Roman" w:hAnsi="Arial" w:cs="Arial"/>
            <w:color w:val="642A8F"/>
            <w:sz w:val="24"/>
            <w:szCs w:val="24"/>
            <w:u w:val="single"/>
          </w:rPr>
          <w:t>Go to:</w:t>
        </w:r>
      </w:hyperlink>
    </w:p>
    <w:p w:rsidR="00B12CB9" w:rsidRPr="00B12CB9" w:rsidRDefault="00B12CB9" w:rsidP="00B12CB9">
      <w:pPr>
        <w:pBdr>
          <w:bottom w:val="single" w:sz="6" w:space="0" w:color="97B0C8"/>
        </w:pBdr>
        <w:shd w:val="clear" w:color="auto" w:fill="FFFFFF"/>
        <w:spacing w:before="270" w:after="0" w:line="267" w:lineRule="atLeast"/>
        <w:outlineLvl w:val="1"/>
        <w:rPr>
          <w:rFonts w:ascii="Arial" w:eastAsia="Times New Roman" w:hAnsi="Arial" w:cs="Arial"/>
          <w:color w:val="985735"/>
          <w:sz w:val="27"/>
          <w:szCs w:val="27"/>
        </w:rPr>
      </w:pPr>
      <w:r w:rsidRPr="00B12CB9">
        <w:rPr>
          <w:rFonts w:ascii="Arial" w:eastAsia="Times New Roman" w:hAnsi="Arial" w:cs="Arial"/>
          <w:color w:val="985735"/>
          <w:sz w:val="27"/>
          <w:szCs w:val="27"/>
        </w:rPr>
        <w:t>Conclusion</w:t>
      </w:r>
    </w:p>
    <w:p w:rsidR="00B12CB9" w:rsidRPr="00B12CB9" w:rsidRDefault="00B12CB9" w:rsidP="00B12CB9">
      <w:pPr>
        <w:shd w:val="clear" w:color="auto" w:fill="FFFFFF"/>
        <w:spacing w:before="166" w:after="166" w:line="240" w:lineRule="auto"/>
        <w:rPr>
          <w:rFonts w:ascii="Times New Roman" w:eastAsia="Times New Roman" w:hAnsi="Times New Roman" w:cs="Times New Roman"/>
          <w:color w:val="000000"/>
          <w:sz w:val="24"/>
          <w:szCs w:val="24"/>
        </w:rPr>
      </w:pPr>
      <w:r w:rsidRPr="00B12CB9">
        <w:rPr>
          <w:rFonts w:ascii="Times New Roman" w:eastAsia="Times New Roman" w:hAnsi="Times New Roman" w:cs="Times New Roman"/>
          <w:color w:val="000000"/>
          <w:sz w:val="24"/>
          <w:szCs w:val="24"/>
        </w:rPr>
        <w:t>This is the first attempt in Ontario to develop and validate a tool for predicting patients at risk of becoming high-cost healthcare users. Presented results suggest that the performance of the model is very good, and the model has been validated for an out-of-sample validation cohort. Special attention could be paid to the factors, listed in the Results section, that are the strongest predictors of becoming HCUs.</w:t>
      </w:r>
    </w:p>
    <w:p w:rsidR="00B12CB9" w:rsidRPr="00B12CB9" w:rsidRDefault="00B12CB9" w:rsidP="00B12CB9">
      <w:pPr>
        <w:shd w:val="clear" w:color="auto" w:fill="FFFFFF"/>
        <w:spacing w:before="166" w:after="166" w:line="240" w:lineRule="auto"/>
        <w:rPr>
          <w:rFonts w:ascii="Times New Roman" w:eastAsia="Times New Roman" w:hAnsi="Times New Roman" w:cs="Times New Roman"/>
          <w:color w:val="000000"/>
          <w:sz w:val="24"/>
          <w:szCs w:val="24"/>
        </w:rPr>
      </w:pPr>
      <w:r w:rsidRPr="00B12CB9">
        <w:rPr>
          <w:rFonts w:ascii="Times New Roman" w:eastAsia="Times New Roman" w:hAnsi="Times New Roman" w:cs="Times New Roman"/>
          <w:color w:val="000000"/>
          <w:sz w:val="24"/>
          <w:szCs w:val="24"/>
        </w:rPr>
        <w:t>The performance of this model (in terms of sensitivity, for example) in comparison to other published predictive models could be of interest. Unfortunately, the authors were not able to identify published studies with reported performance for models predicting high-cost healthcare users. Nevertheless, we scanned the literature to observe the performance of other predictive models with relevant outcomes that could be an indirect proxy for future high cost, such as hospital admissions in the next year. The literature scan showed that our model has similar or better performance. For example, SPARRA (Scottish Patients At Risk of Readmission and Admission) (</w:t>
      </w:r>
      <w:hyperlink r:id="rId46" w:anchor="R10" w:history="1">
        <w:r w:rsidRPr="00B12CB9">
          <w:rPr>
            <w:rFonts w:ascii="Times New Roman" w:eastAsia="Times New Roman" w:hAnsi="Times New Roman" w:cs="Times New Roman"/>
            <w:color w:val="642A8F"/>
            <w:sz w:val="24"/>
            <w:szCs w:val="24"/>
            <w:u w:val="single"/>
          </w:rPr>
          <w:t>Government of Scotland 2012</w:t>
        </w:r>
      </w:hyperlink>
      <w:r w:rsidRPr="00B12CB9">
        <w:rPr>
          <w:rFonts w:ascii="Times New Roman" w:eastAsia="Times New Roman" w:hAnsi="Times New Roman" w:cs="Times New Roman"/>
          <w:color w:val="000000"/>
          <w:sz w:val="24"/>
          <w:szCs w:val="24"/>
        </w:rPr>
        <w:t>), a model that predicts next-year hospital admissions, reports 10.5% sensitivity at the 50% risk threshold (which corresponds to the top 1.6% patients follow-up), and the best performing model, IPAEOPGP (using in-patient, accident and emergency, and outpatient data, and general practitioners' electronic medical records data) (</w:t>
      </w:r>
      <w:hyperlink r:id="rId47" w:anchor="R4" w:history="1">
        <w:r w:rsidRPr="00B12CB9">
          <w:rPr>
            <w:rFonts w:ascii="Times New Roman" w:eastAsia="Times New Roman" w:hAnsi="Times New Roman" w:cs="Times New Roman"/>
            <w:color w:val="642A8F"/>
            <w:sz w:val="24"/>
            <w:szCs w:val="24"/>
            <w:u w:val="single"/>
          </w:rPr>
          <w:t>Billings et al. 2013</w:t>
        </w:r>
      </w:hyperlink>
      <w:r w:rsidRPr="00B12CB9">
        <w:rPr>
          <w:rFonts w:ascii="Times New Roman" w:eastAsia="Times New Roman" w:hAnsi="Times New Roman" w:cs="Times New Roman"/>
          <w:color w:val="000000"/>
          <w:sz w:val="24"/>
          <w:szCs w:val="24"/>
        </w:rPr>
        <w:t>), which also predicted next-year admissions, achieved 9.2% sensitivity for the top 1% patients follow-up. In comparison, our model demonstrated 15.8% sensitivity for the top 1% patients follow-up. The same SPARRA model reports approximately 27% sensitivity at the 30% risk threshold (corresponding to the top 5.5% patients follow-up), and the IPAEOPGP model reports 28.5% sensitivity for the top 5% patients follow-up. In comparison, our model's sensitivity is 42.2% for the top 5% patients follow-up. While these numbers are not precisely comparable – because the models predict different outcomes, and these outcomes have different event rates (prevalence) – they provide overall reference points for our predictive model's performance. It should be noted that our model reports performance in the validation cohort (out-of-sample model performance). Table </w:t>
      </w:r>
      <w:hyperlink r:id="rId48" w:tgtFrame="table" w:history="1">
        <w:r w:rsidRPr="00B12CB9">
          <w:rPr>
            <w:rFonts w:ascii="Times New Roman" w:eastAsia="Times New Roman" w:hAnsi="Times New Roman" w:cs="Times New Roman"/>
            <w:color w:val="642A8F"/>
            <w:sz w:val="24"/>
            <w:szCs w:val="24"/>
            <w:u w:val="single"/>
          </w:rPr>
          <w:t>​</w:t>
        </w:r>
        <w:r w:rsidRPr="00B12CB9">
          <w:rPr>
            <w:rFonts w:ascii="Times New Roman" w:eastAsia="Times New Roman" w:hAnsi="Times New Roman" w:cs="Times New Roman"/>
            <w:color w:val="642A8F"/>
            <w:sz w:val="24"/>
            <w:szCs w:val="24"/>
          </w:rPr>
          <w:t>Table4</w:t>
        </w:r>
        <w:r w:rsidRPr="00B12CB9">
          <w:rPr>
            <w:rFonts w:ascii="Times New Roman" w:eastAsia="Times New Roman" w:hAnsi="Times New Roman" w:cs="Times New Roman"/>
            <w:color w:val="642A8F"/>
            <w:sz w:val="24"/>
            <w:szCs w:val="24"/>
            <w:u w:val="single"/>
          </w:rPr>
          <w:t>4</w:t>
        </w:r>
      </w:hyperlink>
      <w:r w:rsidRPr="00B12CB9">
        <w:rPr>
          <w:rFonts w:ascii="Times New Roman" w:eastAsia="Times New Roman" w:hAnsi="Times New Roman" w:cs="Times New Roman"/>
          <w:color w:val="000000"/>
          <w:sz w:val="24"/>
          <w:szCs w:val="24"/>
        </w:rPr>
        <w:t> summarizes the information on the performance of the models discussed, based on sensitivity and positive predictive value metrics.</w:t>
      </w:r>
    </w:p>
    <w:p w:rsidR="00B12CB9" w:rsidRPr="00B12CB9" w:rsidRDefault="00B12CB9" w:rsidP="00B12CB9">
      <w:pPr>
        <w:shd w:val="clear" w:color="auto" w:fill="FFFCF0"/>
        <w:spacing w:after="154" w:line="300" w:lineRule="atLeast"/>
        <w:outlineLvl w:val="2"/>
        <w:rPr>
          <w:rFonts w:ascii="Arial" w:eastAsia="Times New Roman" w:hAnsi="Arial" w:cs="Arial"/>
          <w:color w:val="724128"/>
          <w:sz w:val="24"/>
          <w:szCs w:val="24"/>
        </w:rPr>
      </w:pPr>
      <w:r w:rsidRPr="00B12CB9">
        <w:rPr>
          <w:rFonts w:ascii="Arial" w:eastAsia="Times New Roman" w:hAnsi="Arial" w:cs="Arial"/>
          <w:color w:val="724128"/>
          <w:sz w:val="24"/>
          <w:szCs w:val="24"/>
        </w:rPr>
        <w:t>TABLE 4.</w:t>
      </w:r>
    </w:p>
    <w:p w:rsidR="00B12CB9" w:rsidRPr="00B12CB9" w:rsidRDefault="00B12CB9" w:rsidP="00B12CB9">
      <w:pPr>
        <w:shd w:val="clear" w:color="auto" w:fill="FFFCF0"/>
        <w:spacing w:before="166" w:line="240" w:lineRule="auto"/>
        <w:rPr>
          <w:rFonts w:ascii="Times New Roman" w:eastAsia="Times New Roman" w:hAnsi="Times New Roman" w:cs="Times New Roman"/>
          <w:color w:val="000000"/>
          <w:sz w:val="24"/>
          <w:szCs w:val="24"/>
        </w:rPr>
      </w:pPr>
      <w:r w:rsidRPr="00B12CB9">
        <w:rPr>
          <w:rFonts w:ascii="Times New Roman" w:eastAsia="Times New Roman" w:hAnsi="Times New Roman" w:cs="Times New Roman"/>
          <w:color w:val="000000"/>
          <w:sz w:val="24"/>
          <w:szCs w:val="24"/>
        </w:rPr>
        <w:t>Comparison of model performance</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4309"/>
        <w:gridCol w:w="2121"/>
        <w:gridCol w:w="1004"/>
        <w:gridCol w:w="1226"/>
        <w:gridCol w:w="892"/>
      </w:tblGrid>
      <w:tr w:rsidR="00B12CB9" w:rsidRPr="00B12CB9" w:rsidTr="00B12CB9">
        <w:trPr>
          <w:tblHeader/>
        </w:trPr>
        <w:tc>
          <w:tcPr>
            <w:tcW w:w="0" w:type="auto"/>
            <w:vMerge w:val="restart"/>
            <w:tcBorders>
              <w:top w:val="nil"/>
              <w:left w:val="nil"/>
              <w:bottom w:val="single" w:sz="6" w:space="0" w:color="888888"/>
              <w:right w:val="single" w:sz="6" w:space="0" w:color="888888"/>
            </w:tcBorders>
            <w:tcMar>
              <w:top w:w="48" w:type="dxa"/>
              <w:left w:w="96" w:type="dxa"/>
              <w:bottom w:w="48" w:type="dxa"/>
              <w:right w:w="96" w:type="dxa"/>
            </w:tcMar>
            <w:vAlign w:val="bottom"/>
            <w:hideMark/>
          </w:tcPr>
          <w:p w:rsidR="00B12CB9" w:rsidRPr="00B12CB9" w:rsidRDefault="00B12CB9" w:rsidP="00B12CB9">
            <w:pPr>
              <w:spacing w:before="332" w:after="332" w:line="393" w:lineRule="atLeast"/>
              <w:rPr>
                <w:rFonts w:ascii="Times New Roman" w:eastAsia="Times New Roman" w:hAnsi="Times New Roman" w:cs="Times New Roman"/>
                <w:b/>
                <w:bCs/>
                <w:sz w:val="20"/>
                <w:szCs w:val="20"/>
              </w:rPr>
            </w:pPr>
            <w:r w:rsidRPr="00B12CB9">
              <w:rPr>
                <w:rFonts w:ascii="Times New Roman" w:eastAsia="Times New Roman" w:hAnsi="Times New Roman" w:cs="Times New Roman"/>
                <w:b/>
                <w:bCs/>
                <w:sz w:val="20"/>
                <w:szCs w:val="20"/>
              </w:rPr>
              <w:lastRenderedPageBreak/>
              <w:t>Selection of patients based on predicted probabilities</w:t>
            </w:r>
          </w:p>
        </w:tc>
        <w:tc>
          <w:tcPr>
            <w:tcW w:w="0" w:type="auto"/>
            <w:vMerge w:val="restart"/>
            <w:tcBorders>
              <w:top w:val="nil"/>
              <w:left w:val="single" w:sz="6" w:space="0" w:color="888888"/>
              <w:bottom w:val="single" w:sz="6" w:space="0" w:color="888888"/>
              <w:right w:val="single" w:sz="6" w:space="0" w:color="888888"/>
            </w:tcBorders>
            <w:tcMar>
              <w:top w:w="48" w:type="dxa"/>
              <w:left w:w="96" w:type="dxa"/>
              <w:bottom w:w="48" w:type="dxa"/>
              <w:right w:w="96" w:type="dxa"/>
            </w:tcMar>
            <w:vAlign w:val="bottom"/>
            <w:hideMark/>
          </w:tcPr>
          <w:p w:rsidR="00B12CB9" w:rsidRPr="00B12CB9" w:rsidRDefault="00B12CB9" w:rsidP="00B12CB9">
            <w:pPr>
              <w:spacing w:before="332" w:after="332" w:line="393" w:lineRule="atLeast"/>
              <w:rPr>
                <w:rFonts w:ascii="Times New Roman" w:eastAsia="Times New Roman" w:hAnsi="Times New Roman" w:cs="Times New Roman"/>
                <w:b/>
                <w:bCs/>
                <w:sz w:val="20"/>
                <w:szCs w:val="20"/>
              </w:rPr>
            </w:pPr>
            <w:r w:rsidRPr="00B12CB9">
              <w:rPr>
                <w:rFonts w:ascii="Times New Roman" w:eastAsia="Times New Roman" w:hAnsi="Times New Roman" w:cs="Times New Roman"/>
                <w:b/>
                <w:bCs/>
                <w:sz w:val="20"/>
                <w:szCs w:val="20"/>
              </w:rPr>
              <w:t>Performance metric</w:t>
            </w:r>
          </w:p>
        </w:tc>
        <w:tc>
          <w:tcPr>
            <w:tcW w:w="0" w:type="auto"/>
            <w:gridSpan w:val="3"/>
            <w:tcBorders>
              <w:top w:val="nil"/>
              <w:left w:val="single" w:sz="6" w:space="0" w:color="888888"/>
              <w:bottom w:val="single" w:sz="6" w:space="0" w:color="888888"/>
              <w:right w:val="nil"/>
            </w:tcBorders>
            <w:tcMar>
              <w:top w:w="48" w:type="dxa"/>
              <w:left w:w="96" w:type="dxa"/>
              <w:bottom w:w="48" w:type="dxa"/>
              <w:right w:w="96" w:type="dxa"/>
            </w:tcMar>
            <w:hideMark/>
          </w:tcPr>
          <w:p w:rsidR="00B12CB9" w:rsidRPr="00B12CB9" w:rsidRDefault="00B12CB9" w:rsidP="00B12CB9">
            <w:pPr>
              <w:spacing w:before="332" w:after="332" w:line="393" w:lineRule="atLeast"/>
              <w:jc w:val="center"/>
              <w:rPr>
                <w:rFonts w:ascii="Times New Roman" w:eastAsia="Times New Roman" w:hAnsi="Times New Roman" w:cs="Times New Roman"/>
                <w:b/>
                <w:bCs/>
                <w:sz w:val="20"/>
                <w:szCs w:val="20"/>
              </w:rPr>
            </w:pPr>
            <w:r w:rsidRPr="00B12CB9">
              <w:rPr>
                <w:rFonts w:ascii="Times New Roman" w:eastAsia="Times New Roman" w:hAnsi="Times New Roman" w:cs="Times New Roman"/>
                <w:b/>
                <w:bCs/>
                <w:sz w:val="20"/>
                <w:szCs w:val="20"/>
              </w:rPr>
              <w:t>Model</w:t>
            </w:r>
            <w:r w:rsidRPr="00B12CB9">
              <w:rPr>
                <w:rFonts w:ascii="Times New Roman" w:eastAsia="Times New Roman" w:hAnsi="Times New Roman" w:cs="Times New Roman"/>
                <w:b/>
                <w:bCs/>
                <w:sz w:val="20"/>
                <w:szCs w:val="20"/>
                <w:vertAlign w:val="superscript"/>
              </w:rPr>
              <w:t>***</w:t>
            </w:r>
          </w:p>
        </w:tc>
      </w:tr>
      <w:tr w:rsidR="00B12CB9" w:rsidRPr="00B12CB9" w:rsidTr="00B12CB9">
        <w:trPr>
          <w:tblHeader/>
        </w:trPr>
        <w:tc>
          <w:tcPr>
            <w:tcW w:w="0" w:type="auto"/>
            <w:vMerge/>
            <w:tcBorders>
              <w:top w:val="nil"/>
              <w:left w:val="nil"/>
              <w:bottom w:val="single" w:sz="6" w:space="0" w:color="888888"/>
              <w:right w:val="single" w:sz="6" w:space="0" w:color="888888"/>
            </w:tcBorders>
            <w:vAlign w:val="center"/>
            <w:hideMark/>
          </w:tcPr>
          <w:p w:rsidR="00B12CB9" w:rsidRPr="00B12CB9" w:rsidRDefault="00B12CB9" w:rsidP="00B12CB9">
            <w:pPr>
              <w:spacing w:after="0" w:line="240" w:lineRule="auto"/>
              <w:rPr>
                <w:rFonts w:ascii="Times New Roman" w:eastAsia="Times New Roman" w:hAnsi="Times New Roman" w:cs="Times New Roman"/>
                <w:b/>
                <w:bCs/>
                <w:sz w:val="20"/>
                <w:szCs w:val="20"/>
              </w:rPr>
            </w:pPr>
          </w:p>
        </w:tc>
        <w:tc>
          <w:tcPr>
            <w:tcW w:w="0" w:type="auto"/>
            <w:vMerge/>
            <w:tcBorders>
              <w:top w:val="nil"/>
              <w:left w:val="single" w:sz="6" w:space="0" w:color="888888"/>
              <w:bottom w:val="single" w:sz="6" w:space="0" w:color="888888"/>
              <w:right w:val="single" w:sz="6" w:space="0" w:color="888888"/>
            </w:tcBorders>
            <w:vAlign w:val="center"/>
            <w:hideMark/>
          </w:tcPr>
          <w:p w:rsidR="00B12CB9" w:rsidRPr="00B12CB9" w:rsidRDefault="00B12CB9" w:rsidP="00B12CB9">
            <w:pPr>
              <w:spacing w:after="0" w:line="240" w:lineRule="auto"/>
              <w:rPr>
                <w:rFonts w:ascii="Times New Roman" w:eastAsia="Times New Roman" w:hAnsi="Times New Roman" w:cs="Times New Roman"/>
                <w:b/>
                <w:bCs/>
                <w:sz w:val="20"/>
                <w:szCs w:val="20"/>
              </w:rPr>
            </w:pPr>
          </w:p>
        </w:tc>
        <w:tc>
          <w:tcPr>
            <w:tcW w:w="0" w:type="auto"/>
            <w:tcBorders>
              <w:top w:val="single" w:sz="6" w:space="0" w:color="888888"/>
              <w:left w:val="nil"/>
              <w:bottom w:val="nil"/>
              <w:right w:val="single" w:sz="6" w:space="0" w:color="888888"/>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b/>
                <w:bCs/>
                <w:sz w:val="20"/>
                <w:szCs w:val="20"/>
              </w:rPr>
            </w:pPr>
            <w:r w:rsidRPr="00B12CB9">
              <w:rPr>
                <w:rFonts w:ascii="Times New Roman" w:eastAsia="Times New Roman" w:hAnsi="Times New Roman" w:cs="Times New Roman"/>
                <w:b/>
                <w:bCs/>
                <w:sz w:val="20"/>
                <w:szCs w:val="20"/>
              </w:rPr>
              <w:t>SPARRA</w:t>
            </w:r>
          </w:p>
        </w:tc>
        <w:tc>
          <w:tcPr>
            <w:tcW w:w="0" w:type="auto"/>
            <w:tcBorders>
              <w:top w:val="single" w:sz="6" w:space="0" w:color="888888"/>
              <w:left w:val="single" w:sz="6" w:space="0" w:color="888888"/>
              <w:bottom w:val="nil"/>
              <w:right w:val="single" w:sz="6" w:space="0" w:color="888888"/>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b/>
                <w:bCs/>
                <w:sz w:val="20"/>
                <w:szCs w:val="20"/>
              </w:rPr>
            </w:pPr>
            <w:r w:rsidRPr="00B12CB9">
              <w:rPr>
                <w:rFonts w:ascii="Times New Roman" w:eastAsia="Times New Roman" w:hAnsi="Times New Roman" w:cs="Times New Roman"/>
                <w:b/>
                <w:bCs/>
                <w:sz w:val="20"/>
                <w:szCs w:val="20"/>
              </w:rPr>
              <w:t>IPAEOPGP</w:t>
            </w:r>
          </w:p>
        </w:tc>
        <w:tc>
          <w:tcPr>
            <w:tcW w:w="0" w:type="auto"/>
            <w:tcBorders>
              <w:top w:val="single" w:sz="6" w:space="0" w:color="888888"/>
              <w:left w:val="single" w:sz="6" w:space="0" w:color="888888"/>
              <w:bottom w:val="nil"/>
              <w:right w:val="nil"/>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b/>
                <w:bCs/>
                <w:sz w:val="20"/>
                <w:szCs w:val="20"/>
              </w:rPr>
            </w:pPr>
            <w:r w:rsidRPr="00B12CB9">
              <w:rPr>
                <w:rFonts w:ascii="Times New Roman" w:eastAsia="Times New Roman" w:hAnsi="Times New Roman" w:cs="Times New Roman"/>
                <w:b/>
                <w:bCs/>
                <w:sz w:val="20"/>
                <w:szCs w:val="20"/>
              </w:rPr>
              <w:t>Current</w:t>
            </w:r>
          </w:p>
        </w:tc>
      </w:tr>
      <w:tr w:rsidR="00B12CB9" w:rsidRPr="00B12CB9" w:rsidTr="00B12CB9">
        <w:tc>
          <w:tcPr>
            <w:tcW w:w="0" w:type="auto"/>
            <w:vMerge w:val="restart"/>
            <w:tcBorders>
              <w:top w:val="nil"/>
              <w:left w:val="nil"/>
              <w:bottom w:val="single" w:sz="6" w:space="0" w:color="888888"/>
              <w:right w:val="single" w:sz="6" w:space="0" w:color="888888"/>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sz w:val="20"/>
                <w:szCs w:val="20"/>
              </w:rPr>
            </w:pPr>
            <w:r w:rsidRPr="00B12CB9">
              <w:rPr>
                <w:rFonts w:ascii="Times New Roman" w:eastAsia="Times New Roman" w:hAnsi="Times New Roman" w:cs="Times New Roman"/>
                <w:sz w:val="20"/>
                <w:szCs w:val="20"/>
              </w:rPr>
              <w:t>Top 1%</w:t>
            </w:r>
            <w:r w:rsidRPr="00B12CB9">
              <w:rPr>
                <w:rFonts w:ascii="Times New Roman" w:eastAsia="Times New Roman" w:hAnsi="Times New Roman" w:cs="Times New Roman"/>
                <w:sz w:val="20"/>
                <w:szCs w:val="20"/>
                <w:vertAlign w:val="superscript"/>
              </w:rPr>
              <w:t>*</w:t>
            </w:r>
          </w:p>
        </w:tc>
        <w:tc>
          <w:tcPr>
            <w:tcW w:w="0" w:type="auto"/>
            <w:tcBorders>
              <w:top w:val="nil"/>
              <w:left w:val="single" w:sz="6" w:space="0" w:color="888888"/>
              <w:bottom w:val="single" w:sz="6" w:space="0" w:color="888888"/>
              <w:right w:val="single" w:sz="6" w:space="0" w:color="888888"/>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sz w:val="20"/>
                <w:szCs w:val="20"/>
              </w:rPr>
            </w:pPr>
            <w:r w:rsidRPr="00B12CB9">
              <w:rPr>
                <w:rFonts w:ascii="Times New Roman" w:eastAsia="Times New Roman" w:hAnsi="Times New Roman" w:cs="Times New Roman"/>
                <w:sz w:val="20"/>
                <w:szCs w:val="20"/>
              </w:rPr>
              <w:t>Sensitivity</w:t>
            </w:r>
          </w:p>
        </w:tc>
        <w:tc>
          <w:tcPr>
            <w:tcW w:w="0" w:type="auto"/>
            <w:tcBorders>
              <w:top w:val="nil"/>
              <w:left w:val="single" w:sz="6" w:space="0" w:color="888888"/>
              <w:bottom w:val="single" w:sz="6" w:space="0" w:color="888888"/>
              <w:right w:val="single" w:sz="6" w:space="0" w:color="888888"/>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sz w:val="20"/>
                <w:szCs w:val="20"/>
              </w:rPr>
            </w:pPr>
            <w:r w:rsidRPr="00B12CB9">
              <w:rPr>
                <w:rFonts w:ascii="Times New Roman" w:eastAsia="Times New Roman" w:hAnsi="Times New Roman" w:cs="Times New Roman"/>
                <w:sz w:val="20"/>
                <w:szCs w:val="20"/>
              </w:rPr>
              <w:t>10.5%</w:t>
            </w:r>
          </w:p>
        </w:tc>
        <w:tc>
          <w:tcPr>
            <w:tcW w:w="0" w:type="auto"/>
            <w:tcBorders>
              <w:top w:val="nil"/>
              <w:left w:val="single" w:sz="6" w:space="0" w:color="888888"/>
              <w:bottom w:val="single" w:sz="6" w:space="0" w:color="888888"/>
              <w:right w:val="single" w:sz="6" w:space="0" w:color="888888"/>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sz w:val="20"/>
                <w:szCs w:val="20"/>
              </w:rPr>
            </w:pPr>
            <w:r w:rsidRPr="00B12CB9">
              <w:rPr>
                <w:rFonts w:ascii="Times New Roman" w:eastAsia="Times New Roman" w:hAnsi="Times New Roman" w:cs="Times New Roman"/>
                <w:sz w:val="20"/>
                <w:szCs w:val="20"/>
              </w:rPr>
              <w:t>9.2%</w:t>
            </w:r>
          </w:p>
        </w:tc>
        <w:tc>
          <w:tcPr>
            <w:tcW w:w="0" w:type="auto"/>
            <w:tcBorders>
              <w:top w:val="nil"/>
              <w:left w:val="single" w:sz="6" w:space="0" w:color="888888"/>
              <w:bottom w:val="single" w:sz="6" w:space="0" w:color="888888"/>
              <w:right w:val="nil"/>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sz w:val="20"/>
                <w:szCs w:val="20"/>
              </w:rPr>
            </w:pPr>
            <w:r w:rsidRPr="00B12CB9">
              <w:rPr>
                <w:rFonts w:ascii="Times New Roman" w:eastAsia="Times New Roman" w:hAnsi="Times New Roman" w:cs="Times New Roman"/>
                <w:sz w:val="20"/>
                <w:szCs w:val="20"/>
              </w:rPr>
              <w:t>15.8%</w:t>
            </w:r>
          </w:p>
        </w:tc>
      </w:tr>
      <w:tr w:rsidR="00B12CB9" w:rsidRPr="00B12CB9" w:rsidTr="00B12CB9">
        <w:tc>
          <w:tcPr>
            <w:tcW w:w="0" w:type="auto"/>
            <w:vMerge/>
            <w:tcBorders>
              <w:top w:val="nil"/>
              <w:left w:val="nil"/>
              <w:bottom w:val="single" w:sz="6" w:space="0" w:color="888888"/>
              <w:right w:val="single" w:sz="6" w:space="0" w:color="888888"/>
            </w:tcBorders>
            <w:vAlign w:val="center"/>
            <w:hideMark/>
          </w:tcPr>
          <w:p w:rsidR="00B12CB9" w:rsidRPr="00B12CB9" w:rsidRDefault="00B12CB9" w:rsidP="00B12CB9">
            <w:pPr>
              <w:spacing w:after="0" w:line="240" w:lineRule="auto"/>
              <w:rPr>
                <w:rFonts w:ascii="Times New Roman" w:eastAsia="Times New Roman" w:hAnsi="Times New Roman" w:cs="Times New Roman"/>
                <w:sz w:val="20"/>
                <w:szCs w:val="20"/>
              </w:rPr>
            </w:pPr>
          </w:p>
        </w:tc>
        <w:tc>
          <w:tcPr>
            <w:tcW w:w="0" w:type="auto"/>
            <w:tcBorders>
              <w:top w:val="single" w:sz="6" w:space="0" w:color="888888"/>
              <w:left w:val="nil"/>
              <w:bottom w:val="single" w:sz="6" w:space="0" w:color="888888"/>
              <w:right w:val="single" w:sz="6" w:space="0" w:color="888888"/>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sz w:val="20"/>
                <w:szCs w:val="20"/>
              </w:rPr>
            </w:pPr>
            <w:r w:rsidRPr="00B12CB9">
              <w:rPr>
                <w:rFonts w:ascii="Times New Roman" w:eastAsia="Times New Roman" w:hAnsi="Times New Roman" w:cs="Times New Roman"/>
                <w:sz w:val="20"/>
                <w:szCs w:val="20"/>
              </w:rPr>
              <w:t>Positive Predictive Value</w:t>
            </w:r>
          </w:p>
        </w:tc>
        <w:tc>
          <w:tcPr>
            <w:tcW w:w="0" w:type="auto"/>
            <w:tcBorders>
              <w:top w:val="single" w:sz="6" w:space="0" w:color="888888"/>
              <w:left w:val="single" w:sz="6" w:space="0" w:color="888888"/>
              <w:bottom w:val="single" w:sz="6" w:space="0" w:color="888888"/>
              <w:right w:val="single" w:sz="6" w:space="0" w:color="888888"/>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sz w:val="20"/>
                <w:szCs w:val="20"/>
              </w:rPr>
            </w:pPr>
            <w:r w:rsidRPr="00B12CB9">
              <w:rPr>
                <w:rFonts w:ascii="Times New Roman" w:eastAsia="Times New Roman" w:hAnsi="Times New Roman" w:cs="Times New Roman"/>
                <w:sz w:val="20"/>
                <w:szCs w:val="20"/>
              </w:rPr>
              <w:t>59.8%</w:t>
            </w:r>
          </w:p>
        </w:tc>
        <w:tc>
          <w:tcPr>
            <w:tcW w:w="0" w:type="auto"/>
            <w:tcBorders>
              <w:top w:val="single" w:sz="6" w:space="0" w:color="888888"/>
              <w:left w:val="single" w:sz="6" w:space="0" w:color="888888"/>
              <w:bottom w:val="single" w:sz="6" w:space="0" w:color="888888"/>
              <w:right w:val="single" w:sz="6" w:space="0" w:color="888888"/>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sz w:val="20"/>
                <w:szCs w:val="20"/>
              </w:rPr>
            </w:pPr>
            <w:r w:rsidRPr="00B12CB9">
              <w:rPr>
                <w:rFonts w:ascii="Times New Roman" w:eastAsia="Times New Roman" w:hAnsi="Times New Roman" w:cs="Times New Roman"/>
                <w:sz w:val="20"/>
                <w:szCs w:val="20"/>
              </w:rPr>
              <w:t>47.5%</w:t>
            </w:r>
          </w:p>
        </w:tc>
        <w:tc>
          <w:tcPr>
            <w:tcW w:w="0" w:type="auto"/>
            <w:tcBorders>
              <w:top w:val="single" w:sz="6" w:space="0" w:color="888888"/>
              <w:left w:val="single" w:sz="6" w:space="0" w:color="888888"/>
              <w:bottom w:val="single" w:sz="6" w:space="0" w:color="888888"/>
              <w:right w:val="nil"/>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sz w:val="20"/>
                <w:szCs w:val="20"/>
              </w:rPr>
            </w:pPr>
            <w:r w:rsidRPr="00B12CB9">
              <w:rPr>
                <w:rFonts w:ascii="Times New Roman" w:eastAsia="Times New Roman" w:hAnsi="Times New Roman" w:cs="Times New Roman"/>
                <w:sz w:val="20"/>
                <w:szCs w:val="20"/>
              </w:rPr>
              <w:t>79.9%</w:t>
            </w:r>
          </w:p>
        </w:tc>
      </w:tr>
      <w:tr w:rsidR="00B12CB9" w:rsidRPr="00B12CB9" w:rsidTr="00B12CB9">
        <w:tc>
          <w:tcPr>
            <w:tcW w:w="0" w:type="auto"/>
            <w:vMerge w:val="restart"/>
            <w:tcBorders>
              <w:top w:val="single" w:sz="6" w:space="0" w:color="888888"/>
              <w:left w:val="nil"/>
              <w:bottom w:val="single" w:sz="6" w:space="0" w:color="888888"/>
              <w:right w:val="single" w:sz="6" w:space="0" w:color="888888"/>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sz w:val="20"/>
                <w:szCs w:val="20"/>
              </w:rPr>
            </w:pPr>
            <w:r w:rsidRPr="00B12CB9">
              <w:rPr>
                <w:rFonts w:ascii="Times New Roman" w:eastAsia="Times New Roman" w:hAnsi="Times New Roman" w:cs="Times New Roman"/>
                <w:sz w:val="20"/>
                <w:szCs w:val="20"/>
              </w:rPr>
              <w:t>Top 5%</w:t>
            </w:r>
            <w:r w:rsidRPr="00B12CB9">
              <w:rPr>
                <w:rFonts w:ascii="Times New Roman" w:eastAsia="Times New Roman" w:hAnsi="Times New Roman" w:cs="Times New Roman"/>
                <w:sz w:val="20"/>
                <w:szCs w:val="20"/>
                <w:vertAlign w:val="superscript"/>
              </w:rPr>
              <w:t>**</w:t>
            </w:r>
          </w:p>
        </w:tc>
        <w:tc>
          <w:tcPr>
            <w:tcW w:w="0" w:type="auto"/>
            <w:tcBorders>
              <w:top w:val="single" w:sz="6" w:space="0" w:color="888888"/>
              <w:left w:val="single" w:sz="6" w:space="0" w:color="888888"/>
              <w:bottom w:val="single" w:sz="6" w:space="0" w:color="888888"/>
              <w:right w:val="single" w:sz="6" w:space="0" w:color="888888"/>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sz w:val="20"/>
                <w:szCs w:val="20"/>
              </w:rPr>
            </w:pPr>
            <w:r w:rsidRPr="00B12CB9">
              <w:rPr>
                <w:rFonts w:ascii="Times New Roman" w:eastAsia="Times New Roman" w:hAnsi="Times New Roman" w:cs="Times New Roman"/>
                <w:sz w:val="20"/>
                <w:szCs w:val="20"/>
              </w:rPr>
              <w:t>Sensitivity</w:t>
            </w:r>
          </w:p>
        </w:tc>
        <w:tc>
          <w:tcPr>
            <w:tcW w:w="0" w:type="auto"/>
            <w:tcBorders>
              <w:top w:val="single" w:sz="6" w:space="0" w:color="888888"/>
              <w:left w:val="single" w:sz="6" w:space="0" w:color="888888"/>
              <w:bottom w:val="single" w:sz="6" w:space="0" w:color="888888"/>
              <w:right w:val="single" w:sz="6" w:space="0" w:color="888888"/>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sz w:val="20"/>
                <w:szCs w:val="20"/>
              </w:rPr>
            </w:pPr>
            <w:r w:rsidRPr="00B12CB9">
              <w:rPr>
                <w:rFonts w:ascii="Times New Roman" w:eastAsia="Times New Roman" w:hAnsi="Times New Roman" w:cs="Times New Roman"/>
                <w:sz w:val="20"/>
                <w:szCs w:val="20"/>
              </w:rPr>
              <w:t>27.0%</w:t>
            </w:r>
          </w:p>
        </w:tc>
        <w:tc>
          <w:tcPr>
            <w:tcW w:w="0" w:type="auto"/>
            <w:tcBorders>
              <w:top w:val="single" w:sz="6" w:space="0" w:color="888888"/>
              <w:left w:val="single" w:sz="6" w:space="0" w:color="888888"/>
              <w:bottom w:val="single" w:sz="6" w:space="0" w:color="888888"/>
              <w:right w:val="single" w:sz="6" w:space="0" w:color="888888"/>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sz w:val="20"/>
                <w:szCs w:val="20"/>
              </w:rPr>
            </w:pPr>
            <w:r w:rsidRPr="00B12CB9">
              <w:rPr>
                <w:rFonts w:ascii="Times New Roman" w:eastAsia="Times New Roman" w:hAnsi="Times New Roman" w:cs="Times New Roman"/>
                <w:sz w:val="20"/>
                <w:szCs w:val="20"/>
              </w:rPr>
              <w:t>28.5%</w:t>
            </w:r>
          </w:p>
        </w:tc>
        <w:tc>
          <w:tcPr>
            <w:tcW w:w="0" w:type="auto"/>
            <w:tcBorders>
              <w:top w:val="single" w:sz="6" w:space="0" w:color="888888"/>
              <w:left w:val="single" w:sz="6" w:space="0" w:color="888888"/>
              <w:bottom w:val="single" w:sz="6" w:space="0" w:color="888888"/>
              <w:right w:val="nil"/>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sz w:val="20"/>
                <w:szCs w:val="20"/>
              </w:rPr>
            </w:pPr>
            <w:r w:rsidRPr="00B12CB9">
              <w:rPr>
                <w:rFonts w:ascii="Times New Roman" w:eastAsia="Times New Roman" w:hAnsi="Times New Roman" w:cs="Times New Roman"/>
                <w:sz w:val="20"/>
                <w:szCs w:val="20"/>
              </w:rPr>
              <w:t>42.2%</w:t>
            </w:r>
          </w:p>
        </w:tc>
      </w:tr>
      <w:tr w:rsidR="00B12CB9" w:rsidRPr="00B12CB9" w:rsidTr="00B12CB9">
        <w:tc>
          <w:tcPr>
            <w:tcW w:w="0" w:type="auto"/>
            <w:vMerge/>
            <w:tcBorders>
              <w:top w:val="single" w:sz="6" w:space="0" w:color="888888"/>
              <w:left w:val="nil"/>
              <w:bottom w:val="single" w:sz="6" w:space="0" w:color="888888"/>
              <w:right w:val="single" w:sz="6" w:space="0" w:color="888888"/>
            </w:tcBorders>
            <w:vAlign w:val="center"/>
            <w:hideMark/>
          </w:tcPr>
          <w:p w:rsidR="00B12CB9" w:rsidRPr="00B12CB9" w:rsidRDefault="00B12CB9" w:rsidP="00B12CB9">
            <w:pPr>
              <w:spacing w:after="0" w:line="240" w:lineRule="auto"/>
              <w:rPr>
                <w:rFonts w:ascii="Times New Roman" w:eastAsia="Times New Roman" w:hAnsi="Times New Roman" w:cs="Times New Roman"/>
                <w:sz w:val="20"/>
                <w:szCs w:val="20"/>
              </w:rPr>
            </w:pPr>
          </w:p>
        </w:tc>
        <w:tc>
          <w:tcPr>
            <w:tcW w:w="0" w:type="auto"/>
            <w:tcBorders>
              <w:top w:val="single" w:sz="6" w:space="0" w:color="888888"/>
              <w:left w:val="nil"/>
              <w:bottom w:val="nil"/>
              <w:right w:val="single" w:sz="6" w:space="0" w:color="888888"/>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sz w:val="20"/>
                <w:szCs w:val="20"/>
              </w:rPr>
            </w:pPr>
            <w:r w:rsidRPr="00B12CB9">
              <w:rPr>
                <w:rFonts w:ascii="Times New Roman" w:eastAsia="Times New Roman" w:hAnsi="Times New Roman" w:cs="Times New Roman"/>
                <w:sz w:val="20"/>
                <w:szCs w:val="20"/>
              </w:rPr>
              <w:t>Positive Predictive Value</w:t>
            </w:r>
          </w:p>
        </w:tc>
        <w:tc>
          <w:tcPr>
            <w:tcW w:w="0" w:type="auto"/>
            <w:tcBorders>
              <w:top w:val="single" w:sz="6" w:space="0" w:color="888888"/>
              <w:left w:val="single" w:sz="6" w:space="0" w:color="888888"/>
              <w:bottom w:val="nil"/>
              <w:right w:val="single" w:sz="6" w:space="0" w:color="888888"/>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sz w:val="20"/>
                <w:szCs w:val="20"/>
              </w:rPr>
            </w:pPr>
            <w:r w:rsidRPr="00B12CB9">
              <w:rPr>
                <w:rFonts w:ascii="Times New Roman" w:eastAsia="Times New Roman" w:hAnsi="Times New Roman" w:cs="Times New Roman"/>
                <w:sz w:val="20"/>
                <w:szCs w:val="20"/>
              </w:rPr>
              <w:t>44.1%</w:t>
            </w:r>
          </w:p>
        </w:tc>
        <w:tc>
          <w:tcPr>
            <w:tcW w:w="0" w:type="auto"/>
            <w:tcBorders>
              <w:top w:val="single" w:sz="6" w:space="0" w:color="888888"/>
              <w:left w:val="single" w:sz="6" w:space="0" w:color="888888"/>
              <w:bottom w:val="nil"/>
              <w:right w:val="single" w:sz="6" w:space="0" w:color="888888"/>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sz w:val="20"/>
                <w:szCs w:val="20"/>
              </w:rPr>
            </w:pPr>
            <w:r w:rsidRPr="00B12CB9">
              <w:rPr>
                <w:rFonts w:ascii="Times New Roman" w:eastAsia="Times New Roman" w:hAnsi="Times New Roman" w:cs="Times New Roman"/>
                <w:sz w:val="20"/>
                <w:szCs w:val="20"/>
              </w:rPr>
              <w:t>29.4%</w:t>
            </w:r>
          </w:p>
        </w:tc>
        <w:tc>
          <w:tcPr>
            <w:tcW w:w="0" w:type="auto"/>
            <w:tcBorders>
              <w:top w:val="single" w:sz="6" w:space="0" w:color="888888"/>
              <w:left w:val="single" w:sz="6" w:space="0" w:color="888888"/>
              <w:bottom w:val="nil"/>
              <w:right w:val="nil"/>
            </w:tcBorders>
            <w:tcMar>
              <w:top w:w="48" w:type="dxa"/>
              <w:left w:w="96" w:type="dxa"/>
              <w:bottom w:w="48" w:type="dxa"/>
              <w:right w:w="96" w:type="dxa"/>
            </w:tcMar>
            <w:hideMark/>
          </w:tcPr>
          <w:p w:rsidR="00B12CB9" w:rsidRPr="00B12CB9" w:rsidRDefault="00B12CB9" w:rsidP="00B12CB9">
            <w:pPr>
              <w:spacing w:before="332" w:after="332" w:line="393" w:lineRule="atLeast"/>
              <w:rPr>
                <w:rFonts w:ascii="Times New Roman" w:eastAsia="Times New Roman" w:hAnsi="Times New Roman" w:cs="Times New Roman"/>
                <w:sz w:val="20"/>
                <w:szCs w:val="20"/>
              </w:rPr>
            </w:pPr>
            <w:r w:rsidRPr="00B12CB9">
              <w:rPr>
                <w:rFonts w:ascii="Times New Roman" w:eastAsia="Times New Roman" w:hAnsi="Times New Roman" w:cs="Times New Roman"/>
                <w:sz w:val="20"/>
                <w:szCs w:val="20"/>
              </w:rPr>
              <w:t>42.6%</w:t>
            </w:r>
          </w:p>
        </w:tc>
      </w:tr>
    </w:tbl>
    <w:p w:rsidR="00B12CB9" w:rsidRPr="00B12CB9" w:rsidRDefault="00B12CB9" w:rsidP="00B12CB9">
      <w:pPr>
        <w:shd w:val="clear" w:color="auto" w:fill="FFFCF0"/>
        <w:spacing w:after="0" w:line="240" w:lineRule="auto"/>
        <w:rPr>
          <w:rFonts w:ascii="Times New Roman" w:eastAsia="Times New Roman" w:hAnsi="Times New Roman" w:cs="Times New Roman"/>
          <w:color w:val="000000"/>
          <w:sz w:val="20"/>
          <w:szCs w:val="20"/>
        </w:rPr>
      </w:pPr>
      <w:r w:rsidRPr="00B12CB9">
        <w:rPr>
          <w:rFonts w:ascii="Times New Roman" w:eastAsia="Times New Roman" w:hAnsi="Times New Roman" w:cs="Times New Roman"/>
          <w:color w:val="000000"/>
          <w:sz w:val="17"/>
          <w:szCs w:val="17"/>
          <w:vertAlign w:val="superscript"/>
        </w:rPr>
        <w:t>*</w:t>
      </w:r>
      <w:r w:rsidRPr="00B12CB9">
        <w:rPr>
          <w:rFonts w:ascii="Times New Roman" w:eastAsia="Times New Roman" w:hAnsi="Times New Roman" w:cs="Times New Roman"/>
          <w:color w:val="000000"/>
          <w:sz w:val="20"/>
          <w:szCs w:val="20"/>
        </w:rPr>
        <w:t>For SPARRA model it is top 1.6%</w:t>
      </w:r>
    </w:p>
    <w:p w:rsidR="00B12CB9" w:rsidRPr="00B12CB9" w:rsidRDefault="00B12CB9" w:rsidP="00B12CB9">
      <w:pPr>
        <w:shd w:val="clear" w:color="auto" w:fill="FFFCF0"/>
        <w:spacing w:after="0" w:line="240" w:lineRule="auto"/>
        <w:rPr>
          <w:rFonts w:ascii="Times New Roman" w:eastAsia="Times New Roman" w:hAnsi="Times New Roman" w:cs="Times New Roman"/>
          <w:color w:val="000000"/>
          <w:sz w:val="20"/>
          <w:szCs w:val="20"/>
        </w:rPr>
      </w:pPr>
      <w:r w:rsidRPr="00B12CB9">
        <w:rPr>
          <w:rFonts w:ascii="Times New Roman" w:eastAsia="Times New Roman" w:hAnsi="Times New Roman" w:cs="Times New Roman"/>
          <w:color w:val="000000"/>
          <w:sz w:val="17"/>
          <w:szCs w:val="17"/>
          <w:vertAlign w:val="superscript"/>
        </w:rPr>
        <w:t>**</w:t>
      </w:r>
      <w:r w:rsidRPr="00B12CB9">
        <w:rPr>
          <w:rFonts w:ascii="Times New Roman" w:eastAsia="Times New Roman" w:hAnsi="Times New Roman" w:cs="Times New Roman"/>
          <w:color w:val="000000"/>
          <w:sz w:val="20"/>
          <w:szCs w:val="20"/>
        </w:rPr>
        <w:t>For SPARRA model it is top 5.5%</w:t>
      </w:r>
    </w:p>
    <w:p w:rsidR="00B12CB9" w:rsidRPr="00B12CB9" w:rsidRDefault="00B12CB9" w:rsidP="00B12CB9">
      <w:pPr>
        <w:shd w:val="clear" w:color="auto" w:fill="FFFCF0"/>
        <w:spacing w:after="0" w:line="240" w:lineRule="auto"/>
        <w:rPr>
          <w:rFonts w:ascii="Times New Roman" w:eastAsia="Times New Roman" w:hAnsi="Times New Roman" w:cs="Times New Roman"/>
          <w:color w:val="000000"/>
          <w:sz w:val="20"/>
          <w:szCs w:val="20"/>
        </w:rPr>
      </w:pPr>
      <w:r w:rsidRPr="00B12CB9">
        <w:rPr>
          <w:rFonts w:ascii="Times New Roman" w:eastAsia="Times New Roman" w:hAnsi="Times New Roman" w:cs="Times New Roman"/>
          <w:color w:val="000000"/>
          <w:sz w:val="17"/>
          <w:szCs w:val="17"/>
          <w:vertAlign w:val="superscript"/>
        </w:rPr>
        <w:t>***</w:t>
      </w:r>
      <w:r w:rsidRPr="00B12CB9">
        <w:rPr>
          <w:rFonts w:ascii="Times New Roman" w:eastAsia="Times New Roman" w:hAnsi="Times New Roman" w:cs="Times New Roman"/>
          <w:color w:val="000000"/>
          <w:sz w:val="20"/>
          <w:szCs w:val="20"/>
        </w:rPr>
        <w:t>Models compared: SPARRA: SPARRA model (Scottish Patients At Risk of Readmission and Admission), predicting next-year hospital admissions (</w:t>
      </w:r>
      <w:hyperlink r:id="rId49" w:anchor="R10" w:history="1">
        <w:r w:rsidRPr="00B12CB9">
          <w:rPr>
            <w:rFonts w:ascii="Times New Roman" w:eastAsia="Times New Roman" w:hAnsi="Times New Roman" w:cs="Times New Roman"/>
            <w:color w:val="642A8F"/>
            <w:sz w:val="20"/>
            <w:u w:val="single"/>
          </w:rPr>
          <w:t>Government of Scotland 2012</w:t>
        </w:r>
      </w:hyperlink>
      <w:r w:rsidRPr="00B12CB9">
        <w:rPr>
          <w:rFonts w:ascii="Times New Roman" w:eastAsia="Times New Roman" w:hAnsi="Times New Roman" w:cs="Times New Roman"/>
          <w:color w:val="000000"/>
          <w:sz w:val="20"/>
          <w:szCs w:val="20"/>
        </w:rPr>
        <w:t>); IPAEOPGP: IPAEOPGP model (using in-patient, accident and emergency, and outpatient data, and general practitioners' electronic medical records data, predicting next-year hospital admissions) (</w:t>
      </w:r>
      <w:hyperlink r:id="rId50" w:anchor="R4" w:history="1">
        <w:r w:rsidRPr="00B12CB9">
          <w:rPr>
            <w:rFonts w:ascii="Times New Roman" w:eastAsia="Times New Roman" w:hAnsi="Times New Roman" w:cs="Times New Roman"/>
            <w:color w:val="642A8F"/>
            <w:sz w:val="20"/>
            <w:u w:val="single"/>
          </w:rPr>
          <w:t>Billings et al. 2013</w:t>
        </w:r>
      </w:hyperlink>
      <w:r w:rsidRPr="00B12CB9">
        <w:rPr>
          <w:rFonts w:ascii="Times New Roman" w:eastAsia="Times New Roman" w:hAnsi="Times New Roman" w:cs="Times New Roman"/>
          <w:color w:val="000000"/>
          <w:sz w:val="20"/>
          <w:szCs w:val="20"/>
        </w:rPr>
        <w:t>)</w:t>
      </w:r>
    </w:p>
    <w:p w:rsidR="00B12CB9" w:rsidRPr="00B12CB9" w:rsidRDefault="00B12CB9" w:rsidP="00B12CB9">
      <w:pPr>
        <w:shd w:val="clear" w:color="auto" w:fill="FFFCF0"/>
        <w:spacing w:before="166" w:after="166" w:line="240" w:lineRule="auto"/>
        <w:rPr>
          <w:rFonts w:ascii="Times New Roman" w:eastAsia="Times New Roman" w:hAnsi="Times New Roman" w:cs="Times New Roman"/>
          <w:color w:val="000000"/>
          <w:sz w:val="20"/>
          <w:szCs w:val="20"/>
        </w:rPr>
      </w:pPr>
      <w:r w:rsidRPr="00B12CB9">
        <w:rPr>
          <w:rFonts w:ascii="Times New Roman" w:eastAsia="Times New Roman" w:hAnsi="Times New Roman" w:cs="Times New Roman"/>
          <w:color w:val="000000"/>
          <w:sz w:val="20"/>
          <w:szCs w:val="20"/>
        </w:rPr>
        <w:t>Current: Our model, predicting high-cost healthcare users</w:t>
      </w:r>
    </w:p>
    <w:p w:rsidR="00B12CB9" w:rsidRPr="00B12CB9" w:rsidRDefault="00B12CB9" w:rsidP="00B12CB9">
      <w:pPr>
        <w:shd w:val="clear" w:color="auto" w:fill="FFFCF0"/>
        <w:spacing w:before="166" w:line="240" w:lineRule="auto"/>
        <w:rPr>
          <w:rFonts w:ascii="Times New Roman" w:eastAsia="Times New Roman" w:hAnsi="Times New Roman" w:cs="Times New Roman"/>
          <w:color w:val="000000"/>
          <w:sz w:val="20"/>
          <w:szCs w:val="20"/>
        </w:rPr>
      </w:pPr>
      <w:r w:rsidRPr="00B12CB9">
        <w:rPr>
          <w:rFonts w:ascii="Times New Roman" w:eastAsia="Times New Roman" w:hAnsi="Times New Roman" w:cs="Times New Roman"/>
          <w:color w:val="000000"/>
          <w:sz w:val="20"/>
          <w:szCs w:val="20"/>
        </w:rPr>
        <w:t>Please note that these numbers are not precisely comparable because the models predict different outcomes and have different event rates (prevalence); however, the figures provide overall reference points for our predictive model's performance.</w:t>
      </w:r>
    </w:p>
    <w:p w:rsidR="00B12CB9" w:rsidRPr="00B12CB9" w:rsidRDefault="00B12CB9" w:rsidP="00B12CB9">
      <w:pPr>
        <w:shd w:val="clear" w:color="auto" w:fill="FFFFFF"/>
        <w:spacing w:before="166" w:after="166" w:line="240" w:lineRule="auto"/>
        <w:rPr>
          <w:rFonts w:ascii="Times New Roman" w:eastAsia="Times New Roman" w:hAnsi="Times New Roman" w:cs="Times New Roman"/>
          <w:color w:val="000000"/>
          <w:sz w:val="24"/>
          <w:szCs w:val="24"/>
        </w:rPr>
      </w:pPr>
      <w:r w:rsidRPr="00B12CB9">
        <w:rPr>
          <w:rFonts w:ascii="Times New Roman" w:eastAsia="Times New Roman" w:hAnsi="Times New Roman" w:cs="Times New Roman"/>
          <w:color w:val="000000"/>
          <w:sz w:val="24"/>
          <w:szCs w:val="24"/>
        </w:rPr>
        <w:t>This paper has presented a model that predicts the top 5% high-cost healthcare users. Models also predicting the top 1% and top 10% HCUs were also explored using reported methodology, and these models showed very strong performance. The final decision as to the most useful cut-off point will depend on the specifics of policy decision-making with regard to practical implementation, and of course on the availability of scarce healthcare dollars for the follow-up.</w:t>
      </w:r>
    </w:p>
    <w:p w:rsidR="00B12CB9" w:rsidRPr="00B12CB9" w:rsidRDefault="00B12CB9" w:rsidP="00B12CB9">
      <w:pPr>
        <w:shd w:val="clear" w:color="auto" w:fill="FFFFFF"/>
        <w:spacing w:before="166" w:after="166" w:line="240" w:lineRule="auto"/>
        <w:rPr>
          <w:rFonts w:ascii="Times New Roman" w:eastAsia="Times New Roman" w:hAnsi="Times New Roman" w:cs="Times New Roman"/>
          <w:color w:val="000000"/>
          <w:sz w:val="24"/>
          <w:szCs w:val="24"/>
        </w:rPr>
      </w:pPr>
      <w:r w:rsidRPr="00B12CB9">
        <w:rPr>
          <w:rFonts w:ascii="Times New Roman" w:eastAsia="Times New Roman" w:hAnsi="Times New Roman" w:cs="Times New Roman"/>
          <w:color w:val="000000"/>
          <w:sz w:val="24"/>
          <w:szCs w:val="24"/>
        </w:rPr>
        <w:t xml:space="preserve">Limitations of the current model include a very large number of predictor variables and the heavy data requirements to run the model. The number of variables could potentially be further reduced in the future. Missing values do not present a significant obstacle, as only three variables </w:t>
      </w:r>
      <w:r w:rsidRPr="00B12CB9">
        <w:rPr>
          <w:rFonts w:ascii="Times New Roman" w:eastAsia="Times New Roman" w:hAnsi="Times New Roman" w:cs="Times New Roman"/>
          <w:color w:val="000000"/>
          <w:sz w:val="24"/>
          <w:szCs w:val="24"/>
        </w:rPr>
        <w:lastRenderedPageBreak/>
        <w:t>have missing values for a very small proportion of patients. Another limitation that we encountered was an inability to access available patient classification systems (such as Adjusted Clinical Groups [ACG] or Diagnostic Cost Groups [DCG]). Usage of such systems could further improve model performance. In order to overcome this obstacle, we used a proxy in our model: all patient ICD-10 and ICD-9 diagnoses were grouped into ICD-10 chapters, with further separation of certain chronic diseases, such as CHF, COPD and diabetes. Odds ratios showed that these groups were very strong predictors of future HCU status.</w:t>
      </w:r>
    </w:p>
    <w:p w:rsidR="00B12CB9" w:rsidRPr="00B12CB9" w:rsidRDefault="00B12CB9" w:rsidP="00B12CB9">
      <w:pPr>
        <w:shd w:val="clear" w:color="auto" w:fill="FFFFFF"/>
        <w:spacing w:before="166" w:after="166" w:line="240" w:lineRule="auto"/>
        <w:rPr>
          <w:rFonts w:ascii="Times New Roman" w:eastAsia="Times New Roman" w:hAnsi="Times New Roman" w:cs="Times New Roman"/>
          <w:color w:val="000000"/>
          <w:sz w:val="24"/>
          <w:szCs w:val="24"/>
        </w:rPr>
      </w:pPr>
      <w:r w:rsidRPr="00B12CB9">
        <w:rPr>
          <w:rFonts w:ascii="Times New Roman" w:eastAsia="Times New Roman" w:hAnsi="Times New Roman" w:cs="Times New Roman"/>
          <w:color w:val="000000"/>
          <w:sz w:val="24"/>
          <w:szCs w:val="24"/>
        </w:rPr>
        <w:t>Some elements of our model are being used by the Ontario Ministry of Health and Long-Term Care to support Health Links, a new model of care at the clinical level where all providers in a community – including primary, hospital and community care – are involved in coordinating plans at the patient level. The Ministry's Health Analytics Branch develops community profiles of populations and high users where the Health Links model is being established.</w:t>
      </w:r>
    </w:p>
    <w:p w:rsidR="00B12CB9" w:rsidRPr="00B12CB9" w:rsidRDefault="00B12CB9" w:rsidP="00B12CB9">
      <w:pPr>
        <w:shd w:val="clear" w:color="auto" w:fill="FFFFFF"/>
        <w:spacing w:before="166" w:after="166" w:line="240" w:lineRule="auto"/>
        <w:rPr>
          <w:rFonts w:ascii="Times New Roman" w:eastAsia="Times New Roman" w:hAnsi="Times New Roman" w:cs="Times New Roman"/>
          <w:color w:val="000000"/>
          <w:sz w:val="24"/>
          <w:szCs w:val="24"/>
        </w:rPr>
      </w:pPr>
      <w:r w:rsidRPr="00B12CB9">
        <w:rPr>
          <w:rFonts w:ascii="Times New Roman" w:eastAsia="Times New Roman" w:hAnsi="Times New Roman" w:cs="Times New Roman"/>
          <w:color w:val="000000"/>
          <w:sz w:val="24"/>
          <w:szCs w:val="24"/>
        </w:rPr>
        <w:t>Further practical implementation of the model could occur in a number of ways. One potential approach is to provide the health card numbers of high-risk patients to primary care providers so that they can implement appropriate prevention strategies, potentially mitigating or avoiding HCU status in the future. For example, the </w:t>
      </w:r>
      <w:hyperlink r:id="rId51" w:anchor="R9" w:history="1">
        <w:r w:rsidRPr="00B12CB9">
          <w:rPr>
            <w:rFonts w:ascii="Times New Roman" w:eastAsia="Times New Roman" w:hAnsi="Times New Roman" w:cs="Times New Roman"/>
            <w:color w:val="642A8F"/>
            <w:sz w:val="24"/>
            <w:szCs w:val="24"/>
            <w:u w:val="single"/>
          </w:rPr>
          <w:t>Government of Scotland (2010)</w:t>
        </w:r>
      </w:hyperlink>
      <w:r w:rsidRPr="00B12CB9">
        <w:rPr>
          <w:rFonts w:ascii="Times New Roman" w:eastAsia="Times New Roman" w:hAnsi="Times New Roman" w:cs="Times New Roman"/>
          <w:color w:val="000000"/>
          <w:sz w:val="24"/>
          <w:szCs w:val="24"/>
        </w:rPr>
        <w:t> has described a model in which lists of patients at greatest risk of emergency admission to hospital over the next year are distributed to healthcare providers to enable “delivery of Proactive, Planned and Co-ordinated care for people with complex or frequently changing care needs.”</w:t>
      </w:r>
    </w:p>
    <w:p w:rsidR="00B12CB9" w:rsidRPr="00B12CB9" w:rsidRDefault="00B12CB9" w:rsidP="00B12CB9">
      <w:pPr>
        <w:shd w:val="clear" w:color="auto" w:fill="FFFFFF"/>
        <w:spacing w:before="166" w:after="166" w:line="240" w:lineRule="auto"/>
        <w:rPr>
          <w:rFonts w:ascii="Times New Roman" w:eastAsia="Times New Roman" w:hAnsi="Times New Roman" w:cs="Times New Roman"/>
          <w:color w:val="000000"/>
          <w:sz w:val="24"/>
          <w:szCs w:val="24"/>
        </w:rPr>
      </w:pPr>
      <w:r w:rsidRPr="00B12CB9">
        <w:rPr>
          <w:rFonts w:ascii="Times New Roman" w:eastAsia="Times New Roman" w:hAnsi="Times New Roman" w:cs="Times New Roman"/>
          <w:color w:val="000000"/>
          <w:sz w:val="24"/>
          <w:szCs w:val="24"/>
        </w:rPr>
        <w:t>In Ontario, there are several challenges to this approach, including concerns over privacy in regard to sharing data with providers. The Ministry's approach with Health Links</w:t>
      </w:r>
      <w:hyperlink r:id="rId52" w:anchor="F7" w:history="1">
        <w:r w:rsidRPr="00B12CB9">
          <w:rPr>
            <w:rFonts w:ascii="Times New Roman" w:eastAsia="Times New Roman" w:hAnsi="Times New Roman" w:cs="Times New Roman"/>
            <w:color w:val="642A8F"/>
            <w:sz w:val="17"/>
            <w:u w:val="single"/>
            <w:vertAlign w:val="superscript"/>
          </w:rPr>
          <w:t>7</w:t>
        </w:r>
      </w:hyperlink>
      <w:r w:rsidRPr="00B12CB9">
        <w:rPr>
          <w:rFonts w:ascii="Times New Roman" w:eastAsia="Times New Roman" w:hAnsi="Times New Roman" w:cs="Times New Roman"/>
          <w:color w:val="000000"/>
          <w:sz w:val="24"/>
          <w:szCs w:val="24"/>
        </w:rPr>
        <w:t> has been to provide aggregate information about HCUs so that providers can identify the patient populations that have historically consumed the most resources. This model could be used to identify patient populations at high risk of becoming high users, so that Health Links could develop interventions that address specific needs of those patient groups. An example might be CHF-centred clinics for congestive heart failure patients (</w:t>
      </w:r>
      <w:hyperlink r:id="rId53" w:anchor="R21" w:history="1">
        <w:r w:rsidRPr="00B12CB9">
          <w:rPr>
            <w:rFonts w:ascii="Times New Roman" w:eastAsia="Times New Roman" w:hAnsi="Times New Roman" w:cs="Times New Roman"/>
            <w:color w:val="642A8F"/>
            <w:sz w:val="24"/>
            <w:szCs w:val="24"/>
            <w:u w:val="single"/>
          </w:rPr>
          <w:t>Wijeysundera et al. 2012</w:t>
        </w:r>
      </w:hyperlink>
      <w:r w:rsidRPr="00B12CB9">
        <w:rPr>
          <w:rFonts w:ascii="Times New Roman" w:eastAsia="Times New Roman" w:hAnsi="Times New Roman" w:cs="Times New Roman"/>
          <w:color w:val="000000"/>
          <w:sz w:val="24"/>
          <w:szCs w:val="24"/>
        </w:rPr>
        <w:t>). Another potential approach would require converting this data-intensive model into a simpler one, with fewer variables, and creating a paper- or desktop computer-based tool that can be used by providers themselves in their offices to score patients and identify those at high risk of becoming high users.</w:t>
      </w:r>
      <w:hyperlink r:id="rId54" w:anchor="F8" w:history="1">
        <w:r w:rsidRPr="00B12CB9">
          <w:rPr>
            <w:rFonts w:ascii="Times New Roman" w:eastAsia="Times New Roman" w:hAnsi="Times New Roman" w:cs="Times New Roman"/>
            <w:color w:val="642A8F"/>
            <w:sz w:val="17"/>
            <w:u w:val="single"/>
            <w:vertAlign w:val="superscript"/>
          </w:rPr>
          <w:t>8</w:t>
        </w:r>
      </w:hyperlink>
      <w:r w:rsidRPr="00B12CB9">
        <w:rPr>
          <w:rFonts w:ascii="Times New Roman" w:eastAsia="Times New Roman" w:hAnsi="Times New Roman" w:cs="Times New Roman"/>
          <w:color w:val="000000"/>
          <w:sz w:val="24"/>
          <w:szCs w:val="24"/>
        </w:rPr>
        <w:t> In any scenario, physicians would be informed of at-risk patients to provide timely interventions to mitigate or reduce the number of HCUs, thus improving patient outcomes and saving finite resources. Ontario's Action Plan for Health Care (MOHLTC n.d.) calls for “better patient care through better value from our health care dollars,” and the current study could become one of the tools facilitating implementation of the directions identified in the Plan.</w:t>
      </w:r>
    </w:p>
    <w:p w:rsidR="00474B25" w:rsidRDefault="00474B25"/>
    <w:sectPr w:rsidR="00474B25" w:rsidSect="007420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0A4C21"/>
    <w:multiLevelType w:val="multilevel"/>
    <w:tmpl w:val="D88A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12CB9"/>
    <w:rsid w:val="00474B25"/>
    <w:rsid w:val="00742087"/>
    <w:rsid w:val="00B12CB9"/>
    <w:rsid w:val="00B718AC"/>
    <w:rsid w:val="00EC73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087"/>
  </w:style>
  <w:style w:type="paragraph" w:styleId="Heading1">
    <w:name w:val="heading 1"/>
    <w:basedOn w:val="Normal"/>
    <w:link w:val="Heading1Char"/>
    <w:uiPriority w:val="9"/>
    <w:qFormat/>
    <w:rsid w:val="00B12C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2C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2C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CB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2C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2CB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12CB9"/>
    <w:rPr>
      <w:color w:val="0000FF"/>
      <w:u w:val="single"/>
    </w:rPr>
  </w:style>
  <w:style w:type="paragraph" w:customStyle="1" w:styleId="p">
    <w:name w:val="p"/>
    <w:basedOn w:val="Normal"/>
    <w:rsid w:val="00B12CB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12C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popup-sensitive-area">
    <w:name w:val="figpopup-sensitive-area"/>
    <w:basedOn w:val="DefaultParagraphFont"/>
    <w:rsid w:val="00B12CB9"/>
  </w:style>
  <w:style w:type="character" w:styleId="Emphasis">
    <w:name w:val="Emphasis"/>
    <w:basedOn w:val="DefaultParagraphFont"/>
    <w:uiPriority w:val="20"/>
    <w:qFormat/>
    <w:rsid w:val="00B12CB9"/>
    <w:rPr>
      <w:i/>
      <w:iCs/>
    </w:rPr>
  </w:style>
</w:styles>
</file>

<file path=word/webSettings.xml><?xml version="1.0" encoding="utf-8"?>
<w:webSettings xmlns:r="http://schemas.openxmlformats.org/officeDocument/2006/relationships" xmlns:w="http://schemas.openxmlformats.org/wordprocessingml/2006/main">
  <w:divs>
    <w:div w:id="1916040947">
      <w:bodyDiv w:val="1"/>
      <w:marLeft w:val="0"/>
      <w:marRight w:val="0"/>
      <w:marTop w:val="0"/>
      <w:marBottom w:val="0"/>
      <w:divBdr>
        <w:top w:val="none" w:sz="0" w:space="0" w:color="auto"/>
        <w:left w:val="none" w:sz="0" w:space="0" w:color="auto"/>
        <w:bottom w:val="none" w:sz="0" w:space="0" w:color="auto"/>
        <w:right w:val="none" w:sz="0" w:space="0" w:color="auto"/>
      </w:divBdr>
      <w:divsChild>
        <w:div w:id="1591430933">
          <w:marLeft w:val="0"/>
          <w:marRight w:val="0"/>
          <w:marTop w:val="0"/>
          <w:marBottom w:val="166"/>
          <w:divBdr>
            <w:top w:val="none" w:sz="0" w:space="0" w:color="auto"/>
            <w:left w:val="none" w:sz="0" w:space="0" w:color="auto"/>
            <w:bottom w:val="none" w:sz="0" w:space="0" w:color="auto"/>
            <w:right w:val="none" w:sz="0" w:space="0" w:color="auto"/>
          </w:divBdr>
          <w:divsChild>
            <w:div w:id="707528367">
              <w:marLeft w:val="0"/>
              <w:marRight w:val="0"/>
              <w:marTop w:val="166"/>
              <w:marBottom w:val="166"/>
              <w:divBdr>
                <w:top w:val="none" w:sz="0" w:space="0" w:color="auto"/>
                <w:left w:val="none" w:sz="0" w:space="0" w:color="auto"/>
                <w:bottom w:val="none" w:sz="0" w:space="0" w:color="auto"/>
                <w:right w:val="none" w:sz="0" w:space="0" w:color="auto"/>
              </w:divBdr>
              <w:divsChild>
                <w:div w:id="1162349343">
                  <w:marLeft w:val="0"/>
                  <w:marRight w:val="0"/>
                  <w:marTop w:val="0"/>
                  <w:marBottom w:val="0"/>
                  <w:divBdr>
                    <w:top w:val="none" w:sz="0" w:space="0" w:color="auto"/>
                    <w:left w:val="none" w:sz="0" w:space="0" w:color="auto"/>
                    <w:bottom w:val="none" w:sz="0" w:space="0" w:color="auto"/>
                    <w:right w:val="none" w:sz="0" w:space="0" w:color="auto"/>
                  </w:divBdr>
                </w:div>
              </w:divsChild>
            </w:div>
            <w:div w:id="857932439">
              <w:marLeft w:val="0"/>
              <w:marRight w:val="0"/>
              <w:marTop w:val="166"/>
              <w:marBottom w:val="166"/>
              <w:divBdr>
                <w:top w:val="none" w:sz="0" w:space="0" w:color="auto"/>
                <w:left w:val="none" w:sz="0" w:space="0" w:color="auto"/>
                <w:bottom w:val="none" w:sz="0" w:space="0" w:color="auto"/>
                <w:right w:val="none" w:sz="0" w:space="0" w:color="auto"/>
              </w:divBdr>
              <w:divsChild>
                <w:div w:id="2130660258">
                  <w:marLeft w:val="0"/>
                  <w:marRight w:val="0"/>
                  <w:marTop w:val="0"/>
                  <w:marBottom w:val="0"/>
                  <w:divBdr>
                    <w:top w:val="none" w:sz="0" w:space="0" w:color="auto"/>
                    <w:left w:val="none" w:sz="0" w:space="0" w:color="auto"/>
                    <w:bottom w:val="none" w:sz="0" w:space="0" w:color="auto"/>
                    <w:right w:val="none" w:sz="0" w:space="0" w:color="auto"/>
                  </w:divBdr>
                </w:div>
              </w:divsChild>
            </w:div>
            <w:div w:id="2108500237">
              <w:marLeft w:val="0"/>
              <w:marRight w:val="0"/>
              <w:marTop w:val="332"/>
              <w:marBottom w:val="332"/>
              <w:divBdr>
                <w:top w:val="single" w:sz="6" w:space="5" w:color="EAC3AF"/>
                <w:left w:val="single" w:sz="6" w:space="8" w:color="EAC3AF"/>
                <w:bottom w:val="single" w:sz="6" w:space="5" w:color="EAC3AF"/>
                <w:right w:val="single" w:sz="6" w:space="8" w:color="EAC3AF"/>
              </w:divBdr>
              <w:divsChild>
                <w:div w:id="1083718373">
                  <w:marLeft w:val="0"/>
                  <w:marRight w:val="0"/>
                  <w:marTop w:val="0"/>
                  <w:marBottom w:val="0"/>
                  <w:divBdr>
                    <w:top w:val="none" w:sz="0" w:space="0" w:color="auto"/>
                    <w:left w:val="none" w:sz="0" w:space="0" w:color="auto"/>
                    <w:bottom w:val="none" w:sz="0" w:space="0" w:color="auto"/>
                    <w:right w:val="none" w:sz="0" w:space="0" w:color="auto"/>
                  </w:divBdr>
                  <w:divsChild>
                    <w:div w:id="17496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58892">
          <w:marLeft w:val="0"/>
          <w:marRight w:val="0"/>
          <w:marTop w:val="0"/>
          <w:marBottom w:val="0"/>
          <w:divBdr>
            <w:top w:val="none" w:sz="0" w:space="0" w:color="auto"/>
            <w:left w:val="none" w:sz="0" w:space="0" w:color="auto"/>
            <w:bottom w:val="none" w:sz="0" w:space="0" w:color="auto"/>
            <w:right w:val="none" w:sz="0" w:space="0" w:color="auto"/>
          </w:divBdr>
        </w:div>
        <w:div w:id="2006203800">
          <w:marLeft w:val="0"/>
          <w:marRight w:val="0"/>
          <w:marTop w:val="332"/>
          <w:marBottom w:val="332"/>
          <w:divBdr>
            <w:top w:val="single" w:sz="6" w:space="0" w:color="97B0C8"/>
            <w:left w:val="none" w:sz="0" w:space="0" w:color="auto"/>
            <w:bottom w:val="none" w:sz="0" w:space="0" w:color="auto"/>
            <w:right w:val="none" w:sz="0" w:space="0" w:color="auto"/>
          </w:divBdr>
        </w:div>
        <w:div w:id="418256013">
          <w:marLeft w:val="0"/>
          <w:marRight w:val="0"/>
          <w:marTop w:val="0"/>
          <w:marBottom w:val="0"/>
          <w:divBdr>
            <w:top w:val="none" w:sz="0" w:space="0" w:color="auto"/>
            <w:left w:val="none" w:sz="0" w:space="0" w:color="auto"/>
            <w:bottom w:val="none" w:sz="0" w:space="0" w:color="auto"/>
            <w:right w:val="none" w:sz="0" w:space="0" w:color="auto"/>
          </w:divBdr>
        </w:div>
        <w:div w:id="2093353871">
          <w:marLeft w:val="0"/>
          <w:marRight w:val="0"/>
          <w:marTop w:val="0"/>
          <w:marBottom w:val="0"/>
          <w:divBdr>
            <w:top w:val="none" w:sz="0" w:space="0" w:color="auto"/>
            <w:left w:val="none" w:sz="0" w:space="0" w:color="auto"/>
            <w:bottom w:val="none" w:sz="0" w:space="0" w:color="auto"/>
            <w:right w:val="none" w:sz="0" w:space="0" w:color="auto"/>
          </w:divBdr>
        </w:div>
        <w:div w:id="1837106097">
          <w:marLeft w:val="0"/>
          <w:marRight w:val="0"/>
          <w:marTop w:val="0"/>
          <w:marBottom w:val="0"/>
          <w:divBdr>
            <w:top w:val="none" w:sz="0" w:space="0" w:color="auto"/>
            <w:left w:val="none" w:sz="0" w:space="0" w:color="auto"/>
            <w:bottom w:val="none" w:sz="0" w:space="0" w:color="auto"/>
            <w:right w:val="none" w:sz="0" w:space="0" w:color="auto"/>
          </w:divBdr>
        </w:div>
        <w:div w:id="799999413">
          <w:marLeft w:val="0"/>
          <w:marRight w:val="0"/>
          <w:marTop w:val="0"/>
          <w:marBottom w:val="0"/>
          <w:divBdr>
            <w:top w:val="none" w:sz="0" w:space="0" w:color="auto"/>
            <w:left w:val="none" w:sz="0" w:space="0" w:color="auto"/>
            <w:bottom w:val="none" w:sz="0" w:space="0" w:color="auto"/>
            <w:right w:val="none" w:sz="0" w:space="0" w:color="auto"/>
          </w:divBdr>
        </w:div>
        <w:div w:id="1858351031">
          <w:marLeft w:val="0"/>
          <w:marRight w:val="0"/>
          <w:marTop w:val="0"/>
          <w:marBottom w:val="0"/>
          <w:divBdr>
            <w:top w:val="none" w:sz="0" w:space="0" w:color="auto"/>
            <w:left w:val="none" w:sz="0" w:space="0" w:color="auto"/>
            <w:bottom w:val="none" w:sz="0" w:space="0" w:color="auto"/>
            <w:right w:val="none" w:sz="0" w:space="0" w:color="auto"/>
          </w:divBdr>
        </w:div>
        <w:div w:id="160002238">
          <w:marLeft w:val="0"/>
          <w:marRight w:val="0"/>
          <w:marTop w:val="0"/>
          <w:marBottom w:val="0"/>
          <w:divBdr>
            <w:top w:val="none" w:sz="0" w:space="0" w:color="auto"/>
            <w:left w:val="none" w:sz="0" w:space="0" w:color="auto"/>
            <w:bottom w:val="none" w:sz="0" w:space="0" w:color="auto"/>
            <w:right w:val="none" w:sz="0" w:space="0" w:color="auto"/>
          </w:divBdr>
        </w:div>
        <w:div w:id="1474761759">
          <w:marLeft w:val="0"/>
          <w:marRight w:val="0"/>
          <w:marTop w:val="0"/>
          <w:marBottom w:val="0"/>
          <w:divBdr>
            <w:top w:val="none" w:sz="0" w:space="0" w:color="auto"/>
            <w:left w:val="none" w:sz="0" w:space="0" w:color="auto"/>
            <w:bottom w:val="none" w:sz="0" w:space="0" w:color="auto"/>
            <w:right w:val="none" w:sz="0" w:space="0" w:color="auto"/>
          </w:divBdr>
        </w:div>
        <w:div w:id="2106922819">
          <w:marLeft w:val="0"/>
          <w:marRight w:val="0"/>
          <w:marTop w:val="0"/>
          <w:marBottom w:val="0"/>
          <w:divBdr>
            <w:top w:val="none" w:sz="0" w:space="0" w:color="auto"/>
            <w:left w:val="none" w:sz="0" w:space="0" w:color="auto"/>
            <w:bottom w:val="none" w:sz="0" w:space="0" w:color="auto"/>
            <w:right w:val="none" w:sz="0" w:space="0" w:color="auto"/>
          </w:divBdr>
        </w:div>
        <w:div w:id="32048896">
          <w:marLeft w:val="0"/>
          <w:marRight w:val="0"/>
          <w:marTop w:val="0"/>
          <w:marBottom w:val="0"/>
          <w:divBdr>
            <w:top w:val="none" w:sz="0" w:space="0" w:color="auto"/>
            <w:left w:val="none" w:sz="0" w:space="0" w:color="auto"/>
            <w:bottom w:val="none" w:sz="0" w:space="0" w:color="auto"/>
            <w:right w:val="none" w:sz="0" w:space="0" w:color="auto"/>
          </w:divBdr>
        </w:div>
        <w:div w:id="359937177">
          <w:marLeft w:val="0"/>
          <w:marRight w:val="0"/>
          <w:marTop w:val="0"/>
          <w:marBottom w:val="0"/>
          <w:divBdr>
            <w:top w:val="none" w:sz="0" w:space="0" w:color="auto"/>
            <w:left w:val="none" w:sz="0" w:space="0" w:color="auto"/>
            <w:bottom w:val="none" w:sz="0" w:space="0" w:color="auto"/>
            <w:right w:val="none" w:sz="0" w:space="0" w:color="auto"/>
          </w:divBdr>
        </w:div>
        <w:div w:id="1950356413">
          <w:marLeft w:val="0"/>
          <w:marRight w:val="0"/>
          <w:marTop w:val="0"/>
          <w:marBottom w:val="0"/>
          <w:divBdr>
            <w:top w:val="none" w:sz="0" w:space="0" w:color="auto"/>
            <w:left w:val="none" w:sz="0" w:space="0" w:color="auto"/>
            <w:bottom w:val="none" w:sz="0" w:space="0" w:color="auto"/>
            <w:right w:val="none" w:sz="0" w:space="0" w:color="auto"/>
          </w:divBdr>
        </w:div>
        <w:div w:id="1134907883">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241283020">
              <w:marLeft w:val="0"/>
              <w:marRight w:val="0"/>
              <w:marTop w:val="0"/>
              <w:marBottom w:val="332"/>
              <w:divBdr>
                <w:top w:val="none" w:sz="0" w:space="0" w:color="auto"/>
                <w:left w:val="none" w:sz="0" w:space="0" w:color="auto"/>
                <w:bottom w:val="none" w:sz="0" w:space="0" w:color="auto"/>
                <w:right w:val="none" w:sz="0" w:space="0" w:color="auto"/>
              </w:divBdr>
            </w:div>
            <w:div w:id="909116808">
              <w:marLeft w:val="0"/>
              <w:marRight w:val="0"/>
              <w:marTop w:val="0"/>
              <w:marBottom w:val="0"/>
              <w:divBdr>
                <w:top w:val="none" w:sz="0" w:space="0" w:color="auto"/>
                <w:left w:val="none" w:sz="0" w:space="0" w:color="auto"/>
                <w:bottom w:val="none" w:sz="0" w:space="0" w:color="auto"/>
                <w:right w:val="none" w:sz="0" w:space="0" w:color="auto"/>
              </w:divBdr>
              <w:divsChild>
                <w:div w:id="860897549">
                  <w:marLeft w:val="0"/>
                  <w:marRight w:val="0"/>
                  <w:marTop w:val="0"/>
                  <w:marBottom w:val="0"/>
                  <w:divBdr>
                    <w:top w:val="none" w:sz="0" w:space="0" w:color="auto"/>
                    <w:left w:val="none" w:sz="0" w:space="0" w:color="auto"/>
                    <w:bottom w:val="none" w:sz="0" w:space="0" w:color="auto"/>
                    <w:right w:val="none" w:sz="0" w:space="0" w:color="auto"/>
                  </w:divBdr>
                </w:div>
                <w:div w:id="8725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58115">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213156003">
              <w:marLeft w:val="0"/>
              <w:marRight w:val="0"/>
              <w:marTop w:val="0"/>
              <w:marBottom w:val="332"/>
              <w:divBdr>
                <w:top w:val="none" w:sz="0" w:space="0" w:color="auto"/>
                <w:left w:val="none" w:sz="0" w:space="0" w:color="auto"/>
                <w:bottom w:val="none" w:sz="0" w:space="0" w:color="auto"/>
                <w:right w:val="none" w:sz="0" w:space="0" w:color="auto"/>
              </w:divBdr>
            </w:div>
            <w:div w:id="1005667657">
              <w:marLeft w:val="0"/>
              <w:marRight w:val="0"/>
              <w:marTop w:val="0"/>
              <w:marBottom w:val="0"/>
              <w:divBdr>
                <w:top w:val="none" w:sz="0" w:space="0" w:color="auto"/>
                <w:left w:val="none" w:sz="0" w:space="0" w:color="auto"/>
                <w:bottom w:val="none" w:sz="0" w:space="0" w:color="auto"/>
                <w:right w:val="none" w:sz="0" w:space="0" w:color="auto"/>
              </w:divBdr>
              <w:divsChild>
                <w:div w:id="1878733447">
                  <w:marLeft w:val="0"/>
                  <w:marRight w:val="0"/>
                  <w:marTop w:val="0"/>
                  <w:marBottom w:val="0"/>
                  <w:divBdr>
                    <w:top w:val="none" w:sz="0" w:space="0" w:color="auto"/>
                    <w:left w:val="none" w:sz="0" w:space="0" w:color="auto"/>
                    <w:bottom w:val="none" w:sz="0" w:space="0" w:color="auto"/>
                    <w:right w:val="none" w:sz="0" w:space="0" w:color="auto"/>
                  </w:divBdr>
                </w:div>
                <w:div w:id="204532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1292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988368206">
              <w:marLeft w:val="0"/>
              <w:marRight w:val="0"/>
              <w:marTop w:val="0"/>
              <w:marBottom w:val="0"/>
              <w:divBdr>
                <w:top w:val="none" w:sz="0" w:space="0" w:color="auto"/>
                <w:left w:val="none" w:sz="0" w:space="0" w:color="auto"/>
                <w:bottom w:val="none" w:sz="0" w:space="0" w:color="auto"/>
                <w:right w:val="none" w:sz="0" w:space="0" w:color="auto"/>
              </w:divBdr>
            </w:div>
            <w:div w:id="1293173936">
              <w:marLeft w:val="0"/>
              <w:marRight w:val="0"/>
              <w:marTop w:val="0"/>
              <w:marBottom w:val="0"/>
              <w:divBdr>
                <w:top w:val="none" w:sz="0" w:space="0" w:color="auto"/>
                <w:left w:val="none" w:sz="0" w:space="0" w:color="auto"/>
                <w:bottom w:val="none" w:sz="0" w:space="0" w:color="auto"/>
                <w:right w:val="none" w:sz="0" w:space="0" w:color="auto"/>
              </w:divBdr>
            </w:div>
            <w:div w:id="1869567232">
              <w:marLeft w:val="0"/>
              <w:marRight w:val="0"/>
              <w:marTop w:val="332"/>
              <w:marBottom w:val="332"/>
              <w:divBdr>
                <w:top w:val="none" w:sz="0" w:space="0" w:color="auto"/>
                <w:left w:val="none" w:sz="0" w:space="0" w:color="auto"/>
                <w:bottom w:val="none" w:sz="0" w:space="0" w:color="auto"/>
                <w:right w:val="none" w:sz="0" w:space="0" w:color="auto"/>
              </w:divBdr>
              <w:divsChild>
                <w:div w:id="6609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8005">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008018807">
              <w:marLeft w:val="0"/>
              <w:marRight w:val="0"/>
              <w:marTop w:val="0"/>
              <w:marBottom w:val="0"/>
              <w:divBdr>
                <w:top w:val="none" w:sz="0" w:space="0" w:color="auto"/>
                <w:left w:val="none" w:sz="0" w:space="0" w:color="auto"/>
                <w:bottom w:val="none" w:sz="0" w:space="0" w:color="auto"/>
                <w:right w:val="none" w:sz="0" w:space="0" w:color="auto"/>
              </w:divBdr>
            </w:div>
            <w:div w:id="1748919939">
              <w:marLeft w:val="0"/>
              <w:marRight w:val="0"/>
              <w:marTop w:val="0"/>
              <w:marBottom w:val="0"/>
              <w:divBdr>
                <w:top w:val="none" w:sz="0" w:space="0" w:color="auto"/>
                <w:left w:val="none" w:sz="0" w:space="0" w:color="auto"/>
                <w:bottom w:val="none" w:sz="0" w:space="0" w:color="auto"/>
                <w:right w:val="none" w:sz="0" w:space="0" w:color="auto"/>
              </w:divBdr>
            </w:div>
            <w:div w:id="1582641851">
              <w:marLeft w:val="0"/>
              <w:marRight w:val="0"/>
              <w:marTop w:val="332"/>
              <w:marBottom w:val="332"/>
              <w:divBdr>
                <w:top w:val="none" w:sz="0" w:space="0" w:color="auto"/>
                <w:left w:val="none" w:sz="0" w:space="0" w:color="auto"/>
                <w:bottom w:val="none" w:sz="0" w:space="0" w:color="auto"/>
                <w:right w:val="none" w:sz="0" w:space="0" w:color="auto"/>
              </w:divBdr>
              <w:divsChild>
                <w:div w:id="1302149047">
                  <w:marLeft w:val="0"/>
                  <w:marRight w:val="0"/>
                  <w:marTop w:val="0"/>
                  <w:marBottom w:val="0"/>
                  <w:divBdr>
                    <w:top w:val="none" w:sz="0" w:space="0" w:color="auto"/>
                    <w:left w:val="none" w:sz="0" w:space="0" w:color="auto"/>
                    <w:bottom w:val="none" w:sz="0" w:space="0" w:color="auto"/>
                    <w:right w:val="none" w:sz="0" w:space="0" w:color="auto"/>
                  </w:divBdr>
                </w:div>
                <w:div w:id="262804574">
                  <w:marLeft w:val="0"/>
                  <w:marRight w:val="0"/>
                  <w:marTop w:val="0"/>
                  <w:marBottom w:val="0"/>
                  <w:divBdr>
                    <w:top w:val="none" w:sz="0" w:space="0" w:color="auto"/>
                    <w:left w:val="none" w:sz="0" w:space="0" w:color="auto"/>
                    <w:bottom w:val="none" w:sz="0" w:space="0" w:color="auto"/>
                    <w:right w:val="none" w:sz="0" w:space="0" w:color="auto"/>
                  </w:divBdr>
                </w:div>
                <w:div w:id="1645503783">
                  <w:marLeft w:val="0"/>
                  <w:marRight w:val="0"/>
                  <w:marTop w:val="0"/>
                  <w:marBottom w:val="0"/>
                  <w:divBdr>
                    <w:top w:val="none" w:sz="0" w:space="0" w:color="auto"/>
                    <w:left w:val="none" w:sz="0" w:space="0" w:color="auto"/>
                    <w:bottom w:val="none" w:sz="0" w:space="0" w:color="auto"/>
                    <w:right w:val="none" w:sz="0" w:space="0" w:color="auto"/>
                  </w:divBdr>
                </w:div>
                <w:div w:id="712384905">
                  <w:marLeft w:val="0"/>
                  <w:marRight w:val="0"/>
                  <w:marTop w:val="0"/>
                  <w:marBottom w:val="0"/>
                  <w:divBdr>
                    <w:top w:val="none" w:sz="0" w:space="0" w:color="auto"/>
                    <w:left w:val="none" w:sz="0" w:space="0" w:color="auto"/>
                    <w:bottom w:val="none" w:sz="0" w:space="0" w:color="auto"/>
                    <w:right w:val="none" w:sz="0" w:space="0" w:color="auto"/>
                  </w:divBdr>
                </w:div>
                <w:div w:id="69457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mc/articles/PMC3999564/" TargetMode="External"/><Relationship Id="rId18" Type="http://schemas.openxmlformats.org/officeDocument/2006/relationships/hyperlink" Target="https://www.ncbi.nlm.nih.gov/pmc/articles/PMC3999564/" TargetMode="External"/><Relationship Id="rId26" Type="http://schemas.openxmlformats.org/officeDocument/2006/relationships/hyperlink" Target="https://www.ncbi.nlm.nih.gov/pmc/articles/PMC3999564/" TargetMode="External"/><Relationship Id="rId39" Type="http://schemas.openxmlformats.org/officeDocument/2006/relationships/hyperlink" Target="https://www.ncbi.nlm.nih.gov/pmc/articles/PMC3999564/table/T3/" TargetMode="External"/><Relationship Id="rId21" Type="http://schemas.openxmlformats.org/officeDocument/2006/relationships/hyperlink" Target="https://www.ncbi.nlm.nih.gov/pmc/articles/PMC3999564/" TargetMode="External"/><Relationship Id="rId34" Type="http://schemas.openxmlformats.org/officeDocument/2006/relationships/hyperlink" Target="http://www.longwoods.com/content/23710" TargetMode="External"/><Relationship Id="rId42" Type="http://schemas.openxmlformats.org/officeDocument/2006/relationships/image" Target="media/image2.jpeg"/><Relationship Id="rId47" Type="http://schemas.openxmlformats.org/officeDocument/2006/relationships/hyperlink" Target="https://www.ncbi.nlm.nih.gov/pmc/articles/PMC3999564/" TargetMode="External"/><Relationship Id="rId50" Type="http://schemas.openxmlformats.org/officeDocument/2006/relationships/hyperlink" Target="https://www.ncbi.nlm.nih.gov/pmc/articles/PMC3999564/" TargetMode="External"/><Relationship Id="rId55" Type="http://schemas.openxmlformats.org/officeDocument/2006/relationships/fontTable" Target="fontTable.xml"/><Relationship Id="rId7" Type="http://schemas.openxmlformats.org/officeDocument/2006/relationships/hyperlink" Target="https://www.ncbi.nlm.nih.gov/pubmed/?term=Rais%20S%5BAuthor%5D&amp;cauthor=true&amp;cauthor_uid=24726075" TargetMode="External"/><Relationship Id="rId12" Type="http://schemas.openxmlformats.org/officeDocument/2006/relationships/hyperlink" Target="https://www.ncbi.nlm.nih.gov/pmc/articles/PMC3999564/citedby/" TargetMode="External"/><Relationship Id="rId17" Type="http://schemas.openxmlformats.org/officeDocument/2006/relationships/hyperlink" Target="https://www.ncbi.nlm.nih.gov/pmc/articles/PMC3999564/" TargetMode="External"/><Relationship Id="rId25" Type="http://schemas.openxmlformats.org/officeDocument/2006/relationships/hyperlink" Target="https://www.ncbi.nlm.nih.gov/pmc/articles/PMC3999564/" TargetMode="External"/><Relationship Id="rId33" Type="http://schemas.openxmlformats.org/officeDocument/2006/relationships/hyperlink" Target="https://www.ncbi.nlm.nih.gov/pmc/articles/PMC3999564/" TargetMode="External"/><Relationship Id="rId38" Type="http://schemas.openxmlformats.org/officeDocument/2006/relationships/hyperlink" Target="https://www.ncbi.nlm.nih.gov/pmc/articles/PMC3999564/figure/FG2/" TargetMode="External"/><Relationship Id="rId46" Type="http://schemas.openxmlformats.org/officeDocument/2006/relationships/hyperlink" Target="https://www.ncbi.nlm.nih.gov/pmc/articles/PMC3999564/" TargetMode="External"/><Relationship Id="rId2" Type="http://schemas.openxmlformats.org/officeDocument/2006/relationships/styles" Target="styles.xml"/><Relationship Id="rId16" Type="http://schemas.openxmlformats.org/officeDocument/2006/relationships/hyperlink" Target="https://www.ncbi.nlm.nih.gov/pmc/articles/PMC3999564/" TargetMode="External"/><Relationship Id="rId20" Type="http://schemas.openxmlformats.org/officeDocument/2006/relationships/hyperlink" Target="https://www.ncbi.nlm.nih.gov/pmc/articles/PMC3999564/" TargetMode="External"/><Relationship Id="rId29" Type="http://schemas.openxmlformats.org/officeDocument/2006/relationships/hyperlink" Target="https://www.ncbi.nlm.nih.gov/pmc/articles/PMC3999564/" TargetMode="External"/><Relationship Id="rId41" Type="http://schemas.openxmlformats.org/officeDocument/2006/relationships/hyperlink" Target="https://www.ncbi.nlm.nih.gov/pmc/articles/PMC3999564/figure/FG1/" TargetMode="External"/><Relationship Id="rId54" Type="http://schemas.openxmlformats.org/officeDocument/2006/relationships/hyperlink" Target="https://www.ncbi.nlm.nih.gov/pmc/articles/PMC3999564/" TargetMode="External"/><Relationship Id="rId1" Type="http://schemas.openxmlformats.org/officeDocument/2006/relationships/numbering" Target="numbering.xml"/><Relationship Id="rId6" Type="http://schemas.openxmlformats.org/officeDocument/2006/relationships/hyperlink" Target="https://www.ncbi.nlm.nih.gov/pubmed/?term=Nazerian%20A%5BAuthor%5D&amp;cauthor=true&amp;cauthor_uid=24726075" TargetMode="External"/><Relationship Id="rId11" Type="http://schemas.openxmlformats.org/officeDocument/2006/relationships/hyperlink" Target="https://www.ncbi.nlm.nih.gov/pmc/about/disclaimer/" TargetMode="External"/><Relationship Id="rId24" Type="http://schemas.openxmlformats.org/officeDocument/2006/relationships/hyperlink" Target="https://www.ncbi.nlm.nih.gov/pmc/articles/PMC3999564/" TargetMode="External"/><Relationship Id="rId32" Type="http://schemas.openxmlformats.org/officeDocument/2006/relationships/hyperlink" Target="https://www.ncbi.nlm.nih.gov/pmc/articles/PMC3999564/" TargetMode="External"/><Relationship Id="rId37" Type="http://schemas.openxmlformats.org/officeDocument/2006/relationships/hyperlink" Target="https://www.ncbi.nlm.nih.gov/pmc/articles/PMC3999564/figure/FG1/" TargetMode="External"/><Relationship Id="rId40" Type="http://schemas.openxmlformats.org/officeDocument/2006/relationships/image" Target="media/image1.jpeg"/><Relationship Id="rId45" Type="http://schemas.openxmlformats.org/officeDocument/2006/relationships/hyperlink" Target="https://www.ncbi.nlm.nih.gov/pmc/articles/PMC3999564/" TargetMode="External"/><Relationship Id="rId53" Type="http://schemas.openxmlformats.org/officeDocument/2006/relationships/hyperlink" Target="https://www.ncbi.nlm.nih.gov/pmc/articles/PMC3999564/" TargetMode="External"/><Relationship Id="rId5" Type="http://schemas.openxmlformats.org/officeDocument/2006/relationships/hyperlink" Target="https://www.ncbi.nlm.nih.gov/pubmed/?term=Chechulin%20Y%5BAuthor%5D&amp;cauthor=true&amp;cauthor_uid=24726075" TargetMode="External"/><Relationship Id="rId15" Type="http://schemas.openxmlformats.org/officeDocument/2006/relationships/hyperlink" Target="https://www.ncbi.nlm.nih.gov/pmc/articles/PMC3999564/" TargetMode="External"/><Relationship Id="rId23" Type="http://schemas.openxmlformats.org/officeDocument/2006/relationships/hyperlink" Target="https://www.ncbi.nlm.nih.gov/pmc/articles/PMC3999564/" TargetMode="External"/><Relationship Id="rId28" Type="http://schemas.openxmlformats.org/officeDocument/2006/relationships/hyperlink" Target="https://www.ncbi.nlm.nih.gov/pmc/articles/PMC3999564/" TargetMode="External"/><Relationship Id="rId36" Type="http://schemas.openxmlformats.org/officeDocument/2006/relationships/hyperlink" Target="http://www.longwoods.com/content/23710" TargetMode="External"/><Relationship Id="rId49" Type="http://schemas.openxmlformats.org/officeDocument/2006/relationships/hyperlink" Target="https://www.ncbi.nlm.nih.gov/pmc/articles/PMC3999564/" TargetMode="External"/><Relationship Id="rId10" Type="http://schemas.openxmlformats.org/officeDocument/2006/relationships/hyperlink" Target="https://www.ncbi.nlm.nih.gov/pmc/articles/PMC3999564/" TargetMode="External"/><Relationship Id="rId19" Type="http://schemas.openxmlformats.org/officeDocument/2006/relationships/hyperlink" Target="https://www.ncbi.nlm.nih.gov/pmc/articles/PMC3999564/" TargetMode="External"/><Relationship Id="rId31" Type="http://schemas.openxmlformats.org/officeDocument/2006/relationships/hyperlink" Target="https://www.ncbi.nlm.nih.gov/pmc/articles/PMC3999564/" TargetMode="External"/><Relationship Id="rId44" Type="http://schemas.openxmlformats.org/officeDocument/2006/relationships/hyperlink" Target="https://www.ncbi.nlm.nih.gov/pmc/articles/PMC3999564/table/T3/" TargetMode="External"/><Relationship Id="rId52" Type="http://schemas.openxmlformats.org/officeDocument/2006/relationships/hyperlink" Target="https://www.ncbi.nlm.nih.gov/pmc/articles/PMC3999564/" TargetMode="External"/><Relationship Id="rId4" Type="http://schemas.openxmlformats.org/officeDocument/2006/relationships/webSettings" Target="webSettings.xml"/><Relationship Id="rId9" Type="http://schemas.openxmlformats.org/officeDocument/2006/relationships/hyperlink" Target="https://www.ncbi.nlm.nih.gov/pmc/articles/PMC3999564/" TargetMode="External"/><Relationship Id="rId14" Type="http://schemas.openxmlformats.org/officeDocument/2006/relationships/hyperlink" Target="https://www.ncbi.nlm.nih.gov/pmc/articles/PMC3999564/" TargetMode="External"/><Relationship Id="rId22" Type="http://schemas.openxmlformats.org/officeDocument/2006/relationships/hyperlink" Target="https://www.ncbi.nlm.nih.gov/pmc/articles/PMC3999564/" TargetMode="External"/><Relationship Id="rId27" Type="http://schemas.openxmlformats.org/officeDocument/2006/relationships/hyperlink" Target="https://www.ncbi.nlm.nih.gov/pmc/articles/PMC3999564/" TargetMode="External"/><Relationship Id="rId30" Type="http://schemas.openxmlformats.org/officeDocument/2006/relationships/hyperlink" Target="https://www.ncbi.nlm.nih.gov/pmc/articles/PMC3999564/" TargetMode="External"/><Relationship Id="rId35" Type="http://schemas.openxmlformats.org/officeDocument/2006/relationships/hyperlink" Target="https://www.ncbi.nlm.nih.gov/pmc/articles/PMC3999564/" TargetMode="External"/><Relationship Id="rId43" Type="http://schemas.openxmlformats.org/officeDocument/2006/relationships/hyperlink" Target="https://www.ncbi.nlm.nih.gov/pmc/articles/PMC3999564/figure/FG2/" TargetMode="External"/><Relationship Id="rId48" Type="http://schemas.openxmlformats.org/officeDocument/2006/relationships/hyperlink" Target="https://www.ncbi.nlm.nih.gov/pmc/articles/PMC3999564/table/T4/" TargetMode="External"/><Relationship Id="rId56" Type="http://schemas.openxmlformats.org/officeDocument/2006/relationships/theme" Target="theme/theme1.xml"/><Relationship Id="rId8" Type="http://schemas.openxmlformats.org/officeDocument/2006/relationships/hyperlink" Target="https://www.ncbi.nlm.nih.gov/pubmed/?term=Malikov%20K%5BAuthor%5D&amp;cauthor=true&amp;cauthor_uid=24726075" TargetMode="External"/><Relationship Id="rId51" Type="http://schemas.openxmlformats.org/officeDocument/2006/relationships/hyperlink" Target="https://www.ncbi.nlm.nih.gov/pmc/articles/PMC3999564/"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4238</Words>
  <Characters>24158</Characters>
  <Application>Microsoft Office Word</Application>
  <DocSecurity>0</DocSecurity>
  <Lines>201</Lines>
  <Paragraphs>56</Paragraphs>
  <ScaleCrop>false</ScaleCrop>
  <Company/>
  <LinksUpToDate>false</LinksUpToDate>
  <CharactersWithSpaces>28340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Yagnaraman Madhavan</dc:creator>
  <cp:lastModifiedBy>Yagnaraman Madhavan</cp:lastModifiedBy>
  <cp:revision>1</cp:revision>
  <dcterms:created xsi:type="dcterms:W3CDTF">2018-10-24T08:15:00Z</dcterms:created>
  <dcterms:modified xsi:type="dcterms:W3CDTF">2018-10-24T08:15:00Z</dcterms:modified>
</cp:coreProperties>
</file>