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34014940" w:rsidR="000C3F36" w:rsidRDefault="000C3F36" w:rsidP="00117E04">
      <w:r>
        <w:rPr>
          <w:rFonts w:hint="eastAsia"/>
        </w:rPr>
        <w:t>ガイド</w:t>
      </w:r>
      <w:r w:rsidR="00117E04">
        <w:rPr>
          <w:rFonts w:hint="eastAsia"/>
        </w:rPr>
        <w:t>ライン個票</w:t>
      </w:r>
      <w:r w:rsidR="006F76FE">
        <w:rPr>
          <w:rFonts w:hint="eastAsia"/>
        </w:rPr>
        <w:t xml:space="preserve">　その他</w:t>
      </w:r>
    </w:p>
    <w:tbl>
      <w:tblPr>
        <w:tblStyle w:val="ac"/>
        <w:tblW w:w="9776" w:type="dxa"/>
        <w:tblLook w:val="04A0" w:firstRow="1" w:lastRow="0" w:firstColumn="1" w:lastColumn="0" w:noHBand="0" w:noVBand="1"/>
      </w:tblPr>
      <w:tblGrid>
        <w:gridCol w:w="2122"/>
        <w:gridCol w:w="7654"/>
      </w:tblGrid>
      <w:tr w:rsidR="00117E04" w14:paraId="02FD2B03" w14:textId="77777777" w:rsidTr="00117E04">
        <w:tc>
          <w:tcPr>
            <w:tcW w:w="2122" w:type="dxa"/>
          </w:tcPr>
          <w:p w14:paraId="2B50C1B5" w14:textId="7A5B3E05" w:rsidR="00117E04" w:rsidRDefault="00117E04" w:rsidP="00117E04">
            <w:pPr>
              <w:snapToGrid w:val="0"/>
              <w:spacing w:line="280" w:lineRule="exact"/>
            </w:pPr>
            <w:r>
              <w:rPr>
                <w:rFonts w:hint="eastAsia"/>
              </w:rPr>
              <w:t>ガイドライン名</w:t>
            </w:r>
          </w:p>
        </w:tc>
        <w:tc>
          <w:tcPr>
            <w:tcW w:w="7654" w:type="dxa"/>
          </w:tcPr>
          <w:p w14:paraId="10F8024B" w14:textId="77777777" w:rsidR="00B90622" w:rsidRDefault="00B90622" w:rsidP="00B90622">
            <w:pPr>
              <w:snapToGrid w:val="0"/>
              <w:spacing w:line="280" w:lineRule="exact"/>
            </w:pPr>
            <w:r w:rsidRPr="00EA009D">
              <w:t>エネルギー移行のための意思決定の改善</w:t>
            </w:r>
          </w:p>
          <w:p w14:paraId="69D0F6D6" w14:textId="79123CAF" w:rsidR="00B90622" w:rsidRDefault="00B90622" w:rsidP="00B90622">
            <w:pPr>
              <w:snapToGrid w:val="0"/>
              <w:spacing w:line="280" w:lineRule="exact"/>
            </w:pPr>
            <w:r w:rsidRPr="00EA009D">
              <w:t>戦略的環境評価の使用に関するガイダンス</w:t>
            </w:r>
          </w:p>
          <w:p w14:paraId="109A538D" w14:textId="77777777" w:rsidR="00B90622" w:rsidRDefault="00B90622" w:rsidP="00B90622">
            <w:pPr>
              <w:snapToGrid w:val="0"/>
              <w:spacing w:line="280" w:lineRule="exact"/>
            </w:pPr>
            <w:r>
              <w:t>IMPROVING DECISION-MAKING</w:t>
            </w:r>
            <w:r>
              <w:rPr>
                <w:rFonts w:hint="eastAsia"/>
              </w:rPr>
              <w:t xml:space="preserve"> </w:t>
            </w:r>
            <w:r>
              <w:t>FOR THE ENERGY TRANSITION</w:t>
            </w:r>
          </w:p>
          <w:p w14:paraId="5423F865" w14:textId="35FEC9BD" w:rsidR="00117E04" w:rsidRDefault="00B90622" w:rsidP="006E4434">
            <w:pPr>
              <w:snapToGrid w:val="0"/>
              <w:spacing w:line="280" w:lineRule="exact"/>
            </w:pPr>
            <w:r>
              <w:t>Guidance for using Strategic</w:t>
            </w:r>
            <w:r>
              <w:rPr>
                <w:rFonts w:hint="eastAsia"/>
              </w:rPr>
              <w:t xml:space="preserve"> </w:t>
            </w:r>
            <w:r>
              <w:t>Environmental Assessment</w:t>
            </w:r>
          </w:p>
        </w:tc>
      </w:tr>
      <w:tr w:rsidR="00B90622" w14:paraId="46AEF617" w14:textId="77777777" w:rsidTr="00117E04">
        <w:tc>
          <w:tcPr>
            <w:tcW w:w="2122" w:type="dxa"/>
          </w:tcPr>
          <w:p w14:paraId="4567D048" w14:textId="58E00967" w:rsidR="00B90622" w:rsidRDefault="00B90622" w:rsidP="00B90622">
            <w:pPr>
              <w:snapToGrid w:val="0"/>
              <w:spacing w:line="280" w:lineRule="exact"/>
            </w:pPr>
            <w:r>
              <w:rPr>
                <w:rFonts w:hint="eastAsia"/>
              </w:rPr>
              <w:t>発行者、発行年月</w:t>
            </w:r>
          </w:p>
        </w:tc>
        <w:tc>
          <w:tcPr>
            <w:tcW w:w="7654" w:type="dxa"/>
          </w:tcPr>
          <w:p w14:paraId="3AAE2ADB" w14:textId="25E5CC17" w:rsidR="00B90622" w:rsidRDefault="00B90622" w:rsidP="00B90622">
            <w:pPr>
              <w:snapToGrid w:val="0"/>
              <w:spacing w:line="280" w:lineRule="exact"/>
            </w:pPr>
            <w:r w:rsidRPr="00EA009D">
              <w:t>International Association for Impact Assessment (IAIA)</w:t>
            </w:r>
            <w:r>
              <w:rPr>
                <w:rFonts w:hint="eastAsia"/>
              </w:rPr>
              <w:t>, 2024.7</w:t>
            </w:r>
          </w:p>
        </w:tc>
      </w:tr>
      <w:tr w:rsidR="00B90622" w14:paraId="64204EB0" w14:textId="77777777" w:rsidTr="00117E04">
        <w:tc>
          <w:tcPr>
            <w:tcW w:w="2122" w:type="dxa"/>
          </w:tcPr>
          <w:p w14:paraId="3E8AAD16" w14:textId="68A20B55" w:rsidR="00B90622" w:rsidRPr="00117E04" w:rsidRDefault="00B90622" w:rsidP="00B90622">
            <w:pPr>
              <w:snapToGrid w:val="0"/>
              <w:spacing w:line="280" w:lineRule="exact"/>
            </w:pPr>
            <w:r>
              <w:rPr>
                <w:rFonts w:hint="eastAsia"/>
              </w:rPr>
              <w:t>頁数</w:t>
            </w:r>
          </w:p>
        </w:tc>
        <w:tc>
          <w:tcPr>
            <w:tcW w:w="7654" w:type="dxa"/>
          </w:tcPr>
          <w:p w14:paraId="691EF816" w14:textId="64EFBFCE" w:rsidR="00B90622" w:rsidRDefault="00BA1249" w:rsidP="00B90622">
            <w:pPr>
              <w:snapToGrid w:val="0"/>
              <w:spacing w:line="280" w:lineRule="exact"/>
            </w:pPr>
            <w:r>
              <w:rPr>
                <w:rFonts w:hint="eastAsia"/>
              </w:rPr>
              <w:t>549</w:t>
            </w:r>
            <w:r w:rsidR="00B90622">
              <w:rPr>
                <w:rFonts w:hint="eastAsia"/>
              </w:rPr>
              <w:t>頁</w:t>
            </w:r>
          </w:p>
        </w:tc>
      </w:tr>
      <w:tr w:rsidR="00B90622" w14:paraId="4FBA8BC1" w14:textId="77777777" w:rsidTr="00DB6034">
        <w:tc>
          <w:tcPr>
            <w:tcW w:w="2122" w:type="dxa"/>
          </w:tcPr>
          <w:p w14:paraId="77400C89" w14:textId="4166FAE5" w:rsidR="00B90622" w:rsidRPr="00117E04" w:rsidRDefault="00B90622" w:rsidP="00B90622">
            <w:pPr>
              <w:snapToGrid w:val="0"/>
              <w:spacing w:line="280" w:lineRule="exact"/>
            </w:pPr>
            <w:r>
              <w:rPr>
                <w:rFonts w:hint="eastAsia"/>
              </w:rPr>
              <w:t>法的根拠・位置づけ</w:t>
            </w:r>
          </w:p>
        </w:tc>
        <w:tc>
          <w:tcPr>
            <w:tcW w:w="7654" w:type="dxa"/>
          </w:tcPr>
          <w:p w14:paraId="100D85D5" w14:textId="35B83088" w:rsidR="00D901C7" w:rsidRDefault="00D901C7" w:rsidP="00D901C7">
            <w:pPr>
              <w:snapToGrid w:val="0"/>
              <w:spacing w:line="280" w:lineRule="exact"/>
              <w:ind w:left="210" w:hangingChars="100" w:hanging="210"/>
            </w:pPr>
            <w:r>
              <w:rPr>
                <w:rFonts w:hint="eastAsia"/>
              </w:rPr>
              <w:t>・</w:t>
            </w:r>
            <w:r w:rsidR="0092165D">
              <w:rPr>
                <w:rFonts w:hint="eastAsia"/>
              </w:rPr>
              <w:t>本ガイダンスは、SEAの原則とグッドプラクティスに基づき、共通のアプローチとベストプラクティスを促進することを目的としている。</w:t>
            </w:r>
          </w:p>
          <w:p w14:paraId="6F2DEBC3" w14:textId="4E3E6429" w:rsidR="00653ABF" w:rsidRDefault="00D901C7" w:rsidP="00951BCF">
            <w:pPr>
              <w:snapToGrid w:val="0"/>
              <w:spacing w:line="280" w:lineRule="exact"/>
              <w:ind w:left="210" w:hangingChars="100" w:hanging="210"/>
            </w:pPr>
            <w:r>
              <w:rPr>
                <w:rFonts w:hint="eastAsia"/>
              </w:rPr>
              <w:t>・</w:t>
            </w:r>
            <w:r w:rsidRPr="0092165D">
              <w:rPr>
                <w:rFonts w:hint="eastAsia"/>
              </w:rPr>
              <w:t>民間団体が作成するガイダンスであり、法的根拠はない。</w:t>
            </w:r>
            <w:r>
              <w:rPr>
                <w:rFonts w:hint="eastAsia"/>
              </w:rPr>
              <w:t>（※「</w:t>
            </w:r>
            <w:r w:rsidRPr="0092165D">
              <w:rPr>
                <w:rFonts w:hint="eastAsia"/>
              </w:rPr>
              <w:t>本書はノルウェーからの財政支援を受けて作成された。本書の内容はIAIAの単独の責任であり、ノルウェー政府の見解を反映するものではない。</w:t>
            </w:r>
            <w:r>
              <w:rPr>
                <w:rFonts w:hint="eastAsia"/>
              </w:rPr>
              <w:t>」との記載あり）</w:t>
            </w:r>
            <w:r>
              <w:rPr>
                <w:rFonts w:hint="eastAsia"/>
                <w:color w:val="FF0000"/>
              </w:rPr>
              <w:t>（表紙裏）</w:t>
            </w:r>
          </w:p>
        </w:tc>
      </w:tr>
      <w:tr w:rsidR="00B90622" w14:paraId="52B5E61D" w14:textId="77777777" w:rsidTr="00117E04">
        <w:tc>
          <w:tcPr>
            <w:tcW w:w="2122" w:type="dxa"/>
          </w:tcPr>
          <w:p w14:paraId="4123A4BA" w14:textId="6CA8CAAF" w:rsidR="00B90622" w:rsidRDefault="00B90622" w:rsidP="00B90622">
            <w:pPr>
              <w:snapToGrid w:val="0"/>
              <w:spacing w:line="280" w:lineRule="exact"/>
            </w:pPr>
            <w:r w:rsidRPr="00117E04">
              <w:rPr>
                <w:rFonts w:hint="eastAsia"/>
              </w:rPr>
              <w:t>ガイドライン対象</w:t>
            </w:r>
            <w:r>
              <w:rPr>
                <w:rFonts w:hint="eastAsia"/>
              </w:rPr>
              <w:t>者</w:t>
            </w:r>
          </w:p>
        </w:tc>
        <w:tc>
          <w:tcPr>
            <w:tcW w:w="7654" w:type="dxa"/>
          </w:tcPr>
          <w:p w14:paraId="3D8BA214" w14:textId="09085C7E" w:rsidR="00B90622" w:rsidRDefault="00B90622" w:rsidP="00A66743">
            <w:pPr>
              <w:snapToGrid w:val="0"/>
              <w:spacing w:line="280" w:lineRule="exact"/>
              <w:ind w:left="210" w:hangingChars="100" w:hanging="210"/>
              <w:rPr>
                <w:color w:val="FF0000"/>
              </w:rPr>
            </w:pPr>
            <w:r>
              <w:rPr>
                <w:rFonts w:hint="eastAsia"/>
                <w:color w:val="FF0000"/>
              </w:rPr>
              <w:t>（原文</w:t>
            </w:r>
            <w:proofErr w:type="spellStart"/>
            <w:r>
              <w:rPr>
                <w:rFonts w:hint="eastAsia"/>
                <w:color w:val="FF0000"/>
              </w:rPr>
              <w:t>P.xv</w:t>
            </w:r>
            <w:proofErr w:type="spellEnd"/>
            <w:r>
              <w:rPr>
                <w:rFonts w:hint="eastAsia"/>
                <w:color w:val="FF0000"/>
              </w:rPr>
              <w:t>～</w:t>
            </w:r>
            <w:r w:rsidR="00731ED0">
              <w:rPr>
                <w:rFonts w:hint="eastAsia"/>
                <w:color w:val="FF0000"/>
              </w:rPr>
              <w:t xml:space="preserve">、日本語訳 </w:t>
            </w:r>
            <w:proofErr w:type="spellStart"/>
            <w:r w:rsidR="00731ED0">
              <w:rPr>
                <w:rFonts w:hint="eastAsia"/>
                <w:color w:val="FF0000"/>
              </w:rPr>
              <w:t>P.xxii</w:t>
            </w:r>
            <w:proofErr w:type="spellEnd"/>
            <w:r w:rsidR="00731ED0">
              <w:rPr>
                <w:rFonts w:hint="eastAsia"/>
                <w:color w:val="FF0000"/>
              </w:rPr>
              <w:t>～</w:t>
            </w:r>
            <w:r>
              <w:rPr>
                <w:rFonts w:hint="eastAsia"/>
                <w:color w:val="FF0000"/>
              </w:rPr>
              <w:t>）</w:t>
            </w:r>
          </w:p>
          <w:p w14:paraId="0DA024BC" w14:textId="232A3041" w:rsidR="00B90622" w:rsidRDefault="00B53EB5" w:rsidP="00A66743">
            <w:pPr>
              <w:snapToGrid w:val="0"/>
              <w:spacing w:line="280" w:lineRule="exact"/>
              <w:ind w:left="210" w:hangingChars="100" w:hanging="210"/>
            </w:pPr>
            <w:r>
              <w:rPr>
                <w:rFonts w:hint="eastAsia"/>
              </w:rPr>
              <w:t>・</w:t>
            </w:r>
            <w:r w:rsidR="00B90622" w:rsidRPr="00F63153">
              <w:t>SEA実務者</w:t>
            </w:r>
            <w:r>
              <w:rPr>
                <w:rFonts w:hint="eastAsia"/>
              </w:rPr>
              <w:t>/専門家</w:t>
            </w:r>
            <w:r w:rsidR="00B90622">
              <w:rPr>
                <w:rFonts w:hint="eastAsia"/>
              </w:rPr>
              <w:t>（</w:t>
            </w:r>
            <w:r w:rsidR="00B90622" w:rsidRPr="00F63153">
              <w:t>SEA practitioners</w:t>
            </w:r>
            <w:r>
              <w:rPr>
                <w:rFonts w:hint="eastAsia"/>
              </w:rPr>
              <w:t>/</w:t>
            </w:r>
            <w:r w:rsidRPr="00B53EB5">
              <w:t>professionals</w:t>
            </w:r>
            <w:r w:rsidR="00B90622">
              <w:rPr>
                <w:rFonts w:hint="eastAsia"/>
              </w:rPr>
              <w:t>）</w:t>
            </w:r>
          </w:p>
          <w:p w14:paraId="35A795C5" w14:textId="6101DA6D" w:rsidR="00B53EB5" w:rsidRDefault="00B53EB5" w:rsidP="00A66743">
            <w:pPr>
              <w:snapToGrid w:val="0"/>
              <w:spacing w:line="280" w:lineRule="exact"/>
              <w:ind w:left="210" w:hangingChars="100" w:hanging="210"/>
            </w:pPr>
            <w:r>
              <w:rPr>
                <w:rFonts w:hint="eastAsia"/>
              </w:rPr>
              <w:t>・</w:t>
            </w:r>
            <w:r w:rsidR="00A66743">
              <w:rPr>
                <w:rFonts w:hint="eastAsia"/>
              </w:rPr>
              <w:t>政府省庁及び行政機関（</w:t>
            </w:r>
            <w:r w:rsidR="00A66743" w:rsidRPr="00A66743">
              <w:t>Government ministries, departments, and agencies</w:t>
            </w:r>
            <w:r w:rsidR="00A66743">
              <w:rPr>
                <w:rFonts w:hint="eastAsia"/>
              </w:rPr>
              <w:t>）</w:t>
            </w:r>
          </w:p>
          <w:p w14:paraId="1903F3F6" w14:textId="243E5479" w:rsidR="00B53EB5" w:rsidRDefault="00A66743" w:rsidP="00A66743">
            <w:pPr>
              <w:snapToGrid w:val="0"/>
              <w:spacing w:line="280" w:lineRule="exact"/>
              <w:ind w:left="210" w:hangingChars="100" w:hanging="210"/>
            </w:pPr>
            <w:r>
              <w:rPr>
                <w:rFonts w:hint="eastAsia"/>
              </w:rPr>
              <w:t>・国際機関（</w:t>
            </w:r>
            <w:r w:rsidRPr="00A66743">
              <w:t>International organizations</w:t>
            </w:r>
            <w:r>
              <w:rPr>
                <w:rFonts w:hint="eastAsia"/>
              </w:rPr>
              <w:t>）</w:t>
            </w:r>
          </w:p>
          <w:p w14:paraId="30441F26" w14:textId="254874F3" w:rsidR="00A66743" w:rsidRDefault="00A66743" w:rsidP="00A66743">
            <w:pPr>
              <w:snapToGrid w:val="0"/>
              <w:spacing w:line="280" w:lineRule="exact"/>
              <w:ind w:left="210" w:hangingChars="100" w:hanging="210"/>
            </w:pPr>
            <w:r>
              <w:rPr>
                <w:rFonts w:hint="eastAsia"/>
              </w:rPr>
              <w:t>・融資機関(</w:t>
            </w:r>
            <w:r w:rsidRPr="00A66743">
              <w:t>Financing organizations</w:t>
            </w:r>
            <w:r>
              <w:rPr>
                <w:rFonts w:hint="eastAsia"/>
              </w:rPr>
              <w:t>)</w:t>
            </w:r>
          </w:p>
          <w:p w14:paraId="6D13ECC2" w14:textId="04761EBB" w:rsidR="00A66743" w:rsidRDefault="00A66743" w:rsidP="00A66743">
            <w:pPr>
              <w:snapToGrid w:val="0"/>
              <w:spacing w:line="280" w:lineRule="exact"/>
              <w:ind w:left="210" w:hangingChars="100" w:hanging="210"/>
            </w:pPr>
            <w:r>
              <w:rPr>
                <w:rFonts w:hint="eastAsia"/>
              </w:rPr>
              <w:t>・</w:t>
            </w:r>
            <w:r w:rsidRPr="00A66743">
              <w:t>特定の再生可能エネルギー技術を推進する業界団体</w:t>
            </w:r>
            <w:r>
              <w:rPr>
                <w:rFonts w:hint="eastAsia"/>
              </w:rPr>
              <w:t>(</w:t>
            </w:r>
            <w:r w:rsidRPr="00A66743">
              <w:t>Sector organizations that advocate for a specific renewable energy technology</w:t>
            </w:r>
            <w:r>
              <w:rPr>
                <w:rFonts w:hint="eastAsia"/>
              </w:rPr>
              <w:t>)</w:t>
            </w:r>
          </w:p>
          <w:p w14:paraId="7DF5EA9E" w14:textId="00C0161A" w:rsidR="00A66743" w:rsidRDefault="00A66743" w:rsidP="00A66743">
            <w:pPr>
              <w:snapToGrid w:val="0"/>
              <w:spacing w:line="280" w:lineRule="exact"/>
              <w:ind w:left="210" w:hangingChars="100" w:hanging="210"/>
            </w:pPr>
            <w:r>
              <w:rPr>
                <w:rFonts w:hint="eastAsia"/>
              </w:rPr>
              <w:t>・</w:t>
            </w:r>
            <w:r w:rsidRPr="00A66743">
              <w:rPr>
                <w:rFonts w:hint="eastAsia"/>
              </w:rPr>
              <w:t>国連その他の国際機関</w:t>
            </w:r>
            <w:r>
              <w:rPr>
                <w:rFonts w:hint="eastAsia"/>
              </w:rPr>
              <w:t>(</w:t>
            </w:r>
            <w:r w:rsidRPr="00A66743">
              <w:t>UN and other international organizations</w:t>
            </w:r>
            <w:r>
              <w:rPr>
                <w:rFonts w:hint="eastAsia"/>
              </w:rPr>
              <w:t>)</w:t>
            </w:r>
          </w:p>
          <w:p w14:paraId="6632F313" w14:textId="4A955954" w:rsidR="00A66743" w:rsidRDefault="00A66743" w:rsidP="00A66743">
            <w:pPr>
              <w:snapToGrid w:val="0"/>
              <w:spacing w:line="280" w:lineRule="exact"/>
              <w:ind w:left="210" w:hangingChars="100" w:hanging="210"/>
            </w:pPr>
            <w:r>
              <w:rPr>
                <w:rFonts w:hint="eastAsia"/>
              </w:rPr>
              <w:t>・</w:t>
            </w:r>
            <w:r w:rsidRPr="00A66743">
              <w:t xml:space="preserve">NGOs </w:t>
            </w:r>
            <w:r w:rsidR="0092165D">
              <w:rPr>
                <w:rFonts w:hint="eastAsia"/>
              </w:rPr>
              <w:t>や</w:t>
            </w:r>
            <w:r w:rsidRPr="00A66743">
              <w:t xml:space="preserve"> CSOs</w:t>
            </w:r>
          </w:p>
          <w:p w14:paraId="21586AEB" w14:textId="22510D99" w:rsidR="00A66743" w:rsidRDefault="00A66743" w:rsidP="00A66743">
            <w:pPr>
              <w:snapToGrid w:val="0"/>
              <w:spacing w:line="280" w:lineRule="exact"/>
              <w:ind w:left="210" w:hangingChars="100" w:hanging="210"/>
            </w:pPr>
            <w:r>
              <w:rPr>
                <w:rFonts w:hint="eastAsia"/>
              </w:rPr>
              <w:t>・</w:t>
            </w:r>
            <w:r w:rsidRPr="00A66743">
              <w:rPr>
                <w:rFonts w:hint="eastAsia"/>
              </w:rPr>
              <w:t>民間エネルギー企業や再生可能エネルギー開発業者</w:t>
            </w:r>
            <w:r>
              <w:rPr>
                <w:rFonts w:hint="eastAsia"/>
              </w:rPr>
              <w:t>(</w:t>
            </w:r>
            <w:r w:rsidRPr="00A66743">
              <w:t>Private sector energy companies and renewable energy developers</w:t>
            </w:r>
            <w:r>
              <w:rPr>
                <w:rFonts w:hint="eastAsia"/>
              </w:rPr>
              <w:t>)</w:t>
            </w:r>
          </w:p>
          <w:p w14:paraId="7BF36F5A" w14:textId="09178CCC" w:rsidR="00A66743" w:rsidRDefault="00A66743" w:rsidP="00A66743">
            <w:pPr>
              <w:snapToGrid w:val="0"/>
              <w:spacing w:line="280" w:lineRule="exact"/>
              <w:ind w:left="210" w:hangingChars="100" w:hanging="210"/>
            </w:pPr>
            <w:r>
              <w:rPr>
                <w:rFonts w:hint="eastAsia"/>
              </w:rPr>
              <w:t>・</w:t>
            </w:r>
            <w:r w:rsidRPr="00A66743">
              <w:rPr>
                <w:rFonts w:hint="eastAsia"/>
              </w:rPr>
              <w:t>研究者や学者</w:t>
            </w:r>
            <w:r>
              <w:rPr>
                <w:rFonts w:hint="eastAsia"/>
              </w:rPr>
              <w:t>(</w:t>
            </w:r>
            <w:r w:rsidRPr="00A66743">
              <w:t>Researchers and academics</w:t>
            </w:r>
            <w:r>
              <w:rPr>
                <w:rFonts w:hint="eastAsia"/>
              </w:rPr>
              <w:t>)</w:t>
            </w:r>
          </w:p>
          <w:p w14:paraId="0F733B48" w14:textId="6966FFCB" w:rsidR="00A66743" w:rsidRPr="00B53EB5" w:rsidRDefault="00A66743" w:rsidP="00A66743">
            <w:pPr>
              <w:snapToGrid w:val="0"/>
              <w:spacing w:line="280" w:lineRule="exact"/>
              <w:ind w:left="210" w:hangingChars="100" w:hanging="210"/>
            </w:pPr>
            <w:r>
              <w:rPr>
                <w:rFonts w:hint="eastAsia"/>
              </w:rPr>
              <w:t>・その他の利害関係者(</w:t>
            </w:r>
            <w:r w:rsidRPr="00A66743">
              <w:t>Other stakeholders</w:t>
            </w:r>
            <w:r>
              <w:rPr>
                <w:rFonts w:hint="eastAsia"/>
              </w:rPr>
              <w:t>)</w:t>
            </w:r>
          </w:p>
        </w:tc>
      </w:tr>
      <w:tr w:rsidR="00B90622" w14:paraId="4B90E042" w14:textId="77777777" w:rsidTr="00117E04">
        <w:tc>
          <w:tcPr>
            <w:tcW w:w="2122" w:type="dxa"/>
          </w:tcPr>
          <w:p w14:paraId="158DDFF2" w14:textId="6A99ABE5" w:rsidR="00B90622" w:rsidRPr="00117E04" w:rsidRDefault="00B90622" w:rsidP="00B90622">
            <w:pPr>
              <w:snapToGrid w:val="0"/>
              <w:spacing w:line="280" w:lineRule="exact"/>
            </w:pPr>
            <w:r>
              <w:rPr>
                <w:rFonts w:hint="eastAsia"/>
              </w:rPr>
              <w:t>対象とする事業・計画</w:t>
            </w:r>
          </w:p>
        </w:tc>
        <w:tc>
          <w:tcPr>
            <w:tcW w:w="7654" w:type="dxa"/>
          </w:tcPr>
          <w:p w14:paraId="0A8A3755" w14:textId="77777777" w:rsidR="00731ED0" w:rsidRDefault="00731ED0" w:rsidP="00731ED0">
            <w:pPr>
              <w:snapToGrid w:val="0"/>
              <w:spacing w:line="280" w:lineRule="exact"/>
              <w:ind w:left="210" w:hangingChars="100" w:hanging="210"/>
              <w:rPr>
                <w:color w:val="FF0000"/>
              </w:rPr>
            </w:pPr>
            <w:r>
              <w:rPr>
                <w:rFonts w:hint="eastAsia"/>
                <w:color w:val="FF0000"/>
              </w:rPr>
              <w:t>（原文</w:t>
            </w:r>
            <w:proofErr w:type="spellStart"/>
            <w:r>
              <w:rPr>
                <w:rFonts w:hint="eastAsia"/>
                <w:color w:val="FF0000"/>
              </w:rPr>
              <w:t>P.xv</w:t>
            </w:r>
            <w:proofErr w:type="spellEnd"/>
            <w:r>
              <w:rPr>
                <w:rFonts w:hint="eastAsia"/>
                <w:color w:val="FF0000"/>
              </w:rPr>
              <w:t xml:space="preserve">～、日本語訳 </w:t>
            </w:r>
            <w:proofErr w:type="spellStart"/>
            <w:r>
              <w:rPr>
                <w:rFonts w:hint="eastAsia"/>
                <w:color w:val="FF0000"/>
              </w:rPr>
              <w:t>P.xxi</w:t>
            </w:r>
            <w:proofErr w:type="spellEnd"/>
            <w:r>
              <w:rPr>
                <w:rFonts w:hint="eastAsia"/>
                <w:color w:val="FF0000"/>
              </w:rPr>
              <w:t>～）</w:t>
            </w:r>
          </w:p>
          <w:p w14:paraId="7ED4FA3D" w14:textId="5E90BC96" w:rsidR="00731ED0" w:rsidRDefault="00731ED0" w:rsidP="009E1AEC">
            <w:pPr>
              <w:snapToGrid w:val="0"/>
              <w:spacing w:line="280" w:lineRule="exact"/>
            </w:pPr>
            <w:r>
              <w:t>水力発電、風力発電、太陽光発電、バイオエネルギー、地熱発電、潮力発電、グリーン水素とアンモニア</w:t>
            </w:r>
          </w:p>
        </w:tc>
      </w:tr>
      <w:tr w:rsidR="00B90622" w14:paraId="17302920" w14:textId="77777777" w:rsidTr="00117E04">
        <w:tc>
          <w:tcPr>
            <w:tcW w:w="2122" w:type="dxa"/>
          </w:tcPr>
          <w:p w14:paraId="3559F435" w14:textId="77777777" w:rsidR="00B90622" w:rsidRDefault="00B90622" w:rsidP="00B90622">
            <w:pPr>
              <w:snapToGrid w:val="0"/>
              <w:spacing w:line="280" w:lineRule="exact"/>
            </w:pPr>
            <w:r w:rsidRPr="00117E04">
              <w:rPr>
                <w:rFonts w:hint="eastAsia"/>
              </w:rPr>
              <w:t>累積的影響の定義、基本的な考え方</w:t>
            </w:r>
          </w:p>
          <w:p w14:paraId="74C4799C" w14:textId="77777777" w:rsidR="00B90622" w:rsidRDefault="00B90622" w:rsidP="00B90622">
            <w:pPr>
              <w:snapToGrid w:val="0"/>
              <w:spacing w:line="280" w:lineRule="exact"/>
            </w:pPr>
          </w:p>
          <w:p w14:paraId="5E829809" w14:textId="77777777" w:rsidR="00B90622" w:rsidRDefault="00B90622" w:rsidP="00B90622">
            <w:pPr>
              <w:snapToGrid w:val="0"/>
              <w:spacing w:line="280" w:lineRule="exact"/>
            </w:pPr>
          </w:p>
          <w:p w14:paraId="15A613A5" w14:textId="77777777" w:rsidR="00B90622" w:rsidRDefault="00B90622" w:rsidP="00B90622">
            <w:pPr>
              <w:snapToGrid w:val="0"/>
              <w:spacing w:line="280" w:lineRule="exact"/>
            </w:pPr>
          </w:p>
          <w:p w14:paraId="4D0A8D28" w14:textId="77777777" w:rsidR="00B90622" w:rsidRDefault="00B90622" w:rsidP="00B90622">
            <w:pPr>
              <w:snapToGrid w:val="0"/>
              <w:spacing w:line="280" w:lineRule="exact"/>
            </w:pPr>
          </w:p>
          <w:p w14:paraId="382012C7" w14:textId="77777777" w:rsidR="00B90622" w:rsidRDefault="00B90622" w:rsidP="00B90622">
            <w:pPr>
              <w:snapToGrid w:val="0"/>
              <w:spacing w:line="280" w:lineRule="exact"/>
            </w:pPr>
          </w:p>
          <w:p w14:paraId="7B9B27A2" w14:textId="77777777" w:rsidR="00B90622" w:rsidRDefault="00B90622" w:rsidP="00B90622">
            <w:pPr>
              <w:snapToGrid w:val="0"/>
              <w:spacing w:line="280" w:lineRule="exact"/>
            </w:pPr>
          </w:p>
          <w:p w14:paraId="2FD4CAE0" w14:textId="77777777" w:rsidR="00B90622" w:rsidRDefault="00B90622" w:rsidP="00B90622">
            <w:pPr>
              <w:snapToGrid w:val="0"/>
              <w:spacing w:line="280" w:lineRule="exact"/>
            </w:pPr>
          </w:p>
          <w:p w14:paraId="3856D334" w14:textId="77777777" w:rsidR="00B90622" w:rsidRDefault="00B90622" w:rsidP="00B90622">
            <w:pPr>
              <w:snapToGrid w:val="0"/>
              <w:spacing w:line="280" w:lineRule="exact"/>
            </w:pPr>
          </w:p>
          <w:p w14:paraId="411922F7" w14:textId="77777777" w:rsidR="00B90622" w:rsidRDefault="00B90622" w:rsidP="00B90622">
            <w:pPr>
              <w:snapToGrid w:val="0"/>
              <w:spacing w:line="280" w:lineRule="exact"/>
            </w:pPr>
          </w:p>
          <w:p w14:paraId="6AF23892" w14:textId="77777777" w:rsidR="00B90622" w:rsidRDefault="00B90622" w:rsidP="00B90622">
            <w:pPr>
              <w:snapToGrid w:val="0"/>
              <w:spacing w:line="280" w:lineRule="exact"/>
            </w:pPr>
          </w:p>
          <w:p w14:paraId="37C4D03D" w14:textId="77777777" w:rsidR="00B90622" w:rsidRDefault="00B90622" w:rsidP="00B90622">
            <w:pPr>
              <w:snapToGrid w:val="0"/>
              <w:spacing w:line="280" w:lineRule="exact"/>
            </w:pPr>
          </w:p>
          <w:p w14:paraId="78DEB552" w14:textId="77777777" w:rsidR="00B90622" w:rsidRDefault="00B90622" w:rsidP="00B90622">
            <w:pPr>
              <w:snapToGrid w:val="0"/>
              <w:spacing w:line="280" w:lineRule="exact"/>
            </w:pPr>
          </w:p>
          <w:p w14:paraId="4DC9618D" w14:textId="77777777" w:rsidR="00B90622" w:rsidRDefault="00B90622" w:rsidP="00B90622">
            <w:pPr>
              <w:snapToGrid w:val="0"/>
              <w:spacing w:line="280" w:lineRule="exact"/>
            </w:pPr>
          </w:p>
          <w:p w14:paraId="232CE2A6" w14:textId="0EF20222" w:rsidR="00B90622" w:rsidRDefault="00B90622" w:rsidP="00B90622">
            <w:pPr>
              <w:snapToGrid w:val="0"/>
              <w:spacing w:line="280" w:lineRule="exact"/>
            </w:pPr>
            <w:r>
              <w:rPr>
                <w:rFonts w:hint="eastAsia"/>
              </w:rPr>
              <w:t xml:space="preserve">　　　</w:t>
            </w:r>
          </w:p>
          <w:p w14:paraId="6BE875BF" w14:textId="77777777" w:rsidR="00B90622" w:rsidRDefault="00B90622" w:rsidP="00B90622">
            <w:pPr>
              <w:snapToGrid w:val="0"/>
              <w:spacing w:line="280" w:lineRule="exact"/>
            </w:pPr>
          </w:p>
          <w:p w14:paraId="4814C5F2" w14:textId="77777777" w:rsidR="00B90622" w:rsidRDefault="00B90622" w:rsidP="00B90622">
            <w:pPr>
              <w:snapToGrid w:val="0"/>
              <w:spacing w:line="280" w:lineRule="exact"/>
            </w:pPr>
          </w:p>
          <w:p w14:paraId="2749BFC7" w14:textId="56BB5817" w:rsidR="00B90622" w:rsidRDefault="00B90622" w:rsidP="00B90622">
            <w:pPr>
              <w:snapToGrid w:val="0"/>
              <w:spacing w:line="280" w:lineRule="exact"/>
            </w:pPr>
          </w:p>
        </w:tc>
        <w:tc>
          <w:tcPr>
            <w:tcW w:w="7654" w:type="dxa"/>
          </w:tcPr>
          <w:p w14:paraId="11DFD90D" w14:textId="10632FCF" w:rsidR="00087E27" w:rsidRDefault="00087E27" w:rsidP="00087E27">
            <w:pPr>
              <w:snapToGrid w:val="0"/>
              <w:spacing w:line="280" w:lineRule="exact"/>
              <w:ind w:left="210" w:hangingChars="100" w:hanging="210"/>
              <w:rPr>
                <w:color w:val="FF0000"/>
              </w:rPr>
            </w:pPr>
            <w:r>
              <w:rPr>
                <w:rFonts w:hint="eastAsia"/>
                <w:color w:val="FF0000"/>
              </w:rPr>
              <w:t>（原文</w:t>
            </w:r>
            <w:r w:rsidRPr="00CA4490">
              <w:rPr>
                <w:rFonts w:hint="eastAsia"/>
                <w:color w:val="FF0000"/>
              </w:rPr>
              <w:t>chapter2</w:t>
            </w:r>
            <w:r>
              <w:rPr>
                <w:rFonts w:hint="eastAsia"/>
                <w:color w:val="FF0000"/>
              </w:rPr>
              <w:t xml:space="preserve"> P.22～、日本語訳</w:t>
            </w:r>
            <w:r w:rsidRPr="00CA4490">
              <w:rPr>
                <w:rFonts w:hint="eastAsia"/>
                <w:color w:val="FF0000"/>
              </w:rPr>
              <w:t>chapter2</w:t>
            </w:r>
            <w:r>
              <w:rPr>
                <w:rFonts w:hint="eastAsia"/>
                <w:color w:val="FF0000"/>
              </w:rPr>
              <w:t xml:space="preserve"> P.</w:t>
            </w:r>
            <w:r w:rsidR="007E630D">
              <w:rPr>
                <w:rFonts w:hint="eastAsia"/>
                <w:color w:val="FF0000"/>
              </w:rPr>
              <w:t>22</w:t>
            </w:r>
            <w:r>
              <w:rPr>
                <w:rFonts w:hint="eastAsia"/>
                <w:color w:val="FF0000"/>
              </w:rPr>
              <w:t>～）</w:t>
            </w:r>
          </w:p>
          <w:p w14:paraId="6E1130D5" w14:textId="0D4609DA" w:rsidR="006B0909" w:rsidRDefault="00C57A83" w:rsidP="00C57A83">
            <w:pPr>
              <w:snapToGrid w:val="0"/>
              <w:spacing w:line="280" w:lineRule="exact"/>
              <w:ind w:left="210" w:hangingChars="100" w:hanging="210"/>
              <w:jc w:val="left"/>
            </w:pPr>
            <w:r>
              <w:rPr>
                <w:rFonts w:hint="eastAsia"/>
              </w:rPr>
              <w:t>・</w:t>
            </w:r>
            <w:r w:rsidR="006B0909" w:rsidRPr="006B0909">
              <w:t>累積的影響</w:t>
            </w:r>
            <w:r w:rsidR="006B0909">
              <w:rPr>
                <w:rFonts w:hint="eastAsia"/>
              </w:rPr>
              <w:t>とは、</w:t>
            </w:r>
            <w:r w:rsidR="006B0909" w:rsidRPr="006B0909">
              <w:t>例えば、インフラプロジェクトの開発のような大規模な計画が、特定の時間と空間において他の複数のプロジェクトや活動と組み合わさることにより、生態系構成要素に対して雪だるま式に累積的な影響をもたらす場合</w:t>
            </w:r>
            <w:r w:rsidR="006B0909">
              <w:rPr>
                <w:rFonts w:hint="eastAsia"/>
              </w:rPr>
              <w:t>を指す。</w:t>
            </w:r>
            <w:r w:rsidR="006B0909" w:rsidRPr="006B0909">
              <w:t>また、累積的影響には気候変動の結果として生じる影響の考慮も含まれる場合がある。</w:t>
            </w:r>
          </w:p>
          <w:p w14:paraId="0F008F01" w14:textId="77777777" w:rsidR="006B0909" w:rsidRDefault="006B0909" w:rsidP="00C57A83">
            <w:pPr>
              <w:snapToGrid w:val="0"/>
              <w:spacing w:line="280" w:lineRule="exact"/>
              <w:ind w:left="210" w:hangingChars="100" w:hanging="210"/>
              <w:jc w:val="left"/>
            </w:pPr>
          </w:p>
          <w:p w14:paraId="6C1D70FA" w14:textId="719FB4DC" w:rsidR="007E630D" w:rsidRPr="007E630D" w:rsidRDefault="00C57A83" w:rsidP="00B81E9A">
            <w:pPr>
              <w:snapToGrid w:val="0"/>
              <w:spacing w:line="280" w:lineRule="exact"/>
              <w:ind w:left="210" w:hangingChars="100" w:hanging="210"/>
              <w:jc w:val="left"/>
            </w:pPr>
            <w:r>
              <w:rPr>
                <w:rFonts w:hint="eastAsia"/>
              </w:rPr>
              <w:t>・</w:t>
            </w:r>
            <w:r w:rsidR="007E630D" w:rsidRPr="007E630D">
              <w:t>対象となるPPP（政策・計画・プログラム）は、様々な</w:t>
            </w:r>
            <w:r w:rsidR="00B81E9A">
              <w:rPr>
                <w:rFonts w:hint="eastAsia"/>
              </w:rPr>
              <w:t>行為</w:t>
            </w:r>
            <w:r w:rsidR="007E630D" w:rsidRPr="007E630D">
              <w:t>やイニシアチブ（多くの場合プロジェクト）を通じて実施される可能性が高く、それぞれが一連の影響を引き起こすことになる。個別のプロジェクト（例：単一の風力発電所や水力発電用ダム）の影響は、特に重大ではないかもしれず、また特定の地域に限定され、管理や緩和が可能な場合もある。</w:t>
            </w:r>
          </w:p>
          <w:p w14:paraId="40842992" w14:textId="77777777" w:rsidR="007E630D" w:rsidRPr="007E630D" w:rsidRDefault="007E630D" w:rsidP="007E630D">
            <w:pPr>
              <w:snapToGrid w:val="0"/>
              <w:spacing w:line="280" w:lineRule="exact"/>
              <w:ind w:leftChars="100" w:left="210"/>
              <w:jc w:val="left"/>
            </w:pPr>
            <w:r w:rsidRPr="007E630D">
              <w:t>しかし、同種の複数のプロジェクトや行動（例：流域内の複数の水力発電用ダム）、あるいは異なるイニシアチブ（例：様々な再生可能エネルギー施設の組み合わせ）からの影響は、非常に大きくなる可能性があり、非常に広範な地域に広がる可能性がある。これらが累積的影響である。</w:t>
            </w:r>
          </w:p>
          <w:p w14:paraId="293B9E88" w14:textId="252CEC7B" w:rsidR="007E630D" w:rsidRDefault="007E630D" w:rsidP="007E630D">
            <w:pPr>
              <w:snapToGrid w:val="0"/>
              <w:spacing w:line="280" w:lineRule="exact"/>
              <w:ind w:leftChars="100" w:left="210"/>
              <w:jc w:val="left"/>
            </w:pPr>
            <w:r w:rsidRPr="007E630D">
              <w:t>また、PPPによって対象となる、または影響を受ける地域における他のPPP、戦略、計画、およびプロジェクトの影響も考慮する必要がある。これらもまた、独自の一連の影響を生み出すことになる。これらの影響全てが評価対象のPPPの影響と組み合わさると、</w:t>
            </w:r>
            <w:r w:rsidR="00930A3D">
              <w:rPr>
                <w:rFonts w:hint="eastAsia"/>
              </w:rPr>
              <w:t>全</w:t>
            </w:r>
            <w:r w:rsidRPr="007E630D">
              <w:t>体としての累積的影響は実際に非</w:t>
            </w:r>
            <w:r w:rsidRPr="007E630D">
              <w:lastRenderedPageBreak/>
              <w:t>常に大きくなる可能性がある。</w:t>
            </w:r>
          </w:p>
          <w:p w14:paraId="58F5D39C" w14:textId="77777777" w:rsidR="007E630D" w:rsidRDefault="007E630D" w:rsidP="007E630D">
            <w:pPr>
              <w:snapToGrid w:val="0"/>
              <w:spacing w:line="280" w:lineRule="exact"/>
              <w:ind w:leftChars="100" w:left="210"/>
              <w:jc w:val="left"/>
            </w:pPr>
          </w:p>
          <w:p w14:paraId="0D78E03F" w14:textId="57DFAD12" w:rsidR="007E630D" w:rsidRDefault="007E630D" w:rsidP="007E630D">
            <w:pPr>
              <w:snapToGrid w:val="0"/>
              <w:spacing w:line="280" w:lineRule="exact"/>
              <w:ind w:leftChars="100" w:left="210"/>
              <w:jc w:val="left"/>
            </w:pPr>
            <w:r>
              <w:rPr>
                <w:rFonts w:hint="eastAsia"/>
              </w:rPr>
              <w:t>影響は単純な因果関係の問題ではない。一次影響、二次影響、三次影響、そしてそれ以降の影響へと連鎖していく。このため、政策立案者や意思決定者が理解する必要のある、相互作用的で累積的な連関の複雑な網が発生する。</w:t>
            </w:r>
          </w:p>
          <w:p w14:paraId="71D897CE" w14:textId="77777777" w:rsidR="007E630D" w:rsidRDefault="007E630D" w:rsidP="007E630D">
            <w:pPr>
              <w:snapToGrid w:val="0"/>
              <w:spacing w:line="280" w:lineRule="exact"/>
              <w:ind w:leftChars="100" w:left="210"/>
              <w:jc w:val="left"/>
            </w:pPr>
          </w:p>
          <w:p w14:paraId="713F8A81" w14:textId="77777777" w:rsidR="007E630D" w:rsidRDefault="007E630D" w:rsidP="007E630D">
            <w:pPr>
              <w:snapToGrid w:val="0"/>
              <w:spacing w:line="280" w:lineRule="exact"/>
              <w:ind w:leftChars="100" w:left="210"/>
              <w:jc w:val="left"/>
            </w:pPr>
            <w:r>
              <w:rPr>
                <w:rFonts w:hint="eastAsia"/>
              </w:rPr>
              <w:t>図2.4は、累積的影響が、ある受容体に対する複数の行為の総影響であることを示す例である。</w:t>
            </w:r>
          </w:p>
          <w:p w14:paraId="1C9C007F" w14:textId="77777777" w:rsidR="006951CF" w:rsidRDefault="006951CF" w:rsidP="007E630D">
            <w:pPr>
              <w:snapToGrid w:val="0"/>
              <w:spacing w:line="280" w:lineRule="exact"/>
              <w:ind w:leftChars="100" w:left="210"/>
              <w:jc w:val="left"/>
            </w:pPr>
          </w:p>
          <w:p w14:paraId="6FE42BEA" w14:textId="697EEEC4" w:rsidR="007E630D" w:rsidRPr="006951CF" w:rsidRDefault="006951CF" w:rsidP="006951CF">
            <w:pPr>
              <w:spacing w:before="1" w:line="218" w:lineRule="exact"/>
              <w:ind w:right="1"/>
              <w:jc w:val="center"/>
              <w:rPr>
                <w:b/>
                <w:sz w:val="22"/>
                <w:szCs w:val="22"/>
              </w:rPr>
            </w:pPr>
            <w:r w:rsidRPr="006951CF">
              <w:rPr>
                <w:b/>
                <w:sz w:val="20"/>
              </w:rPr>
              <w:t>図2.4：</w:t>
            </w:r>
            <w:r w:rsidRPr="006951CF">
              <w:rPr>
                <w:b/>
                <w:spacing w:val="-5"/>
                <w:sz w:val="20"/>
              </w:rPr>
              <w:t>PPPを</w:t>
            </w:r>
            <w:r w:rsidRPr="006951CF">
              <w:rPr>
                <w:b/>
                <w:sz w:val="20"/>
              </w:rPr>
              <w:t>実施する際に累積的影響が生じうる例</w:t>
            </w:r>
            <w:r w:rsidRPr="006951CF">
              <w:rPr>
                <w:i/>
                <w:noProof/>
                <w:sz w:val="18"/>
                <w:szCs w:val="22"/>
              </w:rPr>
              <mc:AlternateContent>
                <mc:Choice Requires="wps">
                  <w:drawing>
                    <wp:anchor distT="0" distB="0" distL="114300" distR="114300" simplePos="0" relativeHeight="251680768" behindDoc="0" locked="0" layoutInCell="1" allowOverlap="1" wp14:anchorId="6A0E1345" wp14:editId="001CFA96">
                      <wp:simplePos x="0" y="0"/>
                      <wp:positionH relativeFrom="column">
                        <wp:posOffset>3410204</wp:posOffset>
                      </wp:positionH>
                      <wp:positionV relativeFrom="paragraph">
                        <wp:posOffset>1408862</wp:posOffset>
                      </wp:positionV>
                      <wp:extent cx="1128446" cy="367843"/>
                      <wp:effectExtent l="0" t="0" r="0" b="0"/>
                      <wp:wrapNone/>
                      <wp:docPr id="1321181869" name="テキスト ボックス 1"/>
                      <wp:cNvGraphicFramePr/>
                      <a:graphic xmlns:a="http://schemas.openxmlformats.org/drawingml/2006/main">
                        <a:graphicData uri="http://schemas.microsoft.com/office/word/2010/wordprocessingShape">
                          <wps:wsp>
                            <wps:cNvSpPr txBox="1"/>
                            <wps:spPr>
                              <a:xfrm>
                                <a:off x="0" y="0"/>
                                <a:ext cx="1128446" cy="367843"/>
                              </a:xfrm>
                              <a:prstGeom prst="rect">
                                <a:avLst/>
                              </a:prstGeom>
                              <a:solidFill>
                                <a:schemeClr val="lt1"/>
                              </a:solidFill>
                              <a:ln w="6350">
                                <a:noFill/>
                              </a:ln>
                            </wps:spPr>
                            <wps:txbx>
                              <w:txbxContent>
                                <w:p w14:paraId="3CC49DBB" w14:textId="51ABF9D5" w:rsidR="006951CF" w:rsidRPr="003E27E1" w:rsidRDefault="006951CF" w:rsidP="003E27E1">
                                  <w:pPr>
                                    <w:spacing w:line="180" w:lineRule="exact"/>
                                    <w:rPr>
                                      <w:sz w:val="14"/>
                                      <w:szCs w:val="12"/>
                                    </w:rPr>
                                  </w:pPr>
                                  <w:r>
                                    <w:rPr>
                                      <w:rFonts w:hint="eastAsia"/>
                                      <w:sz w:val="14"/>
                                      <w:szCs w:val="12"/>
                                    </w:rPr>
                                    <w:t>生態系の分断化/ヒース荒野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E1345" id="_x0000_t202" coordsize="21600,21600" o:spt="202" path="m,l,21600r21600,l21600,xe">
                      <v:stroke joinstyle="miter"/>
                      <v:path gradientshapeok="t" o:connecttype="rect"/>
                    </v:shapetype>
                    <v:shape id="テキスト ボックス 1" o:spid="_x0000_s1026" type="#_x0000_t202" style="position:absolute;left:0;text-align:left;margin-left:268.5pt;margin-top:110.95pt;width:88.85pt;height:2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" fillcolor="white [3201]" stroked="f" strokeweight=".5pt">
                      <v:textbox>
                        <w:txbxContent>
                          <w:p w14:paraId="3CC49DBB" w14:textId="51ABF9D5" w:rsidR="006951CF" w:rsidRPr="003E27E1" w:rsidRDefault="006951CF" w:rsidP="003E27E1">
                            <w:pPr>
                              <w:spacing w:line="180" w:lineRule="exact"/>
                              <w:rPr>
                                <w:sz w:val="14"/>
                                <w:szCs w:val="12"/>
                              </w:rPr>
                            </w:pPr>
                            <w:r>
                              <w:rPr>
                                <w:rFonts w:hint="eastAsia"/>
                                <w:sz w:val="14"/>
                                <w:szCs w:val="12"/>
                              </w:rPr>
                              <w:t>生態系の分断化/ヒース荒野</w:t>
                            </w:r>
                          </w:p>
                        </w:txbxContent>
                      </v:textbox>
                    </v:shape>
                  </w:pict>
                </mc:Fallback>
              </mc:AlternateContent>
            </w:r>
            <w:r w:rsidR="003E27E1" w:rsidRPr="006951CF">
              <w:rPr>
                <w:i/>
                <w:noProof/>
                <w:sz w:val="18"/>
                <w:szCs w:val="22"/>
              </w:rPr>
              <mc:AlternateContent>
                <mc:Choice Requires="wps">
                  <w:drawing>
                    <wp:anchor distT="0" distB="0" distL="114300" distR="114300" simplePos="0" relativeHeight="251678720" behindDoc="0" locked="0" layoutInCell="1" allowOverlap="1" wp14:anchorId="7301A6F6" wp14:editId="35BD068B">
                      <wp:simplePos x="0" y="0"/>
                      <wp:positionH relativeFrom="column">
                        <wp:posOffset>1530350</wp:posOffset>
                      </wp:positionH>
                      <wp:positionV relativeFrom="paragraph">
                        <wp:posOffset>2503500</wp:posOffset>
                      </wp:positionV>
                      <wp:extent cx="1128446" cy="367843"/>
                      <wp:effectExtent l="0" t="0" r="0" b="0"/>
                      <wp:wrapNone/>
                      <wp:docPr id="395793455" name="テキスト ボックス 1"/>
                      <wp:cNvGraphicFramePr/>
                      <a:graphic xmlns:a="http://schemas.openxmlformats.org/drawingml/2006/main">
                        <a:graphicData uri="http://schemas.microsoft.com/office/word/2010/wordprocessingShape">
                          <wps:wsp>
                            <wps:cNvSpPr txBox="1"/>
                            <wps:spPr>
                              <a:xfrm>
                                <a:off x="0" y="0"/>
                                <a:ext cx="1128446" cy="367843"/>
                              </a:xfrm>
                              <a:prstGeom prst="rect">
                                <a:avLst/>
                              </a:prstGeom>
                              <a:solidFill>
                                <a:schemeClr val="lt1"/>
                              </a:solidFill>
                              <a:ln w="6350">
                                <a:noFill/>
                              </a:ln>
                            </wps:spPr>
                            <wps:txbx>
                              <w:txbxContent>
                                <w:p w14:paraId="3EEE8BF0" w14:textId="74340EAA" w:rsidR="003E27E1" w:rsidRPr="003E27E1" w:rsidRDefault="003E27E1" w:rsidP="003E27E1">
                                  <w:pPr>
                                    <w:spacing w:line="180" w:lineRule="exact"/>
                                    <w:rPr>
                                      <w:sz w:val="14"/>
                                      <w:szCs w:val="12"/>
                                    </w:rPr>
                                  </w:pPr>
                                  <w:r>
                                    <w:rPr>
                                      <w:rFonts w:hint="eastAsia"/>
                                      <w:sz w:val="14"/>
                                      <w:szCs w:val="12"/>
                                    </w:rPr>
                                    <w:t>ガスや水道などの新設工事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1A6F6" id="_x0000_s1027" type="#_x0000_t202" style="position:absolute;left:0;text-align:left;margin-left:120.5pt;margin-top:197.15pt;width:88.85pt;height:2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" fillcolor="white [3201]" stroked="f" strokeweight=".5pt">
                      <v:textbox>
                        <w:txbxContent>
                          <w:p w14:paraId="3EEE8BF0" w14:textId="74340EAA" w:rsidR="003E27E1" w:rsidRPr="003E27E1" w:rsidRDefault="003E27E1" w:rsidP="003E27E1">
                            <w:pPr>
                              <w:spacing w:line="180" w:lineRule="exact"/>
                              <w:rPr>
                                <w:sz w:val="14"/>
                                <w:szCs w:val="12"/>
                              </w:rPr>
                            </w:pPr>
                            <w:r>
                              <w:rPr>
                                <w:rFonts w:hint="eastAsia"/>
                                <w:sz w:val="14"/>
                                <w:szCs w:val="12"/>
                              </w:rPr>
                              <w:t>ガスや水道などの新設工事</w:t>
                            </w:r>
                          </w:p>
                        </w:txbxContent>
                      </v:textbox>
                    </v:shape>
                  </w:pict>
                </mc:Fallback>
              </mc:AlternateContent>
            </w:r>
            <w:r w:rsidR="003E27E1" w:rsidRPr="006951CF">
              <w:rPr>
                <w:i/>
                <w:noProof/>
                <w:sz w:val="18"/>
                <w:szCs w:val="22"/>
              </w:rPr>
              <mc:AlternateContent>
                <mc:Choice Requires="wps">
                  <w:drawing>
                    <wp:anchor distT="0" distB="0" distL="114300" distR="114300" simplePos="0" relativeHeight="251676672" behindDoc="0" locked="0" layoutInCell="1" allowOverlap="1" wp14:anchorId="0ED8EC66" wp14:editId="64E29481">
                      <wp:simplePos x="0" y="0"/>
                      <wp:positionH relativeFrom="column">
                        <wp:posOffset>1528826</wp:posOffset>
                      </wp:positionH>
                      <wp:positionV relativeFrom="paragraph">
                        <wp:posOffset>2067738</wp:posOffset>
                      </wp:positionV>
                      <wp:extent cx="1128446" cy="285826"/>
                      <wp:effectExtent l="0" t="0" r="0" b="0"/>
                      <wp:wrapNone/>
                      <wp:docPr id="776497666" name="テキスト ボックス 1"/>
                      <wp:cNvGraphicFramePr/>
                      <a:graphic xmlns:a="http://schemas.openxmlformats.org/drawingml/2006/main">
                        <a:graphicData uri="http://schemas.microsoft.com/office/word/2010/wordprocessingShape">
                          <wps:wsp>
                            <wps:cNvSpPr txBox="1"/>
                            <wps:spPr>
                              <a:xfrm>
                                <a:off x="0" y="0"/>
                                <a:ext cx="1128446" cy="285826"/>
                              </a:xfrm>
                              <a:prstGeom prst="rect">
                                <a:avLst/>
                              </a:prstGeom>
                              <a:solidFill>
                                <a:schemeClr val="lt1"/>
                              </a:solidFill>
                              <a:ln w="6350">
                                <a:noFill/>
                              </a:ln>
                            </wps:spPr>
                            <wps:txbx>
                              <w:txbxContent>
                                <w:p w14:paraId="76B1DDAF" w14:textId="31FA9B30" w:rsidR="003E27E1" w:rsidRPr="003E27E1" w:rsidRDefault="003E27E1" w:rsidP="003E27E1">
                                  <w:pPr>
                                    <w:spacing w:line="180" w:lineRule="exact"/>
                                    <w:rPr>
                                      <w:sz w:val="14"/>
                                      <w:szCs w:val="12"/>
                                    </w:rPr>
                                  </w:pPr>
                                  <w:r>
                                    <w:rPr>
                                      <w:rFonts w:hint="eastAsia"/>
                                      <w:sz w:val="14"/>
                                      <w:szCs w:val="12"/>
                                    </w:rPr>
                                    <w:t>自然保護政策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EC66" id="_x0000_s1028" type="#_x0000_t202" style="position:absolute;left:0;text-align:left;margin-left:120.4pt;margin-top:162.8pt;width:88.8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" fillcolor="white [3201]" stroked="f" strokeweight=".5pt">
                      <v:textbox>
                        <w:txbxContent>
                          <w:p w14:paraId="76B1DDAF" w14:textId="31FA9B30" w:rsidR="003E27E1" w:rsidRPr="003E27E1" w:rsidRDefault="003E27E1" w:rsidP="003E27E1">
                            <w:pPr>
                              <w:spacing w:line="180" w:lineRule="exact"/>
                              <w:rPr>
                                <w:sz w:val="14"/>
                                <w:szCs w:val="12"/>
                              </w:rPr>
                            </w:pPr>
                            <w:r>
                              <w:rPr>
                                <w:rFonts w:hint="eastAsia"/>
                                <w:sz w:val="14"/>
                                <w:szCs w:val="12"/>
                              </w:rPr>
                              <w:t>自然保護政策</w:t>
                            </w:r>
                          </w:p>
                        </w:txbxContent>
                      </v:textbox>
                    </v:shape>
                  </w:pict>
                </mc:Fallback>
              </mc:AlternateContent>
            </w:r>
            <w:r w:rsidR="003E27E1" w:rsidRPr="006951CF">
              <w:rPr>
                <w:i/>
                <w:noProof/>
                <w:sz w:val="18"/>
                <w:szCs w:val="22"/>
              </w:rPr>
              <mc:AlternateContent>
                <mc:Choice Requires="wps">
                  <w:drawing>
                    <wp:anchor distT="0" distB="0" distL="114300" distR="114300" simplePos="0" relativeHeight="251674624" behindDoc="0" locked="0" layoutInCell="1" allowOverlap="1" wp14:anchorId="3982D6D7" wp14:editId="37ACA73E">
                      <wp:simplePos x="0" y="0"/>
                      <wp:positionH relativeFrom="column">
                        <wp:posOffset>1523314</wp:posOffset>
                      </wp:positionH>
                      <wp:positionV relativeFrom="paragraph">
                        <wp:posOffset>1630680</wp:posOffset>
                      </wp:positionV>
                      <wp:extent cx="1128446" cy="285826"/>
                      <wp:effectExtent l="0" t="0" r="0" b="0"/>
                      <wp:wrapNone/>
                      <wp:docPr id="2026073739" name="テキスト ボックス 1"/>
                      <wp:cNvGraphicFramePr/>
                      <a:graphic xmlns:a="http://schemas.openxmlformats.org/drawingml/2006/main">
                        <a:graphicData uri="http://schemas.microsoft.com/office/word/2010/wordprocessingShape">
                          <wps:wsp>
                            <wps:cNvSpPr txBox="1"/>
                            <wps:spPr>
                              <a:xfrm>
                                <a:off x="0" y="0"/>
                                <a:ext cx="1128446" cy="285826"/>
                              </a:xfrm>
                              <a:prstGeom prst="rect">
                                <a:avLst/>
                              </a:prstGeom>
                              <a:solidFill>
                                <a:schemeClr val="lt1"/>
                              </a:solidFill>
                              <a:ln w="6350">
                                <a:noFill/>
                              </a:ln>
                            </wps:spPr>
                            <wps:txbx>
                              <w:txbxContent>
                                <w:p w14:paraId="631D6EF3" w14:textId="73834788" w:rsidR="003E27E1" w:rsidRPr="003E27E1" w:rsidRDefault="003E27E1" w:rsidP="003E27E1">
                                  <w:pPr>
                                    <w:spacing w:line="180" w:lineRule="exact"/>
                                    <w:rPr>
                                      <w:sz w:val="14"/>
                                      <w:szCs w:val="12"/>
                                    </w:rPr>
                                  </w:pPr>
                                  <w:r>
                                    <w:rPr>
                                      <w:rFonts w:hint="eastAsia"/>
                                      <w:sz w:val="14"/>
                                      <w:szCs w:val="12"/>
                                    </w:rPr>
                                    <w:t>住宅開発/雇用創出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2D6D7" id="_x0000_s1029" type="#_x0000_t202" style="position:absolute;left:0;text-align:left;margin-left:119.95pt;margin-top:128.4pt;width:88.8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" fillcolor="white [3201]" stroked="f" strokeweight=".5pt">
                      <v:textbox>
                        <w:txbxContent>
                          <w:p w14:paraId="631D6EF3" w14:textId="73834788" w:rsidR="003E27E1" w:rsidRPr="003E27E1" w:rsidRDefault="003E27E1" w:rsidP="003E27E1">
                            <w:pPr>
                              <w:spacing w:line="180" w:lineRule="exact"/>
                              <w:rPr>
                                <w:sz w:val="14"/>
                                <w:szCs w:val="12"/>
                              </w:rPr>
                            </w:pPr>
                            <w:r>
                              <w:rPr>
                                <w:rFonts w:hint="eastAsia"/>
                                <w:sz w:val="14"/>
                                <w:szCs w:val="12"/>
                              </w:rPr>
                              <w:t>住宅開発/雇用創出</w:t>
                            </w:r>
                          </w:p>
                        </w:txbxContent>
                      </v:textbox>
                    </v:shape>
                  </w:pict>
                </mc:Fallback>
              </mc:AlternateContent>
            </w:r>
            <w:r w:rsidR="003E27E1" w:rsidRPr="006951CF">
              <w:rPr>
                <w:i/>
                <w:noProof/>
                <w:sz w:val="18"/>
                <w:szCs w:val="22"/>
              </w:rPr>
              <mc:AlternateContent>
                <mc:Choice Requires="wps">
                  <w:drawing>
                    <wp:anchor distT="0" distB="0" distL="114300" distR="114300" simplePos="0" relativeHeight="251672576" behindDoc="0" locked="0" layoutInCell="1" allowOverlap="1" wp14:anchorId="57BD7BAE" wp14:editId="4249C125">
                      <wp:simplePos x="0" y="0"/>
                      <wp:positionH relativeFrom="column">
                        <wp:posOffset>1581836</wp:posOffset>
                      </wp:positionH>
                      <wp:positionV relativeFrom="paragraph">
                        <wp:posOffset>1132789</wp:posOffset>
                      </wp:positionV>
                      <wp:extent cx="1069873" cy="285826"/>
                      <wp:effectExtent l="0" t="0" r="0" b="0"/>
                      <wp:wrapNone/>
                      <wp:docPr id="1214449829" name="テキスト ボックス 1"/>
                      <wp:cNvGraphicFramePr/>
                      <a:graphic xmlns:a="http://schemas.openxmlformats.org/drawingml/2006/main">
                        <a:graphicData uri="http://schemas.microsoft.com/office/word/2010/wordprocessingShape">
                          <wps:wsp>
                            <wps:cNvSpPr txBox="1"/>
                            <wps:spPr>
                              <a:xfrm>
                                <a:off x="0" y="0"/>
                                <a:ext cx="1069873" cy="285826"/>
                              </a:xfrm>
                              <a:prstGeom prst="rect">
                                <a:avLst/>
                              </a:prstGeom>
                              <a:solidFill>
                                <a:schemeClr val="lt1"/>
                              </a:solidFill>
                              <a:ln w="6350">
                                <a:noFill/>
                              </a:ln>
                            </wps:spPr>
                            <wps:txbx>
                              <w:txbxContent>
                                <w:p w14:paraId="10F7CD5B" w14:textId="6EFF241D" w:rsidR="003E27E1" w:rsidRPr="003E27E1" w:rsidRDefault="003E27E1" w:rsidP="003E27E1">
                                  <w:pPr>
                                    <w:spacing w:line="180" w:lineRule="exact"/>
                                    <w:rPr>
                                      <w:sz w:val="14"/>
                                      <w:szCs w:val="12"/>
                                    </w:rPr>
                                  </w:pPr>
                                  <w:r>
                                    <w:rPr>
                                      <w:rFonts w:hint="eastAsia"/>
                                      <w:sz w:val="14"/>
                                      <w:szCs w:val="12"/>
                                    </w:rPr>
                                    <w:t>新しい交通インフラ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D7BAE" id="_x0000_s1030" type="#_x0000_t202" style="position:absolute;left:0;text-align:left;margin-left:124.55pt;margin-top:89.2pt;width:8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" fillcolor="white [3201]" stroked="f" strokeweight=".5pt">
                      <v:textbox>
                        <w:txbxContent>
                          <w:p w14:paraId="10F7CD5B" w14:textId="6EFF241D" w:rsidR="003E27E1" w:rsidRPr="003E27E1" w:rsidRDefault="003E27E1" w:rsidP="003E27E1">
                            <w:pPr>
                              <w:spacing w:line="180" w:lineRule="exact"/>
                              <w:rPr>
                                <w:sz w:val="14"/>
                                <w:szCs w:val="12"/>
                              </w:rPr>
                            </w:pPr>
                            <w:r>
                              <w:rPr>
                                <w:rFonts w:hint="eastAsia"/>
                                <w:sz w:val="14"/>
                                <w:szCs w:val="12"/>
                              </w:rPr>
                              <w:t>新しい交通インフラ</w:t>
                            </w:r>
                          </w:p>
                        </w:txbxContent>
                      </v:textbox>
                    </v:shape>
                  </w:pict>
                </mc:Fallback>
              </mc:AlternateContent>
            </w:r>
            <w:r w:rsidR="003E27E1" w:rsidRPr="006951CF">
              <w:rPr>
                <w:i/>
                <w:noProof/>
                <w:sz w:val="18"/>
                <w:szCs w:val="22"/>
              </w:rPr>
              <mc:AlternateContent>
                <mc:Choice Requires="wps">
                  <w:drawing>
                    <wp:anchor distT="0" distB="0" distL="114300" distR="114300" simplePos="0" relativeHeight="251670528" behindDoc="0" locked="0" layoutInCell="1" allowOverlap="1" wp14:anchorId="5CDC917C" wp14:editId="79678A43">
                      <wp:simplePos x="0" y="0"/>
                      <wp:positionH relativeFrom="column">
                        <wp:posOffset>1521460</wp:posOffset>
                      </wp:positionH>
                      <wp:positionV relativeFrom="paragraph">
                        <wp:posOffset>611505</wp:posOffset>
                      </wp:positionV>
                      <wp:extent cx="1069873" cy="360045"/>
                      <wp:effectExtent l="0" t="0" r="0" b="1905"/>
                      <wp:wrapNone/>
                      <wp:docPr id="1488291193" name="テキスト ボックス 1"/>
                      <wp:cNvGraphicFramePr/>
                      <a:graphic xmlns:a="http://schemas.openxmlformats.org/drawingml/2006/main">
                        <a:graphicData uri="http://schemas.microsoft.com/office/word/2010/wordprocessingShape">
                          <wps:wsp>
                            <wps:cNvSpPr txBox="1"/>
                            <wps:spPr>
                              <a:xfrm>
                                <a:off x="0" y="0"/>
                                <a:ext cx="1069873" cy="360045"/>
                              </a:xfrm>
                              <a:prstGeom prst="rect">
                                <a:avLst/>
                              </a:prstGeom>
                              <a:solidFill>
                                <a:schemeClr val="lt1"/>
                              </a:solidFill>
                              <a:ln w="6350">
                                <a:noFill/>
                              </a:ln>
                            </wps:spPr>
                            <wps:txbx>
                              <w:txbxContent>
                                <w:p w14:paraId="1A80B7DA" w14:textId="5ED6DB92" w:rsidR="003E27E1" w:rsidRPr="003E27E1" w:rsidRDefault="003E27E1" w:rsidP="003E27E1">
                                  <w:pPr>
                                    <w:spacing w:line="180" w:lineRule="exact"/>
                                    <w:rPr>
                                      <w:sz w:val="14"/>
                                      <w:szCs w:val="12"/>
                                    </w:rPr>
                                  </w:pPr>
                                  <w:r>
                                    <w:rPr>
                                      <w:rFonts w:hint="eastAsia"/>
                                      <w:sz w:val="14"/>
                                      <w:szCs w:val="12"/>
                                    </w:rPr>
                                    <w:t>既存道路の利用増加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917C" id="_x0000_s1031" type="#_x0000_t202" style="position:absolute;left:0;text-align:left;margin-left:119.8pt;margin-top:48.15pt;width:84.25pt;height:2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" fillcolor="white [3201]" stroked="f" strokeweight=".5pt">
                      <v:textbox>
                        <w:txbxContent>
                          <w:p w14:paraId="1A80B7DA" w14:textId="5ED6DB92" w:rsidR="003E27E1" w:rsidRPr="003E27E1" w:rsidRDefault="003E27E1" w:rsidP="003E27E1">
                            <w:pPr>
                              <w:spacing w:line="180" w:lineRule="exact"/>
                              <w:rPr>
                                <w:sz w:val="14"/>
                                <w:szCs w:val="12"/>
                              </w:rPr>
                            </w:pPr>
                            <w:r>
                              <w:rPr>
                                <w:rFonts w:hint="eastAsia"/>
                                <w:sz w:val="14"/>
                                <w:szCs w:val="12"/>
                              </w:rPr>
                              <w:t>既存道路の利用増加</w:t>
                            </w:r>
                          </w:p>
                        </w:txbxContent>
                      </v:textbox>
                    </v:shape>
                  </w:pict>
                </mc:Fallback>
              </mc:AlternateContent>
            </w:r>
            <w:r w:rsidR="003E27E1" w:rsidRPr="006951CF">
              <w:rPr>
                <w:i/>
                <w:noProof/>
                <w:sz w:val="18"/>
                <w:szCs w:val="22"/>
              </w:rPr>
              <mc:AlternateContent>
                <mc:Choice Requires="wps">
                  <w:drawing>
                    <wp:anchor distT="0" distB="0" distL="114300" distR="114300" simplePos="0" relativeHeight="251668480" behindDoc="0" locked="0" layoutInCell="1" allowOverlap="1" wp14:anchorId="23724780" wp14:editId="53DA29F0">
                      <wp:simplePos x="0" y="0"/>
                      <wp:positionH relativeFrom="column">
                        <wp:posOffset>58420</wp:posOffset>
                      </wp:positionH>
                      <wp:positionV relativeFrom="paragraph">
                        <wp:posOffset>2265044</wp:posOffset>
                      </wp:positionV>
                      <wp:extent cx="840156" cy="360045"/>
                      <wp:effectExtent l="0" t="0" r="0" b="1905"/>
                      <wp:wrapNone/>
                      <wp:docPr id="395940913" name="テキスト ボックス 1"/>
                      <wp:cNvGraphicFramePr/>
                      <a:graphic xmlns:a="http://schemas.openxmlformats.org/drawingml/2006/main">
                        <a:graphicData uri="http://schemas.microsoft.com/office/word/2010/wordprocessingShape">
                          <wps:wsp>
                            <wps:cNvSpPr txBox="1"/>
                            <wps:spPr>
                              <a:xfrm>
                                <a:off x="0" y="0"/>
                                <a:ext cx="840156" cy="360045"/>
                              </a:xfrm>
                              <a:prstGeom prst="rect">
                                <a:avLst/>
                              </a:prstGeom>
                              <a:solidFill>
                                <a:schemeClr val="lt1"/>
                              </a:solidFill>
                              <a:ln w="6350">
                                <a:noFill/>
                              </a:ln>
                            </wps:spPr>
                            <wps:txbx>
                              <w:txbxContent>
                                <w:p w14:paraId="052BC01B" w14:textId="55D31839" w:rsidR="003E27E1" w:rsidRPr="003E27E1" w:rsidRDefault="003E27E1" w:rsidP="003E27E1">
                                  <w:pPr>
                                    <w:spacing w:line="180" w:lineRule="exact"/>
                                    <w:rPr>
                                      <w:sz w:val="14"/>
                                      <w:szCs w:val="12"/>
                                    </w:rPr>
                                  </w:pPr>
                                  <w:r>
                                    <w:rPr>
                                      <w:rFonts w:hint="eastAsia"/>
                                      <w:sz w:val="14"/>
                                      <w:szCs w:val="12"/>
                                    </w:rPr>
                                    <w:t>インフラ事業者の活動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24780" id="_x0000_s1032" type="#_x0000_t202" style="position:absolute;left:0;text-align:left;margin-left:4.6pt;margin-top:178.35pt;width:66.15pt;height:2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" fillcolor="white [3201]" stroked="f" strokeweight=".5pt">
                      <v:textbox>
                        <w:txbxContent>
                          <w:p w14:paraId="052BC01B" w14:textId="55D31839" w:rsidR="003E27E1" w:rsidRPr="003E27E1" w:rsidRDefault="003E27E1" w:rsidP="003E27E1">
                            <w:pPr>
                              <w:spacing w:line="180" w:lineRule="exact"/>
                              <w:rPr>
                                <w:sz w:val="14"/>
                                <w:szCs w:val="12"/>
                              </w:rPr>
                            </w:pPr>
                            <w:r>
                              <w:rPr>
                                <w:rFonts w:hint="eastAsia"/>
                                <w:sz w:val="14"/>
                                <w:szCs w:val="12"/>
                              </w:rPr>
                              <w:t>インフラ事業者の活動</w:t>
                            </w:r>
                          </w:p>
                        </w:txbxContent>
                      </v:textbox>
                    </v:shape>
                  </w:pict>
                </mc:Fallback>
              </mc:AlternateContent>
            </w:r>
            <w:r w:rsidR="003E27E1" w:rsidRPr="006951CF">
              <w:rPr>
                <w:i/>
                <w:noProof/>
                <w:sz w:val="18"/>
                <w:szCs w:val="22"/>
              </w:rPr>
              <mc:AlternateContent>
                <mc:Choice Requires="wps">
                  <w:drawing>
                    <wp:anchor distT="0" distB="0" distL="114300" distR="114300" simplePos="0" relativeHeight="251666432" behindDoc="0" locked="0" layoutInCell="1" allowOverlap="1" wp14:anchorId="4A38F9E5" wp14:editId="2C508B87">
                      <wp:simplePos x="0" y="0"/>
                      <wp:positionH relativeFrom="column">
                        <wp:posOffset>45085</wp:posOffset>
                      </wp:positionH>
                      <wp:positionV relativeFrom="paragraph">
                        <wp:posOffset>1687830</wp:posOffset>
                      </wp:positionV>
                      <wp:extent cx="840156" cy="286207"/>
                      <wp:effectExtent l="0" t="0" r="0" b="0"/>
                      <wp:wrapNone/>
                      <wp:docPr id="47439574" name="テキスト ボックス 1"/>
                      <wp:cNvGraphicFramePr/>
                      <a:graphic xmlns:a="http://schemas.openxmlformats.org/drawingml/2006/main">
                        <a:graphicData uri="http://schemas.microsoft.com/office/word/2010/wordprocessingShape">
                          <wps:wsp>
                            <wps:cNvSpPr txBox="1"/>
                            <wps:spPr>
                              <a:xfrm>
                                <a:off x="0" y="0"/>
                                <a:ext cx="840156" cy="286207"/>
                              </a:xfrm>
                              <a:prstGeom prst="rect">
                                <a:avLst/>
                              </a:prstGeom>
                              <a:solidFill>
                                <a:schemeClr val="lt1"/>
                              </a:solidFill>
                              <a:ln w="6350">
                                <a:noFill/>
                              </a:ln>
                            </wps:spPr>
                            <wps:txbx>
                              <w:txbxContent>
                                <w:p w14:paraId="4967F4B8" w14:textId="36FE535E" w:rsidR="003E27E1" w:rsidRPr="003E27E1" w:rsidRDefault="003E27E1" w:rsidP="003E27E1">
                                  <w:pPr>
                                    <w:spacing w:line="180" w:lineRule="exact"/>
                                    <w:rPr>
                                      <w:sz w:val="14"/>
                                      <w:szCs w:val="12"/>
                                    </w:rPr>
                                  </w:pPr>
                                  <w:r>
                                    <w:rPr>
                                      <w:rFonts w:hint="eastAsia"/>
                                      <w:sz w:val="14"/>
                                      <w:szCs w:val="12"/>
                                    </w:rPr>
                                    <w:t>地方開発枠組み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8F9E5" id="_x0000_s1033" type="#_x0000_t202" style="position:absolute;left:0;text-align:left;margin-left:3.55pt;margin-top:132.9pt;width:66.15pt;height:2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" fillcolor="white [3201]" stroked="f" strokeweight=".5pt">
                      <v:textbox>
                        <w:txbxContent>
                          <w:p w14:paraId="4967F4B8" w14:textId="36FE535E" w:rsidR="003E27E1" w:rsidRPr="003E27E1" w:rsidRDefault="003E27E1" w:rsidP="003E27E1">
                            <w:pPr>
                              <w:spacing w:line="180" w:lineRule="exact"/>
                              <w:rPr>
                                <w:sz w:val="14"/>
                                <w:szCs w:val="12"/>
                              </w:rPr>
                            </w:pPr>
                            <w:r>
                              <w:rPr>
                                <w:rFonts w:hint="eastAsia"/>
                                <w:sz w:val="14"/>
                                <w:szCs w:val="12"/>
                              </w:rPr>
                              <w:t>地方開発枠組み</w:t>
                            </w:r>
                          </w:p>
                        </w:txbxContent>
                      </v:textbox>
                    </v:shape>
                  </w:pict>
                </mc:Fallback>
              </mc:AlternateContent>
            </w:r>
            <w:r w:rsidR="003E27E1" w:rsidRPr="006951CF">
              <w:rPr>
                <w:i/>
                <w:noProof/>
                <w:sz w:val="18"/>
                <w:szCs w:val="22"/>
              </w:rPr>
              <mc:AlternateContent>
                <mc:Choice Requires="wps">
                  <w:drawing>
                    <wp:anchor distT="0" distB="0" distL="114300" distR="114300" simplePos="0" relativeHeight="251664384" behindDoc="0" locked="0" layoutInCell="1" allowOverlap="1" wp14:anchorId="1B5A2103" wp14:editId="213540B9">
                      <wp:simplePos x="0" y="0"/>
                      <wp:positionH relativeFrom="column">
                        <wp:posOffset>117526</wp:posOffset>
                      </wp:positionH>
                      <wp:positionV relativeFrom="paragraph">
                        <wp:posOffset>1135151</wp:posOffset>
                      </wp:positionV>
                      <wp:extent cx="766785" cy="340906"/>
                      <wp:effectExtent l="0" t="0" r="0" b="2540"/>
                      <wp:wrapNone/>
                      <wp:docPr id="423155944" name="テキスト ボックス 1"/>
                      <wp:cNvGraphicFramePr/>
                      <a:graphic xmlns:a="http://schemas.openxmlformats.org/drawingml/2006/main">
                        <a:graphicData uri="http://schemas.microsoft.com/office/word/2010/wordprocessingShape">
                          <wps:wsp>
                            <wps:cNvSpPr txBox="1"/>
                            <wps:spPr>
                              <a:xfrm>
                                <a:off x="0" y="0"/>
                                <a:ext cx="766785" cy="340906"/>
                              </a:xfrm>
                              <a:prstGeom prst="rect">
                                <a:avLst/>
                              </a:prstGeom>
                              <a:solidFill>
                                <a:schemeClr val="lt1"/>
                              </a:solidFill>
                              <a:ln w="6350">
                                <a:noFill/>
                              </a:ln>
                            </wps:spPr>
                            <wps:txbx>
                              <w:txbxContent>
                                <w:p w14:paraId="7611C216" w14:textId="31CB3CD4" w:rsidR="003E27E1" w:rsidRPr="003E27E1" w:rsidRDefault="003E27E1" w:rsidP="003E27E1">
                                  <w:pPr>
                                    <w:spacing w:line="180" w:lineRule="exact"/>
                                    <w:rPr>
                                      <w:sz w:val="14"/>
                                      <w:szCs w:val="12"/>
                                    </w:rPr>
                                  </w:pPr>
                                  <w:r>
                                    <w:rPr>
                                      <w:rFonts w:hint="eastAsia"/>
                                      <w:sz w:val="14"/>
                                      <w:szCs w:val="12"/>
                                    </w:rPr>
                                    <w:t>地方交通計画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A2103" id="_x0000_s1034" type="#_x0000_t202" style="position:absolute;left:0;text-align:left;margin-left:9.25pt;margin-top:89.4pt;width:60.4pt;height:2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" fillcolor="white [3201]" stroked="f" strokeweight=".5pt">
                      <v:textbox>
                        <w:txbxContent>
                          <w:p w14:paraId="7611C216" w14:textId="31CB3CD4" w:rsidR="003E27E1" w:rsidRPr="003E27E1" w:rsidRDefault="003E27E1" w:rsidP="003E27E1">
                            <w:pPr>
                              <w:spacing w:line="180" w:lineRule="exact"/>
                              <w:rPr>
                                <w:sz w:val="14"/>
                                <w:szCs w:val="12"/>
                              </w:rPr>
                            </w:pPr>
                            <w:r>
                              <w:rPr>
                                <w:rFonts w:hint="eastAsia"/>
                                <w:sz w:val="14"/>
                                <w:szCs w:val="12"/>
                              </w:rPr>
                              <w:t>地方交通計画</w:t>
                            </w:r>
                          </w:p>
                        </w:txbxContent>
                      </v:textbox>
                    </v:shape>
                  </w:pict>
                </mc:Fallback>
              </mc:AlternateContent>
            </w:r>
            <w:r w:rsidR="003E27E1" w:rsidRPr="006951CF">
              <w:rPr>
                <w:i/>
                <w:noProof/>
                <w:sz w:val="18"/>
                <w:szCs w:val="22"/>
              </w:rPr>
              <mc:AlternateContent>
                <mc:Choice Requires="wps">
                  <w:drawing>
                    <wp:anchor distT="0" distB="0" distL="114300" distR="114300" simplePos="0" relativeHeight="251662336" behindDoc="0" locked="0" layoutInCell="1" allowOverlap="1" wp14:anchorId="12ADA720" wp14:editId="6B19FB0B">
                      <wp:simplePos x="0" y="0"/>
                      <wp:positionH relativeFrom="column">
                        <wp:posOffset>118796</wp:posOffset>
                      </wp:positionH>
                      <wp:positionV relativeFrom="paragraph">
                        <wp:posOffset>560603</wp:posOffset>
                      </wp:positionV>
                      <wp:extent cx="766785" cy="340906"/>
                      <wp:effectExtent l="0" t="0" r="0" b="2540"/>
                      <wp:wrapNone/>
                      <wp:docPr id="1583115662" name="テキスト ボックス 1"/>
                      <wp:cNvGraphicFramePr/>
                      <a:graphic xmlns:a="http://schemas.openxmlformats.org/drawingml/2006/main">
                        <a:graphicData uri="http://schemas.microsoft.com/office/word/2010/wordprocessingShape">
                          <wps:wsp>
                            <wps:cNvSpPr txBox="1"/>
                            <wps:spPr>
                              <a:xfrm>
                                <a:off x="0" y="0"/>
                                <a:ext cx="766785" cy="340906"/>
                              </a:xfrm>
                              <a:prstGeom prst="rect">
                                <a:avLst/>
                              </a:prstGeom>
                              <a:solidFill>
                                <a:schemeClr val="lt1"/>
                              </a:solidFill>
                              <a:ln w="6350">
                                <a:noFill/>
                              </a:ln>
                            </wps:spPr>
                            <wps:txbx>
                              <w:txbxContent>
                                <w:p w14:paraId="7EFE450E" w14:textId="66A38D31" w:rsidR="003E27E1" w:rsidRPr="003E27E1" w:rsidRDefault="003E27E1" w:rsidP="003E27E1">
                                  <w:pPr>
                                    <w:spacing w:line="180" w:lineRule="exact"/>
                                    <w:rPr>
                                      <w:sz w:val="14"/>
                                      <w:szCs w:val="12"/>
                                    </w:rPr>
                                  </w:pPr>
                                  <w:r w:rsidRPr="003E27E1">
                                    <w:rPr>
                                      <w:rFonts w:hint="eastAsia"/>
                                      <w:sz w:val="14"/>
                                      <w:szCs w:val="12"/>
                                    </w:rPr>
                                    <w:t>一般的なライフスタイル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DA720" id="_x0000_s1035" type="#_x0000_t202" style="position:absolute;left:0;text-align:left;margin-left:9.35pt;margin-top:44.15pt;width:60.4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" fillcolor="white [3201]" stroked="f" strokeweight=".5pt">
                      <v:textbox>
                        <w:txbxContent>
                          <w:p w14:paraId="7EFE450E" w14:textId="66A38D31" w:rsidR="003E27E1" w:rsidRPr="003E27E1" w:rsidRDefault="003E27E1" w:rsidP="003E27E1">
                            <w:pPr>
                              <w:spacing w:line="180" w:lineRule="exact"/>
                              <w:rPr>
                                <w:sz w:val="14"/>
                                <w:szCs w:val="12"/>
                              </w:rPr>
                            </w:pPr>
                            <w:r w:rsidRPr="003E27E1">
                              <w:rPr>
                                <w:rFonts w:hint="eastAsia"/>
                                <w:sz w:val="14"/>
                                <w:szCs w:val="12"/>
                              </w:rPr>
                              <w:t>一般的なライフスタイル</w:t>
                            </w:r>
                          </w:p>
                        </w:txbxContent>
                      </v:textbox>
                    </v:shape>
                  </w:pict>
                </mc:Fallback>
              </mc:AlternateContent>
            </w:r>
            <w:r w:rsidR="007E630D" w:rsidRPr="006951CF">
              <w:rPr>
                <w:i/>
                <w:noProof/>
                <w:sz w:val="18"/>
                <w:szCs w:val="22"/>
              </w:rPr>
              <w:drawing>
                <wp:anchor distT="0" distB="0" distL="0" distR="0" simplePos="0" relativeHeight="251661312" behindDoc="1" locked="0" layoutInCell="1" allowOverlap="1" wp14:anchorId="27505EB7" wp14:editId="4A691ECA">
                  <wp:simplePos x="0" y="0"/>
                  <wp:positionH relativeFrom="page">
                    <wp:posOffset>66528</wp:posOffset>
                  </wp:positionH>
                  <wp:positionV relativeFrom="paragraph">
                    <wp:posOffset>182880</wp:posOffset>
                  </wp:positionV>
                  <wp:extent cx="4688958" cy="2775098"/>
                  <wp:effectExtent l="0" t="0" r="0" b="6350"/>
                  <wp:wrapTopAndBottom/>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8" cstate="print"/>
                          <a:stretch>
                            <a:fillRect/>
                          </a:stretch>
                        </pic:blipFill>
                        <pic:spPr>
                          <a:xfrm>
                            <a:off x="0" y="0"/>
                            <a:ext cx="4689615" cy="2775487"/>
                          </a:xfrm>
                          <a:prstGeom prst="rect">
                            <a:avLst/>
                          </a:prstGeom>
                        </pic:spPr>
                      </pic:pic>
                    </a:graphicData>
                  </a:graphic>
                  <wp14:sizeRelH relativeFrom="margin">
                    <wp14:pctWidth>0</wp14:pctWidth>
                  </wp14:sizeRelH>
                  <wp14:sizeRelV relativeFrom="margin">
                    <wp14:pctHeight>0</wp14:pctHeight>
                  </wp14:sizeRelV>
                </wp:anchor>
              </w:drawing>
            </w:r>
          </w:p>
          <w:p w14:paraId="3964D8A6" w14:textId="77777777" w:rsidR="00B90622" w:rsidRDefault="00B90622" w:rsidP="007E630D">
            <w:pPr>
              <w:snapToGrid w:val="0"/>
              <w:spacing w:line="280" w:lineRule="exact"/>
              <w:ind w:left="210" w:hangingChars="100" w:hanging="210"/>
              <w:jc w:val="left"/>
            </w:pPr>
          </w:p>
          <w:p w14:paraId="534EF595" w14:textId="6F3D8EBC" w:rsidR="00EE37BE" w:rsidRPr="00B00E24" w:rsidRDefault="00EE37BE" w:rsidP="00E87DA6">
            <w:pPr>
              <w:snapToGrid w:val="0"/>
              <w:spacing w:line="280" w:lineRule="exact"/>
              <w:ind w:left="210" w:hangingChars="100" w:hanging="210"/>
              <w:jc w:val="left"/>
            </w:pPr>
          </w:p>
        </w:tc>
      </w:tr>
      <w:tr w:rsidR="00B90622" w14:paraId="43F776A1" w14:textId="77777777" w:rsidTr="00117E04">
        <w:tc>
          <w:tcPr>
            <w:tcW w:w="2122" w:type="dxa"/>
          </w:tcPr>
          <w:p w14:paraId="2DA67BDB" w14:textId="59A03466" w:rsidR="00B90622" w:rsidRPr="002D5BBA" w:rsidRDefault="00B90622" w:rsidP="00B90622">
            <w:pPr>
              <w:snapToGrid w:val="0"/>
              <w:spacing w:line="280" w:lineRule="exact"/>
              <w:jc w:val="left"/>
            </w:pPr>
            <w:r>
              <w:rPr>
                <w:rFonts w:hint="eastAsia"/>
              </w:rPr>
              <w:lastRenderedPageBreak/>
              <w:t>累積的影響評価の手順</w:t>
            </w:r>
          </w:p>
        </w:tc>
        <w:tc>
          <w:tcPr>
            <w:tcW w:w="7654" w:type="dxa"/>
          </w:tcPr>
          <w:p w14:paraId="5F786AA0" w14:textId="63061661" w:rsidR="00567138" w:rsidRDefault="00567138" w:rsidP="00567138">
            <w:pPr>
              <w:snapToGrid w:val="0"/>
              <w:spacing w:line="280" w:lineRule="exact"/>
              <w:ind w:left="210" w:hangingChars="100" w:hanging="210"/>
              <w:rPr>
                <w:color w:val="FF0000"/>
              </w:rPr>
            </w:pPr>
            <w:r>
              <w:rPr>
                <w:rFonts w:hint="eastAsia"/>
                <w:color w:val="FF0000"/>
              </w:rPr>
              <w:t>（原文</w:t>
            </w:r>
            <w:r w:rsidRPr="00CA4490">
              <w:rPr>
                <w:rFonts w:hint="eastAsia"/>
                <w:color w:val="FF0000"/>
              </w:rPr>
              <w:t>chapter</w:t>
            </w:r>
            <w:r>
              <w:rPr>
                <w:rFonts w:hint="eastAsia"/>
                <w:color w:val="FF0000"/>
              </w:rPr>
              <w:t>2 P.2～、日本語訳</w:t>
            </w:r>
            <w:r w:rsidRPr="00CA4490">
              <w:rPr>
                <w:rFonts w:hint="eastAsia"/>
                <w:color w:val="FF0000"/>
              </w:rPr>
              <w:t>chapter</w:t>
            </w:r>
            <w:r>
              <w:rPr>
                <w:rFonts w:hint="eastAsia"/>
                <w:color w:val="FF0000"/>
              </w:rPr>
              <w:t>2 P.2～）</w:t>
            </w:r>
          </w:p>
          <w:p w14:paraId="5FB4168B" w14:textId="65EFCA0E" w:rsidR="00A100BB" w:rsidRDefault="00A100BB" w:rsidP="00A100BB">
            <w:pPr>
              <w:snapToGrid w:val="0"/>
              <w:spacing w:line="280" w:lineRule="exact"/>
              <w:ind w:left="210" w:hangingChars="100" w:hanging="210"/>
              <w:rPr>
                <w:color w:val="FF0000"/>
              </w:rPr>
            </w:pPr>
            <w:r w:rsidRPr="00951BCF">
              <w:rPr>
                <w:rFonts w:hint="eastAsia"/>
              </w:rPr>
              <w:t>・</w:t>
            </w:r>
            <w:r w:rsidR="002626F7">
              <w:rPr>
                <w:rFonts w:hint="eastAsia"/>
              </w:rPr>
              <w:t>本ガイダンスは、SEAを対象として</w:t>
            </w:r>
            <w:r w:rsidR="00435757">
              <w:rPr>
                <w:rFonts w:hint="eastAsia"/>
              </w:rPr>
              <w:t>おり、累積的影響に特化した評価手順は記載されていない。</w:t>
            </w:r>
          </w:p>
          <w:p w14:paraId="2C54B3AA" w14:textId="3919442F" w:rsidR="00A0756B" w:rsidRDefault="00E87DA6" w:rsidP="00951BCF">
            <w:pPr>
              <w:snapToGrid w:val="0"/>
              <w:spacing w:line="280" w:lineRule="exact"/>
              <w:ind w:left="210" w:hangingChars="100" w:hanging="210"/>
            </w:pPr>
            <w:r>
              <w:rPr>
                <w:rFonts w:hint="eastAsia"/>
              </w:rPr>
              <w:t>・</w:t>
            </w:r>
            <w:r w:rsidR="00A0756B" w:rsidRPr="00A0756B">
              <w:rPr>
                <w:rFonts w:hint="eastAsia"/>
              </w:rPr>
              <w:t>SEAプロセスの主な段階と要素は、国、法律、または規制の要件に適合する必要があるため、国によって異なる場合がある。</w:t>
            </w:r>
          </w:p>
          <w:p w14:paraId="0379B7CB" w14:textId="71A5840A" w:rsidR="00A100BB" w:rsidRDefault="00A0756B">
            <w:pPr>
              <w:snapToGrid w:val="0"/>
              <w:spacing w:line="280" w:lineRule="exact"/>
            </w:pPr>
            <w:r>
              <w:rPr>
                <w:rFonts w:hint="eastAsia"/>
              </w:rPr>
              <w:t>ステージ1：スクリーニング</w:t>
            </w:r>
            <w:r w:rsidR="00A100BB">
              <w:rPr>
                <w:rFonts w:hint="eastAsia"/>
              </w:rPr>
              <w:t>（累積的影響に関しては、影響と影響を受ける地域の特徴が「累積的影響の性質があるか、影響が重大になる可能性があるか」を判断する。）</w:t>
            </w:r>
          </w:p>
          <w:p w14:paraId="4065D6F5" w14:textId="78B73929" w:rsidR="00A0756B" w:rsidRDefault="00A0756B" w:rsidP="00A0756B">
            <w:pPr>
              <w:snapToGrid w:val="0"/>
              <w:spacing w:line="280" w:lineRule="exact"/>
            </w:pPr>
            <w:r>
              <w:rPr>
                <w:rFonts w:hint="eastAsia"/>
              </w:rPr>
              <w:t>ステージ2：提案者の準備作業</w:t>
            </w:r>
            <w:r w:rsidR="00115DBC">
              <w:rPr>
                <w:rFonts w:hint="eastAsia"/>
              </w:rPr>
              <w:t>（SEA実施体制の構築）</w:t>
            </w:r>
          </w:p>
          <w:p w14:paraId="7B8799D0" w14:textId="5DF918CB" w:rsidR="00A0756B" w:rsidRDefault="00A0756B" w:rsidP="00A0756B">
            <w:pPr>
              <w:snapToGrid w:val="0"/>
              <w:spacing w:line="280" w:lineRule="exact"/>
            </w:pPr>
            <w:r>
              <w:rPr>
                <w:rFonts w:hint="eastAsia"/>
              </w:rPr>
              <w:t>ステージ3：</w:t>
            </w:r>
            <w:r w:rsidR="007916E4">
              <w:rPr>
                <w:rFonts w:hint="eastAsia"/>
              </w:rPr>
              <w:t>インセプション</w:t>
            </w:r>
            <w:r w:rsidR="00A100BB">
              <w:rPr>
                <w:rFonts w:hint="eastAsia"/>
              </w:rPr>
              <w:t>（SEA実施方法の検討。関係者が共通認識を持つために、ワークショップを開催しSEAの基本的情報を説明することが重要）</w:t>
            </w:r>
          </w:p>
          <w:p w14:paraId="4A773A4E" w14:textId="5FCDC0BC" w:rsidR="00A0756B" w:rsidRDefault="00A0756B" w:rsidP="00A0756B">
            <w:pPr>
              <w:snapToGrid w:val="0"/>
              <w:spacing w:line="280" w:lineRule="exact"/>
            </w:pPr>
            <w:r>
              <w:rPr>
                <w:rFonts w:hint="eastAsia"/>
              </w:rPr>
              <w:t>ステージ4：</w:t>
            </w:r>
            <w:r w:rsidR="007916E4">
              <w:rPr>
                <w:rFonts w:hint="eastAsia"/>
              </w:rPr>
              <w:t>スコアリング</w:t>
            </w:r>
            <w:r w:rsidR="00115DBC">
              <w:rPr>
                <w:rFonts w:hint="eastAsia"/>
              </w:rPr>
              <w:t>（SEAが焦点を当てるべき、累積的な性質を持つ影響を特定する）</w:t>
            </w:r>
          </w:p>
          <w:p w14:paraId="49E1F78D" w14:textId="66A1BF08" w:rsidR="00A0756B" w:rsidRDefault="00A0756B" w:rsidP="00A0756B">
            <w:pPr>
              <w:snapToGrid w:val="0"/>
              <w:spacing w:line="280" w:lineRule="exact"/>
            </w:pPr>
            <w:r>
              <w:rPr>
                <w:rFonts w:hint="eastAsia"/>
              </w:rPr>
              <w:t>ステージ5：</w:t>
            </w:r>
            <w:r w:rsidR="00C17E6B">
              <w:rPr>
                <w:rFonts w:hint="eastAsia"/>
              </w:rPr>
              <w:t>本審査</w:t>
            </w:r>
          </w:p>
          <w:p w14:paraId="28790F37" w14:textId="457F7729" w:rsidR="00A0756B" w:rsidRDefault="00A0756B" w:rsidP="00A0756B">
            <w:pPr>
              <w:snapToGrid w:val="0"/>
              <w:spacing w:line="280" w:lineRule="exact"/>
            </w:pPr>
            <w:r>
              <w:rPr>
                <w:rFonts w:hint="eastAsia"/>
              </w:rPr>
              <w:t>ステージ6：</w:t>
            </w:r>
            <w:r w:rsidR="00F16E4E">
              <w:rPr>
                <w:rFonts w:hint="eastAsia"/>
              </w:rPr>
              <w:t>レポート</w:t>
            </w:r>
          </w:p>
          <w:p w14:paraId="056E173D" w14:textId="2CF66C8B" w:rsidR="003E45EB" w:rsidRDefault="00F16E4E" w:rsidP="00F16E4E">
            <w:pPr>
              <w:snapToGrid w:val="0"/>
              <w:spacing w:line="280" w:lineRule="exact"/>
            </w:pPr>
            <w:r>
              <w:rPr>
                <w:rFonts w:hint="eastAsia"/>
              </w:rPr>
              <w:t>ステージ7：報告書の</w:t>
            </w:r>
            <w:r w:rsidR="00E376B1">
              <w:rPr>
                <w:rFonts w:hint="eastAsia"/>
              </w:rPr>
              <w:t>審査</w:t>
            </w:r>
          </w:p>
          <w:p w14:paraId="66EA421E" w14:textId="6E7AD48F" w:rsidR="00B90622" w:rsidRDefault="00B90622">
            <w:pPr>
              <w:snapToGrid w:val="0"/>
              <w:spacing w:line="280" w:lineRule="exact"/>
            </w:pPr>
          </w:p>
        </w:tc>
      </w:tr>
      <w:tr w:rsidR="00B90622" w14:paraId="0672083A" w14:textId="77777777" w:rsidTr="00117E04">
        <w:tc>
          <w:tcPr>
            <w:tcW w:w="2122" w:type="dxa"/>
          </w:tcPr>
          <w:p w14:paraId="5776B194" w14:textId="5260F67D" w:rsidR="00B90622" w:rsidRDefault="00B90622" w:rsidP="00B90622">
            <w:pPr>
              <w:snapToGrid w:val="0"/>
              <w:spacing w:line="280" w:lineRule="exact"/>
            </w:pPr>
            <w:r>
              <w:rPr>
                <w:rFonts w:hint="eastAsia"/>
              </w:rPr>
              <w:t>累積的影響を受ける要素（VE、VEC等）の範囲、条件</w:t>
            </w:r>
          </w:p>
        </w:tc>
        <w:tc>
          <w:tcPr>
            <w:tcW w:w="7654" w:type="dxa"/>
          </w:tcPr>
          <w:p w14:paraId="3518D58F" w14:textId="6931A644" w:rsidR="00C13E46" w:rsidRDefault="00C13E46" w:rsidP="00C13E46">
            <w:pPr>
              <w:snapToGrid w:val="0"/>
              <w:spacing w:line="280" w:lineRule="exact"/>
              <w:ind w:left="210" w:hangingChars="100" w:hanging="210"/>
              <w:rPr>
                <w:color w:val="FF0000"/>
              </w:rPr>
            </w:pPr>
            <w:r>
              <w:rPr>
                <w:rFonts w:hint="eastAsia"/>
                <w:color w:val="FF0000"/>
              </w:rPr>
              <w:t>（付属文書19）</w:t>
            </w:r>
          </w:p>
          <w:p w14:paraId="6A21E325" w14:textId="77777777" w:rsidR="00AA5820" w:rsidRPr="00AA5820" w:rsidRDefault="00AA5820" w:rsidP="00AA5820">
            <w:pPr>
              <w:snapToGrid w:val="0"/>
              <w:spacing w:line="280" w:lineRule="exact"/>
              <w:jc w:val="left"/>
            </w:pPr>
            <w:r w:rsidRPr="00AA5820">
              <w:t>国際金融公社（IFC）は、VECをリスク評価において重要とされる環境および社会の属性と定義している。それらには以下のようなものが含まれる：</w:t>
            </w:r>
          </w:p>
          <w:p w14:paraId="3113E652" w14:textId="40E93F9F" w:rsidR="00AA5820" w:rsidRPr="00AA5820" w:rsidRDefault="00AA5820" w:rsidP="00AA5820">
            <w:pPr>
              <w:snapToGrid w:val="0"/>
              <w:spacing w:line="280" w:lineRule="exact"/>
              <w:jc w:val="left"/>
            </w:pPr>
            <w:r>
              <w:rPr>
                <w:rFonts w:hint="eastAsia"/>
              </w:rPr>
              <w:t>・</w:t>
            </w:r>
            <w:r w:rsidRPr="00AA5820">
              <w:t>物理的特徴、生息地、野生生物の個体群（例：生物多様性）</w:t>
            </w:r>
          </w:p>
          <w:p w14:paraId="6377B67F" w14:textId="75A25B9B" w:rsidR="00AA5820" w:rsidRPr="00AA5820" w:rsidRDefault="00AA5820" w:rsidP="00AA5820">
            <w:pPr>
              <w:snapToGrid w:val="0"/>
              <w:spacing w:line="280" w:lineRule="exact"/>
              <w:jc w:val="left"/>
            </w:pPr>
            <w:r>
              <w:rPr>
                <w:rFonts w:hint="eastAsia"/>
              </w:rPr>
              <w:t>・</w:t>
            </w:r>
            <w:r w:rsidRPr="00AA5820">
              <w:t>生態系サービス</w:t>
            </w:r>
          </w:p>
          <w:p w14:paraId="02A116C2" w14:textId="025731C6" w:rsidR="00AA5820" w:rsidRPr="00AA5820" w:rsidRDefault="00AA5820" w:rsidP="00AA5820">
            <w:pPr>
              <w:snapToGrid w:val="0"/>
              <w:spacing w:line="280" w:lineRule="exact"/>
              <w:jc w:val="left"/>
            </w:pPr>
            <w:r>
              <w:rPr>
                <w:rFonts w:hint="eastAsia"/>
              </w:rPr>
              <w:lastRenderedPageBreak/>
              <w:t>・</w:t>
            </w:r>
            <w:r w:rsidRPr="00AA5820">
              <w:t>自然のプロセス（例：水や栄養素の循環、微気候）</w:t>
            </w:r>
          </w:p>
          <w:p w14:paraId="78F2C42D" w14:textId="0C78FCB3" w:rsidR="00AA5820" w:rsidRPr="00AA5820" w:rsidRDefault="00AA5820" w:rsidP="00AA5820">
            <w:pPr>
              <w:snapToGrid w:val="0"/>
              <w:spacing w:line="280" w:lineRule="exact"/>
              <w:jc w:val="left"/>
            </w:pPr>
            <w:r>
              <w:rPr>
                <w:rFonts w:hint="eastAsia"/>
              </w:rPr>
              <w:t>・</w:t>
            </w:r>
            <w:r w:rsidRPr="00AA5820">
              <w:t>社会的条件（例：健康、経済）</w:t>
            </w:r>
          </w:p>
          <w:p w14:paraId="145CD8EE" w14:textId="16711157" w:rsidR="00AA5820" w:rsidRPr="00AA5820" w:rsidRDefault="00AA5820" w:rsidP="00AA5820">
            <w:pPr>
              <w:snapToGrid w:val="0"/>
              <w:spacing w:line="280" w:lineRule="exact"/>
              <w:jc w:val="left"/>
            </w:pPr>
            <w:r>
              <w:rPr>
                <w:rFonts w:hint="eastAsia"/>
              </w:rPr>
              <w:t>・</w:t>
            </w:r>
            <w:r w:rsidRPr="00AA5820">
              <w:t>文化的側面（例：伝統的な宗教儀式）</w:t>
            </w:r>
          </w:p>
          <w:p w14:paraId="7F875919" w14:textId="79396D94" w:rsidR="00AA5820" w:rsidRPr="00AA5820" w:rsidRDefault="00AA5820" w:rsidP="00DB6034">
            <w:pPr>
              <w:snapToGrid w:val="0"/>
              <w:spacing w:line="280" w:lineRule="exact"/>
              <w:jc w:val="left"/>
            </w:pPr>
            <w:r w:rsidRPr="00AA5820">
              <w:t>VECは、特定の開発によって直接的または間接的に影響を受ける可能性があるが、しばしば複数の開発による累積的影響も受ける。VECは、生態学的な経路の最終的な受け手であるため、影響を最も受けやすい要素である。</w:t>
            </w:r>
          </w:p>
        </w:tc>
      </w:tr>
      <w:tr w:rsidR="00B90622" w14:paraId="0277B971" w14:textId="77777777" w:rsidTr="00117E04">
        <w:tc>
          <w:tcPr>
            <w:tcW w:w="2122" w:type="dxa"/>
          </w:tcPr>
          <w:p w14:paraId="0971198B" w14:textId="2B2DBBE1" w:rsidR="007951D9" w:rsidRDefault="00B90622" w:rsidP="00B90622">
            <w:pPr>
              <w:snapToGrid w:val="0"/>
              <w:spacing w:line="280" w:lineRule="exact"/>
            </w:pPr>
            <w:r>
              <w:rPr>
                <w:rFonts w:hint="eastAsia"/>
              </w:rPr>
              <w:lastRenderedPageBreak/>
              <w:t>対象とする時間的な範囲</w:t>
            </w:r>
          </w:p>
        </w:tc>
        <w:tc>
          <w:tcPr>
            <w:tcW w:w="7654" w:type="dxa"/>
          </w:tcPr>
          <w:p w14:paraId="42B10D2F" w14:textId="1AB5CB28" w:rsidR="00AD1C10" w:rsidRDefault="00AD1C10" w:rsidP="00AD1C10">
            <w:pPr>
              <w:snapToGrid w:val="0"/>
              <w:spacing w:line="280" w:lineRule="exact"/>
              <w:ind w:left="210" w:hangingChars="100" w:hanging="210"/>
              <w:rPr>
                <w:color w:val="FF0000"/>
              </w:rPr>
            </w:pPr>
            <w:r>
              <w:rPr>
                <w:rFonts w:hint="eastAsia"/>
                <w:color w:val="FF0000"/>
              </w:rPr>
              <w:t>（付録2</w:t>
            </w:r>
            <w:r w:rsidR="00A100BB">
              <w:rPr>
                <w:rFonts w:hint="eastAsia"/>
                <w:color w:val="FF0000"/>
              </w:rPr>
              <w:t xml:space="preserve">　SEAのTOR</w:t>
            </w:r>
            <w:r>
              <w:rPr>
                <w:rFonts w:hint="eastAsia"/>
                <w:color w:val="FF0000"/>
              </w:rPr>
              <w:t>）</w:t>
            </w:r>
          </w:p>
          <w:p w14:paraId="4AF46B19" w14:textId="406DA28A" w:rsidR="007951D9" w:rsidRPr="00AD1C10" w:rsidRDefault="00AD1C10" w:rsidP="00B90622">
            <w:pPr>
              <w:snapToGrid w:val="0"/>
              <w:spacing w:line="280" w:lineRule="exact"/>
              <w:jc w:val="left"/>
            </w:pPr>
            <w:r w:rsidRPr="00AD1C10">
              <w:rPr>
                <w:rFonts w:hint="eastAsia"/>
              </w:rPr>
              <w:t>SEAは、一次的影響、二次的影響、相乗的影響、短期および長期の累積的影響を区別し、少なくとも30年の時間枠を考慮すべきである。</w:t>
            </w:r>
          </w:p>
          <w:p w14:paraId="52EDA8F6" w14:textId="501DD4C9" w:rsidR="00B90622" w:rsidRDefault="00B90622" w:rsidP="003E45EB">
            <w:pPr>
              <w:snapToGrid w:val="0"/>
              <w:spacing w:line="280" w:lineRule="exact"/>
              <w:jc w:val="left"/>
            </w:pPr>
          </w:p>
        </w:tc>
      </w:tr>
      <w:tr w:rsidR="00F91E5C" w14:paraId="6F082CF8" w14:textId="77777777" w:rsidTr="00117E04">
        <w:tc>
          <w:tcPr>
            <w:tcW w:w="2122" w:type="dxa"/>
          </w:tcPr>
          <w:p w14:paraId="441F5D89" w14:textId="2CFD663D" w:rsidR="00F91E5C" w:rsidRDefault="00F91E5C" w:rsidP="00B90622">
            <w:pPr>
              <w:snapToGrid w:val="0"/>
              <w:spacing w:line="280" w:lineRule="exact"/>
            </w:pPr>
            <w:r>
              <w:rPr>
                <w:rFonts w:hint="eastAsia"/>
              </w:rPr>
              <w:t>対象とする空間的な範囲</w:t>
            </w:r>
          </w:p>
        </w:tc>
        <w:tc>
          <w:tcPr>
            <w:tcW w:w="7654" w:type="dxa"/>
          </w:tcPr>
          <w:p w14:paraId="13194421" w14:textId="77777777" w:rsidR="00F91E5C" w:rsidRDefault="00F91E5C" w:rsidP="00F91E5C">
            <w:pPr>
              <w:snapToGrid w:val="0"/>
              <w:spacing w:line="280" w:lineRule="exact"/>
              <w:ind w:leftChars="86" w:left="391" w:hangingChars="100" w:hanging="210"/>
              <w:rPr>
                <w:color w:val="FF0000"/>
              </w:rPr>
            </w:pPr>
            <w:r>
              <w:rPr>
                <w:rFonts w:hint="eastAsia"/>
                <w:color w:val="FF0000"/>
              </w:rPr>
              <w:t>（付録2　SEAのTOR）</w:t>
            </w:r>
          </w:p>
          <w:p w14:paraId="02541722" w14:textId="7C46F0BC" w:rsidR="00F91E5C" w:rsidRDefault="00F91E5C" w:rsidP="00AD1C10">
            <w:pPr>
              <w:snapToGrid w:val="0"/>
              <w:spacing w:line="280" w:lineRule="exact"/>
              <w:ind w:leftChars="86" w:left="391" w:hangingChars="100" w:hanging="210"/>
              <w:rPr>
                <w:color w:val="FF0000"/>
              </w:rPr>
            </w:pPr>
            <w:r w:rsidRPr="00951BCF">
              <w:rPr>
                <w:rFonts w:hint="eastAsia"/>
              </w:rPr>
              <w:t>例えば、国、セクター、地域、地区、集水域、保護地域、国境を越えた地域など</w:t>
            </w:r>
          </w:p>
        </w:tc>
      </w:tr>
      <w:tr w:rsidR="00B90622" w14:paraId="7DCB42D8" w14:textId="77777777" w:rsidTr="00DB6034">
        <w:tc>
          <w:tcPr>
            <w:tcW w:w="2122" w:type="dxa"/>
          </w:tcPr>
          <w:p w14:paraId="324445AA" w14:textId="77777777" w:rsidR="00B90622" w:rsidRDefault="00B90622" w:rsidP="00B90622">
            <w:pPr>
              <w:snapToGrid w:val="0"/>
              <w:spacing w:line="280" w:lineRule="exact"/>
            </w:pPr>
            <w:r>
              <w:rPr>
                <w:rFonts w:hint="eastAsia"/>
              </w:rPr>
              <w:t>累積影響の解析の対象とする事業の範囲</w:t>
            </w:r>
          </w:p>
        </w:tc>
        <w:tc>
          <w:tcPr>
            <w:tcW w:w="7654" w:type="dxa"/>
          </w:tcPr>
          <w:p w14:paraId="1322047E" w14:textId="7A88E6D5" w:rsidR="00C37232" w:rsidRDefault="00C37232" w:rsidP="00C37232">
            <w:pPr>
              <w:snapToGrid w:val="0"/>
              <w:spacing w:line="280" w:lineRule="exact"/>
              <w:ind w:left="210" w:hangingChars="100" w:hanging="210"/>
              <w:rPr>
                <w:color w:val="FF0000"/>
              </w:rPr>
            </w:pPr>
            <w:r>
              <w:rPr>
                <w:rFonts w:hint="eastAsia"/>
                <w:color w:val="FF0000"/>
              </w:rPr>
              <w:t>（原文</w:t>
            </w:r>
            <w:r w:rsidRPr="00CA4490">
              <w:rPr>
                <w:rFonts w:hint="eastAsia"/>
                <w:color w:val="FF0000"/>
              </w:rPr>
              <w:t>chapter</w:t>
            </w:r>
            <w:r>
              <w:rPr>
                <w:rFonts w:hint="eastAsia"/>
                <w:color w:val="FF0000"/>
              </w:rPr>
              <w:t>1 P.1～、日本語訳</w:t>
            </w:r>
            <w:r w:rsidRPr="00CA4490">
              <w:rPr>
                <w:rFonts w:hint="eastAsia"/>
                <w:color w:val="FF0000"/>
              </w:rPr>
              <w:t>chapter</w:t>
            </w:r>
            <w:r>
              <w:rPr>
                <w:rFonts w:hint="eastAsia"/>
                <w:color w:val="FF0000"/>
              </w:rPr>
              <w:t>1 P.1～）</w:t>
            </w:r>
          </w:p>
          <w:p w14:paraId="00314907" w14:textId="02FF3B88" w:rsidR="00C37232" w:rsidRPr="00C37232" w:rsidRDefault="00C37232" w:rsidP="00C37232">
            <w:pPr>
              <w:snapToGrid w:val="0"/>
              <w:spacing w:line="280" w:lineRule="exact"/>
              <w:jc w:val="left"/>
              <w:rPr>
                <w:highlight w:val="yellow"/>
              </w:rPr>
            </w:pPr>
            <w:r w:rsidRPr="00C37232">
              <w:rPr>
                <w:rFonts w:hint="eastAsia"/>
              </w:rPr>
              <w:t>SEAの適用範囲は、政策、法律、計画、プログラム、開発関連戦略など、さまざまな分野（エネルギーや輸送など）、地理的地域（国、地域/州、地方/市町村）、問題（気候変動や生物多様性など）に及ぶ。しかし、SEAは開発関連のPPPに適用されることが最も多く、特にエネルギー、交通、廃棄物、水部門、空間・土地利用ゾーニング計画に重点が置かれている。</w:t>
            </w:r>
          </w:p>
        </w:tc>
      </w:tr>
      <w:tr w:rsidR="00B90622" w14:paraId="6B5C0951" w14:textId="77777777" w:rsidTr="00117E04">
        <w:tc>
          <w:tcPr>
            <w:tcW w:w="2122" w:type="dxa"/>
          </w:tcPr>
          <w:p w14:paraId="6DC37D2F" w14:textId="77777777" w:rsidR="00B90622" w:rsidRDefault="00B90622" w:rsidP="00B90622">
            <w:pPr>
              <w:snapToGrid w:val="0"/>
              <w:spacing w:line="280" w:lineRule="exact"/>
            </w:pPr>
            <w:r>
              <w:rPr>
                <w:rFonts w:hint="eastAsia"/>
              </w:rPr>
              <w:t>解析ツール</w:t>
            </w:r>
          </w:p>
          <w:p w14:paraId="302C3517" w14:textId="77777777" w:rsidR="00B90622" w:rsidRDefault="00B90622" w:rsidP="00B90622">
            <w:pPr>
              <w:snapToGrid w:val="0"/>
              <w:spacing w:line="280" w:lineRule="exact"/>
            </w:pPr>
          </w:p>
          <w:p w14:paraId="322BB8A2" w14:textId="477C5391" w:rsidR="00B90622" w:rsidRPr="00117E04" w:rsidRDefault="00B90622" w:rsidP="00B90622">
            <w:pPr>
              <w:snapToGrid w:val="0"/>
              <w:spacing w:line="280" w:lineRule="exact"/>
            </w:pPr>
          </w:p>
        </w:tc>
        <w:tc>
          <w:tcPr>
            <w:tcW w:w="7654" w:type="dxa"/>
          </w:tcPr>
          <w:p w14:paraId="08C0B836" w14:textId="50B27C9A" w:rsidR="00486495" w:rsidRDefault="00486495" w:rsidP="00486495">
            <w:pPr>
              <w:snapToGrid w:val="0"/>
              <w:spacing w:line="280" w:lineRule="exact"/>
              <w:ind w:left="210" w:hangingChars="100" w:hanging="210"/>
              <w:rPr>
                <w:color w:val="FF0000"/>
              </w:rPr>
            </w:pPr>
            <w:r>
              <w:rPr>
                <w:rFonts w:hint="eastAsia"/>
                <w:color w:val="FF0000"/>
              </w:rPr>
              <w:t>（原文 P.21～、日本語訳 P.21～）</w:t>
            </w:r>
          </w:p>
          <w:p w14:paraId="15ED84DB" w14:textId="77777777" w:rsidR="00775337" w:rsidRDefault="00486495" w:rsidP="00775337">
            <w:pPr>
              <w:pStyle w:val="TableParagraph"/>
              <w:tabs>
                <w:tab w:val="left" w:pos="398"/>
              </w:tabs>
              <w:spacing w:line="240" w:lineRule="exact"/>
              <w:rPr>
                <w:rFonts w:ascii="ＭＳ 明朝" w:eastAsia="ＭＳ 明朝" w:hAnsi="ＭＳ 明朝" w:cs="ＭＳ 明朝"/>
                <w:spacing w:val="-2"/>
                <w:sz w:val="21"/>
                <w:szCs w:val="28"/>
                <w:lang w:eastAsia="ja-JP"/>
              </w:rPr>
            </w:pPr>
            <w:r w:rsidRPr="00486495">
              <w:rPr>
                <w:rFonts w:ascii="ＭＳ 明朝" w:eastAsia="ＭＳ 明朝" w:hAnsi="ＭＳ 明朝" w:cs="ＭＳ 明朝" w:hint="eastAsia"/>
                <w:spacing w:val="-2"/>
                <w:sz w:val="21"/>
                <w:szCs w:val="28"/>
                <w:lang w:eastAsia="ja-JP"/>
              </w:rPr>
              <w:t>・</w:t>
            </w:r>
            <w:r w:rsidR="002626F7">
              <w:rPr>
                <w:rFonts w:ascii="ＭＳ 明朝" w:eastAsia="ＭＳ 明朝" w:hAnsi="ＭＳ 明朝" w:cs="ＭＳ 明朝" w:hint="eastAsia"/>
                <w:spacing w:val="-2"/>
                <w:sz w:val="21"/>
                <w:szCs w:val="28"/>
                <w:lang w:eastAsia="ja-JP"/>
              </w:rPr>
              <w:t>累積的影響を評価するためによく使われるツールとして、</w:t>
            </w:r>
            <w:r w:rsidRPr="00486495">
              <w:rPr>
                <w:rFonts w:ascii="ＭＳ 明朝" w:eastAsia="ＭＳ 明朝" w:hAnsi="ＭＳ 明朝" w:cs="ＭＳ 明朝" w:hint="eastAsia"/>
                <w:spacing w:val="-2"/>
                <w:sz w:val="21"/>
                <w:szCs w:val="28"/>
                <w:lang w:eastAsia="ja-JP"/>
              </w:rPr>
              <w:t>指標、マルチメトリック指数</w:t>
            </w:r>
            <w:r w:rsidR="002626F7">
              <w:rPr>
                <w:rFonts w:ascii="ＭＳ 明朝" w:eastAsia="ＭＳ 明朝" w:hAnsi="ＭＳ 明朝" w:cs="ＭＳ 明朝" w:hint="eastAsia"/>
                <w:spacing w:val="-2"/>
                <w:sz w:val="21"/>
                <w:szCs w:val="28"/>
                <w:lang w:eastAsia="ja-JP"/>
              </w:rPr>
              <w:t>がある。</w:t>
            </w:r>
          </w:p>
          <w:p w14:paraId="16E4C410" w14:textId="6BAA936C" w:rsidR="00486495" w:rsidRDefault="00775337" w:rsidP="00951BCF">
            <w:pPr>
              <w:pStyle w:val="TableParagraph"/>
              <w:tabs>
                <w:tab w:val="left" w:pos="398"/>
              </w:tabs>
              <w:spacing w:line="240" w:lineRule="exact"/>
              <w:rPr>
                <w:rFonts w:ascii="ＭＳ 明朝" w:eastAsia="ＭＳ 明朝" w:hAnsi="ＭＳ 明朝" w:cs="ＭＳ 明朝"/>
                <w:spacing w:val="-2"/>
                <w:sz w:val="21"/>
                <w:szCs w:val="28"/>
                <w:lang w:eastAsia="ja-JP"/>
              </w:rPr>
            </w:pPr>
            <w:r>
              <w:rPr>
                <w:rFonts w:ascii="ＭＳ 明朝" w:eastAsia="ＭＳ 明朝" w:hAnsi="ＭＳ 明朝" w:cs="ＭＳ 明朝" w:hint="eastAsia"/>
                <w:spacing w:val="-2"/>
                <w:sz w:val="21"/>
                <w:szCs w:val="28"/>
                <w:lang w:eastAsia="ja-JP"/>
              </w:rPr>
              <w:t>・その他、SEAで使用される分析ツールとして以下がある。</w:t>
            </w:r>
          </w:p>
          <w:p w14:paraId="016582E7" w14:textId="756E7676" w:rsidR="002F5936" w:rsidRDefault="002F5936" w:rsidP="002F5936">
            <w:pPr>
              <w:snapToGrid w:val="0"/>
              <w:spacing w:line="280" w:lineRule="exact"/>
              <w:ind w:left="210" w:hangingChars="100" w:hanging="210"/>
              <w:rPr>
                <w:color w:val="FF0000"/>
              </w:rPr>
            </w:pPr>
            <w:commentRangeStart w:id="0"/>
            <w:r>
              <w:rPr>
                <w:rFonts w:hint="eastAsia"/>
                <w:color w:val="FF0000"/>
              </w:rPr>
              <w:t>（付録12）</w:t>
            </w:r>
            <w:commentRangeEnd w:id="0"/>
            <w:r w:rsidR="00775337">
              <w:rPr>
                <w:rStyle w:val="af6"/>
              </w:rPr>
              <w:commentReference w:id="0"/>
            </w:r>
          </w:p>
          <w:p w14:paraId="5E0F148B" w14:textId="77777777" w:rsidR="00775337" w:rsidRDefault="002F5936" w:rsidP="002F5936">
            <w:pPr>
              <w:snapToGrid w:val="0"/>
              <w:spacing w:line="280" w:lineRule="exact"/>
              <w:ind w:left="210" w:hangingChars="100" w:hanging="210"/>
              <w:rPr>
                <w:color w:val="000000" w:themeColor="text1"/>
              </w:rPr>
            </w:pPr>
            <w:r w:rsidRPr="00EE37BE">
              <w:rPr>
                <w:rFonts w:hint="eastAsia"/>
                <w:color w:val="000000" w:themeColor="text1"/>
              </w:rPr>
              <w:t>・</w:t>
            </w:r>
            <w:r w:rsidR="00775337">
              <w:rPr>
                <w:rFonts w:hint="eastAsia"/>
                <w:color w:val="000000" w:themeColor="text1"/>
              </w:rPr>
              <w:t>専門家の判断</w:t>
            </w:r>
          </w:p>
          <w:p w14:paraId="7C8BA73E" w14:textId="77777777" w:rsidR="00775337" w:rsidRDefault="00775337" w:rsidP="002F5936">
            <w:pPr>
              <w:snapToGrid w:val="0"/>
              <w:spacing w:line="280" w:lineRule="exact"/>
              <w:ind w:left="210" w:hangingChars="100" w:hanging="210"/>
              <w:rPr>
                <w:color w:val="000000" w:themeColor="text1"/>
              </w:rPr>
            </w:pPr>
            <w:r>
              <w:rPr>
                <w:rFonts w:hint="eastAsia"/>
                <w:color w:val="000000" w:themeColor="text1"/>
              </w:rPr>
              <w:t>・SWOT分析</w:t>
            </w:r>
          </w:p>
          <w:p w14:paraId="707F7BB5" w14:textId="52518073" w:rsidR="00775337" w:rsidRDefault="00775337" w:rsidP="002F5936">
            <w:pPr>
              <w:snapToGrid w:val="0"/>
              <w:spacing w:line="280" w:lineRule="exact"/>
              <w:ind w:left="210" w:hangingChars="100" w:hanging="210"/>
              <w:rPr>
                <w:color w:val="000000" w:themeColor="text1"/>
              </w:rPr>
            </w:pPr>
            <w:r>
              <w:rPr>
                <w:rFonts w:hint="eastAsia"/>
                <w:color w:val="000000" w:themeColor="text1"/>
              </w:rPr>
              <w:t>・チェックリスト</w:t>
            </w:r>
          </w:p>
          <w:p w14:paraId="1718BDA8" w14:textId="6249A3FF" w:rsidR="002F5936" w:rsidRDefault="00775337" w:rsidP="00951BCF">
            <w:pPr>
              <w:snapToGrid w:val="0"/>
              <w:spacing w:line="280" w:lineRule="exact"/>
              <w:ind w:left="210" w:hangingChars="100" w:hanging="210"/>
            </w:pPr>
            <w:r>
              <w:rPr>
                <w:rFonts w:hint="eastAsia"/>
                <w:color w:val="000000" w:themeColor="text1"/>
              </w:rPr>
              <w:t>・</w:t>
            </w:r>
            <w:r w:rsidR="002F5936" w:rsidRPr="00EE37BE">
              <w:rPr>
                <w:rFonts w:hint="eastAsia"/>
                <w:color w:val="000000" w:themeColor="text1"/>
              </w:rPr>
              <w:t>マトリックス</w:t>
            </w:r>
          </w:p>
          <w:p w14:paraId="2E1ECDB2" w14:textId="0A852E1F" w:rsidR="002F5936" w:rsidRDefault="002F5936" w:rsidP="00775337">
            <w:pPr>
              <w:snapToGrid w:val="0"/>
              <w:spacing w:line="280" w:lineRule="exact"/>
              <w:ind w:left="210" w:hangingChars="100" w:hanging="210"/>
              <w:rPr>
                <w:color w:val="000000" w:themeColor="text1"/>
              </w:rPr>
            </w:pPr>
            <w:r w:rsidRPr="00EE37BE">
              <w:rPr>
                <w:rFonts w:hint="eastAsia"/>
                <w:color w:val="000000" w:themeColor="text1"/>
              </w:rPr>
              <w:t>・空間分析：オーバーレイマッピングと地理情報システム（GIS）</w:t>
            </w:r>
          </w:p>
          <w:p w14:paraId="01DEACD7" w14:textId="21CB38FC" w:rsidR="00EE37BE" w:rsidRDefault="00EE37BE" w:rsidP="00775337">
            <w:pPr>
              <w:snapToGrid w:val="0"/>
              <w:spacing w:line="280" w:lineRule="exact"/>
              <w:ind w:left="210" w:hangingChars="100" w:hanging="210"/>
              <w:rPr>
                <w:sz w:val="20"/>
              </w:rPr>
            </w:pPr>
            <w:r w:rsidRPr="00EE37BE">
              <w:rPr>
                <w:rFonts w:hint="eastAsia"/>
                <w:color w:val="000000" w:themeColor="text1"/>
              </w:rPr>
              <w:t>・</w:t>
            </w:r>
            <w:r>
              <w:rPr>
                <w:rFonts w:hint="eastAsia"/>
                <w:color w:val="000000" w:themeColor="text1"/>
              </w:rPr>
              <w:t>トレンド分析と外挿</w:t>
            </w:r>
            <w:r w:rsidR="00C67AD3">
              <w:rPr>
                <w:rFonts w:hint="eastAsia"/>
                <w:color w:val="000000" w:themeColor="text1"/>
              </w:rPr>
              <w:t>法</w:t>
            </w:r>
          </w:p>
          <w:p w14:paraId="15070F0E" w14:textId="04C2F443" w:rsidR="00EE37BE" w:rsidRDefault="00EE37BE" w:rsidP="00775337">
            <w:pPr>
              <w:snapToGrid w:val="0"/>
              <w:spacing w:line="280" w:lineRule="exact"/>
              <w:ind w:left="210" w:hangingChars="100" w:hanging="210"/>
              <w:rPr>
                <w:color w:val="000000" w:themeColor="text1"/>
              </w:rPr>
            </w:pPr>
            <w:r w:rsidRPr="00EE37BE">
              <w:rPr>
                <w:rFonts w:hint="eastAsia"/>
                <w:color w:val="000000" w:themeColor="text1"/>
              </w:rPr>
              <w:t>・</w:t>
            </w:r>
            <w:r>
              <w:rPr>
                <w:rFonts w:hint="eastAsia"/>
                <w:color w:val="000000" w:themeColor="text1"/>
              </w:rPr>
              <w:t>ネットワーク図とフロー図</w:t>
            </w:r>
          </w:p>
          <w:p w14:paraId="6D52BD91" w14:textId="76212B09" w:rsidR="00775337" w:rsidRPr="00EE37BE" w:rsidRDefault="00775337" w:rsidP="00775337">
            <w:pPr>
              <w:snapToGrid w:val="0"/>
              <w:spacing w:line="280" w:lineRule="exact"/>
              <w:ind w:left="210" w:hangingChars="100" w:hanging="210"/>
              <w:rPr>
                <w:color w:val="000000" w:themeColor="text1"/>
              </w:rPr>
            </w:pPr>
            <w:r>
              <w:rPr>
                <w:rFonts w:hint="eastAsia"/>
                <w:color w:val="000000" w:themeColor="text1"/>
              </w:rPr>
              <w:t>・デルファイ法</w:t>
            </w:r>
          </w:p>
          <w:p w14:paraId="15BEE5C2" w14:textId="5CB66706" w:rsidR="00EE37BE" w:rsidRDefault="00EE37BE" w:rsidP="00EE37BE">
            <w:pPr>
              <w:snapToGrid w:val="0"/>
              <w:spacing w:line="280" w:lineRule="exact"/>
              <w:ind w:left="210" w:hangingChars="100" w:hanging="210"/>
              <w:rPr>
                <w:color w:val="000000" w:themeColor="text1"/>
              </w:rPr>
            </w:pPr>
            <w:r w:rsidRPr="00EE37BE">
              <w:rPr>
                <w:rFonts w:hint="eastAsia"/>
                <w:color w:val="000000" w:themeColor="text1"/>
              </w:rPr>
              <w:t>・</w:t>
            </w:r>
            <w:r>
              <w:rPr>
                <w:rFonts w:hint="eastAsia"/>
                <w:color w:val="000000" w:themeColor="text1"/>
              </w:rPr>
              <w:t>モデリング</w:t>
            </w:r>
          </w:p>
          <w:p w14:paraId="5256EA01" w14:textId="7D03EBF8" w:rsidR="00B90622" w:rsidRDefault="00775337" w:rsidP="00951BCF">
            <w:pPr>
              <w:snapToGrid w:val="0"/>
              <w:spacing w:line="280" w:lineRule="exact"/>
              <w:ind w:left="210" w:hangingChars="100" w:hanging="210"/>
            </w:pPr>
            <w:r>
              <w:rPr>
                <w:rFonts w:hint="eastAsia"/>
                <w:color w:val="000000" w:themeColor="text1"/>
              </w:rPr>
              <w:t>・多基準分析</w:t>
            </w:r>
          </w:p>
        </w:tc>
      </w:tr>
      <w:tr w:rsidR="00B90622" w14:paraId="49B4B5C5" w14:textId="77777777" w:rsidTr="00117E04">
        <w:tc>
          <w:tcPr>
            <w:tcW w:w="2122" w:type="dxa"/>
          </w:tcPr>
          <w:p w14:paraId="013E49E1" w14:textId="7F0B3B03" w:rsidR="00B90622" w:rsidRDefault="00B90622" w:rsidP="00B90622">
            <w:pPr>
              <w:snapToGrid w:val="0"/>
              <w:spacing w:line="280" w:lineRule="exact"/>
            </w:pPr>
            <w:r>
              <w:rPr>
                <w:rFonts w:hint="eastAsia"/>
              </w:rPr>
              <w:t>評価の考え方、閾値の設定方法・設定者等</w:t>
            </w:r>
          </w:p>
        </w:tc>
        <w:tc>
          <w:tcPr>
            <w:tcW w:w="7654" w:type="dxa"/>
          </w:tcPr>
          <w:p w14:paraId="64BFF848" w14:textId="68291C11" w:rsidR="00115DBC" w:rsidRDefault="00115DBC" w:rsidP="00115DBC">
            <w:pPr>
              <w:snapToGrid w:val="0"/>
              <w:spacing w:line="280" w:lineRule="exact"/>
              <w:ind w:left="210" w:hangingChars="100" w:hanging="210"/>
              <w:rPr>
                <w:color w:val="FF0000"/>
              </w:rPr>
            </w:pPr>
            <w:r>
              <w:rPr>
                <w:rFonts w:hint="eastAsia"/>
                <w:color w:val="FF0000"/>
              </w:rPr>
              <w:t>日本語訳</w:t>
            </w:r>
            <w:r w:rsidRPr="00CA4490">
              <w:rPr>
                <w:rFonts w:hint="eastAsia"/>
                <w:color w:val="FF0000"/>
              </w:rPr>
              <w:t>chapter</w:t>
            </w:r>
            <w:r>
              <w:rPr>
                <w:rFonts w:hint="eastAsia"/>
                <w:color w:val="FF0000"/>
              </w:rPr>
              <w:t>2 P.11）</w:t>
            </w:r>
          </w:p>
          <w:p w14:paraId="1E5FDD84" w14:textId="37526784" w:rsidR="00115DBC" w:rsidRPr="00951BCF" w:rsidRDefault="00C67AD3" w:rsidP="00930A3D">
            <w:pPr>
              <w:snapToGrid w:val="0"/>
              <w:spacing w:line="280" w:lineRule="exact"/>
              <w:ind w:left="210" w:hangingChars="100" w:hanging="210"/>
            </w:pPr>
            <w:r w:rsidRPr="00951BCF">
              <w:rPr>
                <w:rFonts w:hint="eastAsia"/>
              </w:rPr>
              <w:t>・</w:t>
            </w:r>
            <w:r w:rsidR="00115DBC" w:rsidRPr="00951BCF">
              <w:rPr>
                <w:rFonts w:hint="eastAsia"/>
              </w:rPr>
              <w:t>スコーピングでは、</w:t>
            </w:r>
            <w:r w:rsidRPr="00951BCF">
              <w:rPr>
                <w:rFonts w:hint="eastAsia"/>
              </w:rPr>
              <w:t>事業</w:t>
            </w:r>
            <w:r w:rsidR="00115DBC" w:rsidRPr="00951BCF">
              <w:rPr>
                <w:rFonts w:hint="eastAsia"/>
              </w:rPr>
              <w:t>の環境・社会面での重大な影響の可能性を評価するため、又はモニタリングのために変化許容限度</w:t>
            </w:r>
            <w:r w:rsidR="00115DBC" w:rsidRPr="00951BCF">
              <w:t xml:space="preserve"> (Limits of Acceptable Change: </w:t>
            </w:r>
            <w:r w:rsidR="00115DBC" w:rsidRPr="00951BCF">
              <w:rPr>
                <w:rFonts w:hint="eastAsia"/>
              </w:rPr>
              <w:t>LAC)や閾値を決定すべきである。SEAの重要な原則は、環境または社会の質の水準に関する基準を設定し、どのような変化を許容できると考えるかを特定することである。LACは、既存の国際基準や国内基準、法律、ガイドライン、管理計画や環境の質に関する目標、環境状態（SoE）報告書など、さまざまな情報源から得ることができる。適切なLACがない場合、利害関係者の参加、専門家からのインプット、および状況アセス</w:t>
            </w:r>
            <w:r w:rsidR="00115DBC" w:rsidRPr="00951BCF">
              <w:t xml:space="preserve"> </w:t>
            </w:r>
            <w:r w:rsidR="00115DBC" w:rsidRPr="00951BCF">
              <w:rPr>
                <w:rFonts w:hint="eastAsia"/>
              </w:rPr>
              <w:t>メントの結果を通じて、SEA作成することができる。LACと閾値は、その後の詳細アセスメントの段階で特定または明確化されることもある。</w:t>
            </w:r>
          </w:p>
          <w:p w14:paraId="1527DD8B" w14:textId="77777777" w:rsidR="00AB0D60" w:rsidRDefault="00AB0D60" w:rsidP="00930A3D">
            <w:pPr>
              <w:snapToGrid w:val="0"/>
              <w:spacing w:line="280" w:lineRule="exact"/>
              <w:ind w:left="210" w:hangingChars="100" w:hanging="210"/>
              <w:rPr>
                <w:color w:val="FF0000"/>
              </w:rPr>
            </w:pPr>
          </w:p>
          <w:p w14:paraId="4AE4B6BA" w14:textId="7DF75940" w:rsidR="00930A3D" w:rsidRDefault="00930A3D" w:rsidP="00930A3D">
            <w:pPr>
              <w:snapToGrid w:val="0"/>
              <w:spacing w:line="280" w:lineRule="exact"/>
              <w:ind w:left="210" w:hangingChars="100" w:hanging="210"/>
              <w:rPr>
                <w:color w:val="FF0000"/>
              </w:rPr>
            </w:pPr>
            <w:r>
              <w:rPr>
                <w:rFonts w:hint="eastAsia"/>
                <w:color w:val="FF0000"/>
              </w:rPr>
              <w:t>（原文</w:t>
            </w:r>
            <w:r w:rsidRPr="00CA4490">
              <w:rPr>
                <w:rFonts w:hint="eastAsia"/>
                <w:color w:val="FF0000"/>
              </w:rPr>
              <w:t>chapter</w:t>
            </w:r>
            <w:r>
              <w:rPr>
                <w:rFonts w:hint="eastAsia"/>
                <w:color w:val="FF0000"/>
              </w:rPr>
              <w:t>2 P.24～、日本語訳</w:t>
            </w:r>
            <w:r w:rsidRPr="00CA4490">
              <w:rPr>
                <w:rFonts w:hint="eastAsia"/>
                <w:color w:val="FF0000"/>
              </w:rPr>
              <w:t>chapter</w:t>
            </w:r>
            <w:r>
              <w:rPr>
                <w:rFonts w:hint="eastAsia"/>
                <w:color w:val="FF0000"/>
              </w:rPr>
              <w:t>2 P.24～）</w:t>
            </w:r>
          </w:p>
          <w:p w14:paraId="4DA4E367" w14:textId="6C30800B" w:rsidR="00B90622" w:rsidRDefault="000E334A" w:rsidP="00951BCF">
            <w:pPr>
              <w:snapToGrid w:val="0"/>
              <w:spacing w:line="280" w:lineRule="exact"/>
              <w:ind w:left="210" w:hangingChars="100" w:hanging="210"/>
              <w:jc w:val="left"/>
            </w:pPr>
            <w:r>
              <w:rPr>
                <w:rFonts w:hint="eastAsia"/>
              </w:rPr>
              <w:t>・</w:t>
            </w:r>
            <w:r w:rsidR="00FA1F06" w:rsidRPr="00FA1F06">
              <w:rPr>
                <w:rFonts w:hint="eastAsia"/>
              </w:rPr>
              <w:t>影響の</w:t>
            </w:r>
            <w:r w:rsidR="00272400">
              <w:rPr>
                <w:rFonts w:hint="eastAsia"/>
              </w:rPr>
              <w:t>大きさ</w:t>
            </w:r>
            <w:r w:rsidR="00FA1F06" w:rsidRPr="00FA1F06">
              <w:rPr>
                <w:rFonts w:hint="eastAsia"/>
              </w:rPr>
              <w:t>の概念は、影響の予測、評価及び意思決定の核心をなすものである</w:t>
            </w:r>
            <w:r w:rsidR="00FA1F06">
              <w:rPr>
                <w:rFonts w:hint="eastAsia"/>
              </w:rPr>
              <w:t>。</w:t>
            </w:r>
            <w:r w:rsidR="00930A3D">
              <w:rPr>
                <w:rFonts w:hint="eastAsia"/>
              </w:rPr>
              <w:t>PPPが環境や社会に重大な影響を及ぼす可能性があるかどうかを判断することは、EIAの実務の中心である。同様に、SEAにおいても、影響、ト</w:t>
            </w:r>
            <w:r w:rsidR="00930A3D">
              <w:rPr>
                <w:rFonts w:hint="eastAsia"/>
              </w:rPr>
              <w:lastRenderedPageBreak/>
              <w:t>レードオフ、選択肢や代替案を</w:t>
            </w:r>
            <w:r w:rsidR="00272400">
              <w:rPr>
                <w:rFonts w:hint="eastAsia"/>
              </w:rPr>
              <w:t>影響の大きさ</w:t>
            </w:r>
            <w:r w:rsidR="00930A3D">
              <w:rPr>
                <w:rFonts w:hint="eastAsia"/>
              </w:rPr>
              <w:t>の観点から評価し、最適な選択肢を決定し、受け入れがたい選択肢を排除する必要がある。</w:t>
            </w:r>
            <w:r w:rsidR="00272400">
              <w:rPr>
                <w:rFonts w:hint="eastAsia"/>
              </w:rPr>
              <w:t>影響の大きさ</w:t>
            </w:r>
            <w:r w:rsidR="00930A3D">
              <w:rPr>
                <w:rFonts w:hint="eastAsia"/>
              </w:rPr>
              <w:t>を決定するための唯一最良の方法はない。格付け、順位付け、重み付け、尺度化を用いる方法が</w:t>
            </w:r>
            <w:r w:rsidR="00EC2BCC">
              <w:rPr>
                <w:rFonts w:hint="eastAsia"/>
              </w:rPr>
              <w:t>あ</w:t>
            </w:r>
            <w:r w:rsidR="00930A3D">
              <w:rPr>
                <w:rFonts w:hint="eastAsia"/>
              </w:rPr>
              <w:t>る。将来のシナリオ構築とバックキャスティングの方法論は、特定のセクターにおける</w:t>
            </w:r>
            <w:r w:rsidR="00272400">
              <w:rPr>
                <w:rFonts w:hint="eastAsia"/>
              </w:rPr>
              <w:t>影響の大きさ</w:t>
            </w:r>
            <w:r w:rsidR="00930A3D">
              <w:rPr>
                <w:rFonts w:hint="eastAsia"/>
              </w:rPr>
              <w:t>を決定するために使用することができる。</w:t>
            </w:r>
          </w:p>
        </w:tc>
      </w:tr>
      <w:tr w:rsidR="00B90622" w14:paraId="11B63C26" w14:textId="77777777" w:rsidTr="00117E04">
        <w:tc>
          <w:tcPr>
            <w:tcW w:w="2122" w:type="dxa"/>
          </w:tcPr>
          <w:p w14:paraId="47DCE21B" w14:textId="1580DED9" w:rsidR="00B90622" w:rsidRDefault="00B90622" w:rsidP="00B90622">
            <w:pPr>
              <w:snapToGrid w:val="0"/>
              <w:spacing w:line="280" w:lineRule="exact"/>
            </w:pPr>
            <w:r>
              <w:rPr>
                <w:rFonts w:hint="eastAsia"/>
              </w:rPr>
              <w:lastRenderedPageBreak/>
              <w:t>ミティゲーションの責務（誰が責任を負うか）</w:t>
            </w:r>
          </w:p>
        </w:tc>
        <w:tc>
          <w:tcPr>
            <w:tcW w:w="7654" w:type="dxa"/>
          </w:tcPr>
          <w:p w14:paraId="2865A279" w14:textId="1BAD2946" w:rsidR="003938F0" w:rsidRDefault="001C573A" w:rsidP="00951BCF">
            <w:pPr>
              <w:snapToGrid w:val="0"/>
              <w:spacing w:line="280" w:lineRule="exact"/>
              <w:ind w:left="210" w:hangingChars="100" w:hanging="210"/>
              <w:rPr>
                <w:color w:val="FF0000"/>
              </w:rPr>
            </w:pPr>
            <w:r>
              <w:rPr>
                <w:rFonts w:hint="eastAsia"/>
                <w:color w:val="FF0000"/>
              </w:rPr>
              <w:t>（</w:t>
            </w:r>
            <w:r w:rsidR="00956F5D">
              <w:rPr>
                <w:rFonts w:hint="eastAsia"/>
                <w:color w:val="FF0000"/>
              </w:rPr>
              <w:t>原文</w:t>
            </w:r>
            <w:r w:rsidR="00956F5D" w:rsidRPr="00CA4490">
              <w:rPr>
                <w:rFonts w:hint="eastAsia"/>
                <w:color w:val="FF0000"/>
              </w:rPr>
              <w:t>chapter1</w:t>
            </w:r>
            <w:r w:rsidR="00956F5D">
              <w:rPr>
                <w:rFonts w:hint="eastAsia"/>
                <w:color w:val="FF0000"/>
              </w:rPr>
              <w:t xml:space="preserve"> P.6～、日本語訳</w:t>
            </w:r>
            <w:r w:rsidR="00956F5D" w:rsidRPr="00CA4490">
              <w:rPr>
                <w:rFonts w:hint="eastAsia"/>
                <w:color w:val="FF0000"/>
              </w:rPr>
              <w:t>chapter1</w:t>
            </w:r>
            <w:r w:rsidR="00956F5D">
              <w:rPr>
                <w:rFonts w:hint="eastAsia"/>
                <w:color w:val="FF0000"/>
              </w:rPr>
              <w:t xml:space="preserve"> </w:t>
            </w:r>
            <w:r>
              <w:rPr>
                <w:rFonts w:hint="eastAsia"/>
                <w:color w:val="FF0000"/>
              </w:rPr>
              <w:t>P.9～）</w:t>
            </w:r>
          </w:p>
          <w:p w14:paraId="7FDB0E08" w14:textId="57F0BE6F" w:rsidR="00B90622" w:rsidRPr="001C573A" w:rsidRDefault="003938F0" w:rsidP="00C67AD3">
            <w:pPr>
              <w:snapToGrid w:val="0"/>
              <w:spacing w:line="280" w:lineRule="exact"/>
              <w:jc w:val="left"/>
            </w:pPr>
            <w:r w:rsidRPr="003938F0">
              <w:t>プロジェクトレベルで影響を管理・緩和し、それらを閾値以下に保つことは、個々のプロジェクト開発者の責任である（適切な規制プロセスを通じて</w:t>
            </w:r>
            <w:r w:rsidR="002626F7">
              <w:rPr>
                <w:rFonts w:hint="eastAsia"/>
              </w:rPr>
              <w:t>モニタリング</w:t>
            </w:r>
            <w:r w:rsidRPr="003938F0">
              <w:t>されるべきである）。プロジェクトレベルを超えた累積的影響の管理には、複数の関係者間の協力的な行動と、責任ある機関または規制当局による調整が必要である。</w:t>
            </w:r>
          </w:p>
        </w:tc>
      </w:tr>
      <w:tr w:rsidR="00B90622" w14:paraId="2BE4C036" w14:textId="77777777" w:rsidTr="00117E04">
        <w:tc>
          <w:tcPr>
            <w:tcW w:w="2122" w:type="dxa"/>
          </w:tcPr>
          <w:p w14:paraId="722B4D91" w14:textId="4845866F" w:rsidR="00B90622" w:rsidRPr="00117E04" w:rsidRDefault="00B90622" w:rsidP="00B90622">
            <w:pPr>
              <w:snapToGrid w:val="0"/>
              <w:spacing w:line="280" w:lineRule="exact"/>
            </w:pPr>
            <w:r>
              <w:rPr>
                <w:rFonts w:hint="eastAsia"/>
              </w:rPr>
              <w:t>モニタリングの責務、範囲</w:t>
            </w:r>
          </w:p>
        </w:tc>
        <w:tc>
          <w:tcPr>
            <w:tcW w:w="7654" w:type="dxa"/>
          </w:tcPr>
          <w:p w14:paraId="27A5BA53" w14:textId="6FEB0962" w:rsidR="001C25E0" w:rsidRDefault="001C25E0" w:rsidP="001C25E0">
            <w:pPr>
              <w:snapToGrid w:val="0"/>
              <w:spacing w:line="280" w:lineRule="exact"/>
              <w:ind w:left="210" w:hangingChars="100" w:hanging="210"/>
              <w:rPr>
                <w:color w:val="FF0000"/>
              </w:rPr>
            </w:pPr>
            <w:r>
              <w:rPr>
                <w:rFonts w:hint="eastAsia"/>
                <w:color w:val="FF0000"/>
              </w:rPr>
              <w:t>（原文</w:t>
            </w:r>
            <w:r w:rsidRPr="00CA4490">
              <w:rPr>
                <w:rFonts w:hint="eastAsia"/>
                <w:color w:val="FF0000"/>
              </w:rPr>
              <w:t>chapter</w:t>
            </w:r>
            <w:r>
              <w:rPr>
                <w:rFonts w:hint="eastAsia"/>
                <w:color w:val="FF0000"/>
              </w:rPr>
              <w:t>2 P.39～、日本語訳</w:t>
            </w:r>
            <w:r w:rsidRPr="00CA4490">
              <w:rPr>
                <w:rFonts w:hint="eastAsia"/>
                <w:color w:val="FF0000"/>
              </w:rPr>
              <w:t>chapter</w:t>
            </w:r>
            <w:r>
              <w:rPr>
                <w:rFonts w:hint="eastAsia"/>
                <w:color w:val="FF0000"/>
              </w:rPr>
              <w:t>2 P.45～）</w:t>
            </w:r>
          </w:p>
          <w:p w14:paraId="024BAAD1" w14:textId="47E637BB" w:rsidR="00B90622" w:rsidRPr="001C25E0" w:rsidRDefault="001C25E0" w:rsidP="00951BCF">
            <w:pPr>
              <w:snapToGrid w:val="0"/>
              <w:spacing w:line="280" w:lineRule="exact"/>
              <w:ind w:leftChars="20" w:left="42"/>
            </w:pPr>
            <w:r w:rsidRPr="001C25E0">
              <w:rPr>
                <w:rFonts w:hAnsi="ＭＳ 明朝" w:cs="ＭＳ 明朝" w:hint="eastAsia"/>
                <w:szCs w:val="21"/>
              </w:rPr>
              <w:t>累積的影響のモニタリングの方法と指標はケースバイケースで開発する必要がある。</w:t>
            </w:r>
          </w:p>
        </w:tc>
      </w:tr>
      <w:tr w:rsidR="00B90622" w14:paraId="7C86B46F" w14:textId="77777777" w:rsidTr="00117E04">
        <w:tc>
          <w:tcPr>
            <w:tcW w:w="2122" w:type="dxa"/>
          </w:tcPr>
          <w:p w14:paraId="533E4003" w14:textId="270F74E6" w:rsidR="00B90622" w:rsidRDefault="00B90622" w:rsidP="00B90622">
            <w:pPr>
              <w:snapToGrid w:val="0"/>
              <w:spacing w:line="280" w:lineRule="exact"/>
            </w:pPr>
            <w:r>
              <w:rPr>
                <w:rFonts w:hint="eastAsia"/>
              </w:rPr>
              <w:t>累積的影響評価における住民参加</w:t>
            </w:r>
          </w:p>
        </w:tc>
        <w:tc>
          <w:tcPr>
            <w:tcW w:w="7654" w:type="dxa"/>
          </w:tcPr>
          <w:p w14:paraId="02A47495" w14:textId="193F5CB0" w:rsidR="00C13E46" w:rsidRDefault="00C13E46" w:rsidP="00C13E46">
            <w:pPr>
              <w:snapToGrid w:val="0"/>
              <w:spacing w:line="280" w:lineRule="exact"/>
              <w:ind w:left="210" w:hangingChars="100" w:hanging="210"/>
              <w:rPr>
                <w:color w:val="FF0000"/>
              </w:rPr>
            </w:pPr>
            <w:r>
              <w:rPr>
                <w:rFonts w:hint="eastAsia"/>
                <w:color w:val="FF0000"/>
              </w:rPr>
              <w:t>（原文</w:t>
            </w:r>
            <w:r w:rsidRPr="00CA4490">
              <w:rPr>
                <w:rFonts w:hint="eastAsia"/>
                <w:color w:val="FF0000"/>
              </w:rPr>
              <w:t>chapter</w:t>
            </w:r>
            <w:r w:rsidR="00F16E4E">
              <w:rPr>
                <w:rFonts w:hint="eastAsia"/>
                <w:color w:val="FF0000"/>
              </w:rPr>
              <w:t>2</w:t>
            </w:r>
            <w:r>
              <w:rPr>
                <w:rFonts w:hint="eastAsia"/>
                <w:color w:val="FF0000"/>
              </w:rPr>
              <w:t xml:space="preserve"> P.</w:t>
            </w:r>
            <w:r w:rsidR="00F16E4E">
              <w:rPr>
                <w:rFonts w:hint="eastAsia"/>
                <w:color w:val="FF0000"/>
              </w:rPr>
              <w:t>28</w:t>
            </w:r>
            <w:r>
              <w:rPr>
                <w:rFonts w:hint="eastAsia"/>
                <w:color w:val="FF0000"/>
              </w:rPr>
              <w:t>～、日本語訳</w:t>
            </w:r>
            <w:r w:rsidRPr="00CA4490">
              <w:rPr>
                <w:rFonts w:hint="eastAsia"/>
                <w:color w:val="FF0000"/>
              </w:rPr>
              <w:t>chapter</w:t>
            </w:r>
            <w:r w:rsidR="00F16E4E">
              <w:rPr>
                <w:rFonts w:hint="eastAsia"/>
                <w:color w:val="FF0000"/>
              </w:rPr>
              <w:t>2</w:t>
            </w:r>
            <w:r>
              <w:rPr>
                <w:rFonts w:hint="eastAsia"/>
                <w:color w:val="FF0000"/>
              </w:rPr>
              <w:t xml:space="preserve"> P.</w:t>
            </w:r>
            <w:r w:rsidR="00F16E4E">
              <w:rPr>
                <w:rFonts w:hint="eastAsia"/>
                <w:color w:val="FF0000"/>
              </w:rPr>
              <w:t>30</w:t>
            </w:r>
            <w:r>
              <w:rPr>
                <w:rFonts w:hint="eastAsia"/>
                <w:color w:val="FF0000"/>
              </w:rPr>
              <w:t>～）</w:t>
            </w:r>
          </w:p>
          <w:p w14:paraId="162AA19D" w14:textId="1D441139" w:rsidR="00C13E46" w:rsidRDefault="00C67AD3" w:rsidP="00951BCF">
            <w:pPr>
              <w:snapToGrid w:val="0"/>
              <w:spacing w:line="280" w:lineRule="exact"/>
              <w:ind w:left="210" w:hangingChars="100" w:hanging="210"/>
            </w:pPr>
            <w:r>
              <w:rPr>
                <w:rFonts w:hint="eastAsia"/>
              </w:rPr>
              <w:t>・特に非専門家や主要な現地の</w:t>
            </w:r>
            <w:r w:rsidR="00F16E4E">
              <w:rPr>
                <w:rFonts w:hint="eastAsia"/>
              </w:rPr>
              <w:t>ステークホルダーや一般市民がSEA報告書にアクセスできるよう、あらゆる努力を払うべきである。SEA報告書の効果的な情報開示のために、ソーシャルメディアの利用がますます重要になってきている。</w:t>
            </w:r>
          </w:p>
        </w:tc>
      </w:tr>
      <w:tr w:rsidR="00B90622" w14:paraId="2556573E" w14:textId="77777777" w:rsidTr="00117E04">
        <w:tc>
          <w:tcPr>
            <w:tcW w:w="2122" w:type="dxa"/>
          </w:tcPr>
          <w:p w14:paraId="2EBAD001" w14:textId="3BFB765B" w:rsidR="00B90622" w:rsidRDefault="00B90622" w:rsidP="00B90622">
            <w:pPr>
              <w:snapToGrid w:val="0"/>
              <w:spacing w:line="280" w:lineRule="exact"/>
            </w:pPr>
            <w:r>
              <w:rPr>
                <w:rFonts w:hint="eastAsia"/>
              </w:rPr>
              <w:t>データベース等支援システムの有無</w:t>
            </w:r>
          </w:p>
        </w:tc>
        <w:tc>
          <w:tcPr>
            <w:tcW w:w="7654" w:type="dxa"/>
          </w:tcPr>
          <w:p w14:paraId="4FCA777A" w14:textId="0425CE6E" w:rsidR="00B90622" w:rsidRPr="009C325B" w:rsidRDefault="009C325B" w:rsidP="009C325B">
            <w:pPr>
              <w:snapToGrid w:val="0"/>
              <w:spacing w:line="280" w:lineRule="exact"/>
              <w:jc w:val="left"/>
            </w:pPr>
            <w:r>
              <w:rPr>
                <w:rFonts w:hint="eastAsia"/>
              </w:rPr>
              <w:t>特段記載なし</w:t>
            </w:r>
          </w:p>
        </w:tc>
      </w:tr>
      <w:tr w:rsidR="00B90622" w14:paraId="263836C4" w14:textId="77777777" w:rsidTr="00117E04">
        <w:tc>
          <w:tcPr>
            <w:tcW w:w="2122" w:type="dxa"/>
          </w:tcPr>
          <w:p w14:paraId="749BDFBF" w14:textId="7BF746C9" w:rsidR="00B90622" w:rsidRDefault="00B90622" w:rsidP="00B90622">
            <w:pPr>
              <w:snapToGrid w:val="0"/>
              <w:spacing w:line="280" w:lineRule="exact"/>
            </w:pPr>
            <w:r w:rsidRPr="00117E04">
              <w:rPr>
                <w:rFonts w:hint="eastAsia"/>
              </w:rPr>
              <w:t>推奨されている優良事例とそのポイント</w:t>
            </w:r>
          </w:p>
        </w:tc>
        <w:tc>
          <w:tcPr>
            <w:tcW w:w="7654" w:type="dxa"/>
          </w:tcPr>
          <w:p w14:paraId="1B217225" w14:textId="660AA9AA" w:rsidR="005E70AA" w:rsidRDefault="005E70AA" w:rsidP="00B90622">
            <w:pPr>
              <w:snapToGrid w:val="0"/>
              <w:spacing w:line="280" w:lineRule="exact"/>
              <w:rPr>
                <w:color w:val="FF0000"/>
              </w:rPr>
            </w:pPr>
            <w:r w:rsidRPr="005E70AA">
              <w:rPr>
                <w:rFonts w:hint="eastAsia"/>
                <w:color w:val="FF0000"/>
              </w:rPr>
              <w:t>（付録18）</w:t>
            </w:r>
          </w:p>
          <w:p w14:paraId="002B7246" w14:textId="17A628E7" w:rsidR="005E70AA" w:rsidRDefault="005E70AA" w:rsidP="00B90622">
            <w:pPr>
              <w:snapToGrid w:val="0"/>
              <w:spacing w:line="280" w:lineRule="exact"/>
            </w:pPr>
            <w:r w:rsidRPr="005E70AA">
              <w:rPr>
                <w:rFonts w:hint="eastAsia"/>
              </w:rPr>
              <w:t>・ボツワナ、チョベ森林保護区の感度マッピング</w:t>
            </w:r>
          </w:p>
          <w:p w14:paraId="181E948B" w14:textId="51D8DAE9" w:rsidR="005E70AA" w:rsidRDefault="009F405E" w:rsidP="009F405E">
            <w:pPr>
              <w:snapToGrid w:val="0"/>
              <w:spacing w:line="280" w:lineRule="exact"/>
              <w:ind w:firstLineChars="100" w:firstLine="210"/>
            </w:pPr>
            <w:r w:rsidRPr="009F405E">
              <w:t>SWOT分析</w:t>
            </w:r>
            <w:r>
              <w:rPr>
                <w:rFonts w:hint="eastAsia"/>
              </w:rPr>
              <w:t>によって</w:t>
            </w:r>
            <w:r w:rsidRPr="009F405E">
              <w:t>、ボツワナのチョベ森林保護区に関する戦略的環境アセスメント（SEA）を主な累積的影響と機会に焦点を当てた。各累積的影響は、領域（社会的、経済的、生物物理的）、規模、および時間のレジリエンスフレームワーク内に位置づけられた。これにより、累積的影響が全体的な景観内のどこに存在し、何が影響を</w:t>
            </w:r>
            <w:r w:rsidR="00E0775B">
              <w:rPr>
                <w:rFonts w:hint="eastAsia"/>
              </w:rPr>
              <w:t>与えて</w:t>
            </w:r>
            <w:r w:rsidRPr="009F405E">
              <w:t>いるかを理解することができた。</w:t>
            </w:r>
          </w:p>
          <w:p w14:paraId="653D799B" w14:textId="77777777" w:rsidR="00B27783" w:rsidRDefault="00B27783" w:rsidP="009C325B">
            <w:pPr>
              <w:snapToGrid w:val="0"/>
              <w:spacing w:line="280" w:lineRule="exact"/>
            </w:pPr>
          </w:p>
          <w:p w14:paraId="004BA083" w14:textId="0D2E4945" w:rsidR="009C325B" w:rsidRPr="00951BCF" w:rsidRDefault="009C325B" w:rsidP="00951BCF">
            <w:pPr>
              <w:snapToGrid w:val="0"/>
              <w:spacing w:line="280" w:lineRule="exact"/>
              <w:rPr>
                <w:color w:val="FF0000"/>
              </w:rPr>
            </w:pPr>
            <w:r w:rsidRPr="00951BCF">
              <w:rPr>
                <w:rFonts w:hint="eastAsia"/>
                <w:color w:val="FF0000"/>
              </w:rPr>
              <w:t>（</w:t>
            </w:r>
            <w:r w:rsidRPr="00951BCF">
              <w:rPr>
                <w:color w:val="FF0000"/>
              </w:rPr>
              <w:t xml:space="preserve">chapter1 </w:t>
            </w:r>
            <w:r w:rsidRPr="00951BCF">
              <w:rPr>
                <w:rFonts w:hint="eastAsia"/>
                <w:color w:val="FF0000"/>
              </w:rPr>
              <w:t>コラム）</w:t>
            </w:r>
          </w:p>
          <w:p w14:paraId="201C6BF6" w14:textId="08A8C375" w:rsidR="00B27783" w:rsidRDefault="00B27783" w:rsidP="00B27783">
            <w:pPr>
              <w:snapToGrid w:val="0"/>
              <w:spacing w:line="280" w:lineRule="exact"/>
            </w:pPr>
            <w:r>
              <w:rPr>
                <w:rFonts w:hint="eastAsia"/>
              </w:rPr>
              <w:t>・ナミビアにおける土地利用計画と統合的なSEA</w:t>
            </w:r>
          </w:p>
          <w:p w14:paraId="5DEEC25D" w14:textId="454FB3DF" w:rsidR="00B27783" w:rsidRDefault="00B27783" w:rsidP="009C325B">
            <w:pPr>
              <w:snapToGrid w:val="0"/>
              <w:spacing w:line="280" w:lineRule="exact"/>
            </w:pPr>
            <w:r>
              <w:rPr>
                <w:rFonts w:hint="eastAsia"/>
              </w:rPr>
              <w:t>5つ地域の統合農村土地利用計画（IRLUP）</w:t>
            </w:r>
            <w:r w:rsidR="009C325B">
              <w:rPr>
                <w:rFonts w:hint="eastAsia"/>
              </w:rPr>
              <w:t>の策定</w:t>
            </w:r>
            <w:r>
              <w:rPr>
                <w:rFonts w:hint="eastAsia"/>
              </w:rPr>
              <w:t>と</w:t>
            </w:r>
            <w:r w:rsidR="009C325B">
              <w:rPr>
                <w:rFonts w:hint="eastAsia"/>
              </w:rPr>
              <w:t>連携</w:t>
            </w:r>
            <w:r>
              <w:rPr>
                <w:rFonts w:hint="eastAsia"/>
              </w:rPr>
              <w:t>して</w:t>
            </w:r>
            <w:r w:rsidR="009C325B">
              <w:rPr>
                <w:rFonts w:hint="eastAsia"/>
              </w:rPr>
              <w:t>SEAが実施された。</w:t>
            </w:r>
            <w:r>
              <w:rPr>
                <w:rFonts w:hint="eastAsia"/>
              </w:rPr>
              <w:t>チームとクライアント（国土開発・住民移転省）が参加する合同会議によって、適切な調整を図ることができ、以下の</w:t>
            </w:r>
            <w:r w:rsidR="009C325B">
              <w:rPr>
                <w:rFonts w:hint="eastAsia"/>
              </w:rPr>
              <w:t>取組を共同で実施した</w:t>
            </w:r>
            <w:r>
              <w:rPr>
                <w:rFonts w:hint="eastAsia"/>
              </w:rPr>
              <w:t>：</w:t>
            </w:r>
          </w:p>
          <w:p w14:paraId="2BA350D0" w14:textId="72C289D1" w:rsidR="00B27783" w:rsidRDefault="00B27783" w:rsidP="00B27783">
            <w:pPr>
              <w:snapToGrid w:val="0"/>
              <w:spacing w:line="280" w:lineRule="exact"/>
            </w:pPr>
            <w:r>
              <w:rPr>
                <w:rFonts w:hint="eastAsia"/>
              </w:rPr>
              <w:t>•</w:t>
            </w:r>
            <w:r>
              <w:rPr>
                <w:rFonts w:hint="eastAsia"/>
              </w:rPr>
              <w:tab/>
              <w:t>農村コミュニティとのコンサルテーション；</w:t>
            </w:r>
          </w:p>
          <w:p w14:paraId="33600C09" w14:textId="6055E5FA" w:rsidR="00B27783" w:rsidRDefault="00B27783" w:rsidP="00B27783">
            <w:pPr>
              <w:snapToGrid w:val="0"/>
              <w:spacing w:line="280" w:lineRule="exact"/>
            </w:pPr>
            <w:r>
              <w:rPr>
                <w:rFonts w:hint="eastAsia"/>
              </w:rPr>
              <w:t>•</w:t>
            </w:r>
            <w:r>
              <w:rPr>
                <w:rFonts w:hint="eastAsia"/>
              </w:rPr>
              <w:tab/>
              <w:t>政府機関や民間団体とのグループ・ミーティング；</w:t>
            </w:r>
          </w:p>
          <w:p w14:paraId="06BA9242" w14:textId="77777777" w:rsidR="00B27783" w:rsidRDefault="00B27783" w:rsidP="00B27783">
            <w:pPr>
              <w:snapToGrid w:val="0"/>
              <w:spacing w:line="280" w:lineRule="exact"/>
            </w:pPr>
            <w:r>
              <w:rPr>
                <w:rFonts w:hint="eastAsia"/>
              </w:rPr>
              <w:t>•</w:t>
            </w:r>
            <w:r>
              <w:rPr>
                <w:rFonts w:hint="eastAsia"/>
              </w:rPr>
              <w:tab/>
              <w:t>ベースライン・データの収集と共有</w:t>
            </w:r>
          </w:p>
          <w:p w14:paraId="1AE38A2A" w14:textId="396D0284" w:rsidR="00E0775B" w:rsidRDefault="00B27783" w:rsidP="009C325B">
            <w:pPr>
              <w:snapToGrid w:val="0"/>
              <w:spacing w:line="280" w:lineRule="exact"/>
            </w:pPr>
            <w:r>
              <w:rPr>
                <w:rFonts w:hint="eastAsia"/>
              </w:rPr>
              <w:t>•</w:t>
            </w:r>
            <w:r>
              <w:rPr>
                <w:rFonts w:hint="eastAsia"/>
              </w:rPr>
              <w:tab/>
              <w:t>GIS出力</w:t>
            </w:r>
          </w:p>
        </w:tc>
      </w:tr>
      <w:tr w:rsidR="00B90622" w14:paraId="7034AC13" w14:textId="77777777" w:rsidTr="00117E04">
        <w:tc>
          <w:tcPr>
            <w:tcW w:w="2122" w:type="dxa"/>
          </w:tcPr>
          <w:p w14:paraId="077A78D6" w14:textId="4FB2D2D7" w:rsidR="00B90622" w:rsidRDefault="00B90622" w:rsidP="00B90622">
            <w:pPr>
              <w:snapToGrid w:val="0"/>
              <w:spacing w:line="280" w:lineRule="exact"/>
            </w:pPr>
            <w:r>
              <w:rPr>
                <w:rFonts w:hint="eastAsia"/>
              </w:rPr>
              <w:t>累積的影響評価を実施する上での課題等</w:t>
            </w:r>
          </w:p>
        </w:tc>
        <w:tc>
          <w:tcPr>
            <w:tcW w:w="7654" w:type="dxa"/>
          </w:tcPr>
          <w:p w14:paraId="1E891948" w14:textId="5B476013" w:rsidR="006E3C9F" w:rsidRDefault="006E3C9F" w:rsidP="006E3C9F">
            <w:pPr>
              <w:snapToGrid w:val="0"/>
              <w:spacing w:line="280" w:lineRule="exact"/>
              <w:ind w:left="210" w:hangingChars="100" w:hanging="210"/>
              <w:rPr>
                <w:color w:val="FF0000"/>
              </w:rPr>
            </w:pPr>
            <w:r>
              <w:rPr>
                <w:rFonts w:hint="eastAsia"/>
                <w:color w:val="FF0000"/>
              </w:rPr>
              <w:t>（原文(</w:t>
            </w:r>
            <w:r w:rsidRPr="00CA4490">
              <w:rPr>
                <w:rFonts w:hint="eastAsia"/>
                <w:color w:val="FF0000"/>
              </w:rPr>
              <w:t>chapter</w:t>
            </w:r>
            <w:r>
              <w:rPr>
                <w:rFonts w:hint="eastAsia"/>
                <w:color w:val="FF0000"/>
              </w:rPr>
              <w:t>4) P.</w:t>
            </w:r>
            <w:r w:rsidR="00D901C7">
              <w:rPr>
                <w:rFonts w:hint="eastAsia"/>
                <w:color w:val="FF0000"/>
              </w:rPr>
              <w:t>20</w:t>
            </w:r>
            <w:r>
              <w:rPr>
                <w:rFonts w:hint="eastAsia"/>
                <w:color w:val="FF0000"/>
              </w:rPr>
              <w:t>～、日本語訳(</w:t>
            </w:r>
            <w:r w:rsidRPr="00CA4490">
              <w:rPr>
                <w:rFonts w:hint="eastAsia"/>
                <w:color w:val="FF0000"/>
              </w:rPr>
              <w:t>chapter</w:t>
            </w:r>
            <w:r>
              <w:rPr>
                <w:rFonts w:hint="eastAsia"/>
                <w:color w:val="FF0000"/>
              </w:rPr>
              <w:t>4) P.</w:t>
            </w:r>
            <w:r w:rsidR="00D901C7">
              <w:rPr>
                <w:rFonts w:hint="eastAsia"/>
                <w:color w:val="FF0000"/>
              </w:rPr>
              <w:t>32</w:t>
            </w:r>
            <w:r>
              <w:rPr>
                <w:rFonts w:hint="eastAsia"/>
                <w:color w:val="FF0000"/>
              </w:rPr>
              <w:t>～）</w:t>
            </w:r>
          </w:p>
          <w:p w14:paraId="007A55A8" w14:textId="657D27C2" w:rsidR="00D901C7" w:rsidRDefault="00D901C7" w:rsidP="00B90622">
            <w:pPr>
              <w:snapToGrid w:val="0"/>
              <w:spacing w:line="280" w:lineRule="exact"/>
            </w:pPr>
            <w:r>
              <w:rPr>
                <w:rFonts w:hint="eastAsia"/>
              </w:rPr>
              <w:t>（SEAや</w:t>
            </w:r>
            <w:r>
              <w:t>戦略的環境・社会マネジメント計画（SESMP）</w:t>
            </w:r>
            <w:r>
              <w:rPr>
                <w:rFonts w:hint="eastAsia"/>
              </w:rPr>
              <w:t>）の実施にあたり、</w:t>
            </w:r>
            <w:r>
              <w:t>組織の権限や管轄が明確でないために、対立や"縄張り争い"が起こることもある。これは、法律や規制が不明確であったり、重複していたりすることが原因である。</w:t>
            </w:r>
          </w:p>
        </w:tc>
      </w:tr>
      <w:tr w:rsidR="00B90622" w14:paraId="0370DAE4" w14:textId="77777777" w:rsidTr="00117E04">
        <w:tc>
          <w:tcPr>
            <w:tcW w:w="2122" w:type="dxa"/>
          </w:tcPr>
          <w:p w14:paraId="76E0BB69" w14:textId="77777777" w:rsidR="00B90622" w:rsidRDefault="00B90622" w:rsidP="00B90622">
            <w:pPr>
              <w:snapToGrid w:val="0"/>
              <w:spacing w:line="280" w:lineRule="exact"/>
            </w:pPr>
            <w:r>
              <w:rPr>
                <w:rFonts w:hint="eastAsia"/>
              </w:rPr>
              <w:t>その他特記事項</w:t>
            </w:r>
          </w:p>
          <w:p w14:paraId="5599B7F2" w14:textId="6D092445" w:rsidR="00B90622" w:rsidRDefault="00B90622" w:rsidP="00B90622">
            <w:pPr>
              <w:snapToGrid w:val="0"/>
              <w:spacing w:line="280" w:lineRule="exact"/>
              <w:jc w:val="right"/>
            </w:pPr>
          </w:p>
        </w:tc>
        <w:tc>
          <w:tcPr>
            <w:tcW w:w="7654" w:type="dxa"/>
          </w:tcPr>
          <w:p w14:paraId="0532A858" w14:textId="0D6B3836" w:rsidR="00B90622" w:rsidRDefault="002A2647" w:rsidP="00B90622">
            <w:pPr>
              <w:snapToGrid w:val="0"/>
              <w:spacing w:line="280" w:lineRule="exact"/>
            </w:pPr>
            <w:r w:rsidRPr="002A2647">
              <w:rPr>
                <w:rFonts w:hint="eastAsia"/>
              </w:rPr>
              <w:t>SEAのスクリーニング審査の様式例（A4用紙3枚分）が掲載されている（付録３）。累積的影響に関連する審査項目ついては「短期的・長期的な累積的影響は何か？またそれが</w:t>
            </w:r>
            <w:r w:rsidR="00272400">
              <w:rPr>
                <w:rFonts w:hint="eastAsia"/>
              </w:rPr>
              <w:t>影響の大きさ</w:t>
            </w:r>
            <w:r w:rsidRPr="002A2647">
              <w:rPr>
                <w:rFonts w:hint="eastAsia"/>
              </w:rPr>
              <w:t>を持つ可能性が高いか？」「既存の環境レベルが定義された許容値に近い（または超過している）か？」「集中的な土地利用があるか？」等がある。</w:t>
            </w:r>
          </w:p>
        </w:tc>
      </w:tr>
      <w:tr w:rsidR="00932405" w14:paraId="10529463" w14:textId="77777777" w:rsidTr="00117E04">
        <w:tc>
          <w:tcPr>
            <w:tcW w:w="2122" w:type="dxa"/>
          </w:tcPr>
          <w:p w14:paraId="324DADED" w14:textId="6D11D886" w:rsidR="00932405" w:rsidRDefault="00932405" w:rsidP="00B90622">
            <w:pPr>
              <w:snapToGrid w:val="0"/>
              <w:spacing w:line="280" w:lineRule="exact"/>
            </w:pPr>
            <w:r>
              <w:rPr>
                <w:rFonts w:hint="eastAsia"/>
              </w:rPr>
              <w:t>URL</w:t>
            </w:r>
          </w:p>
        </w:tc>
        <w:tc>
          <w:tcPr>
            <w:tcW w:w="7654" w:type="dxa"/>
          </w:tcPr>
          <w:p w14:paraId="69161C8F" w14:textId="61890F4A" w:rsidR="00932405" w:rsidRDefault="00866222" w:rsidP="00B90622">
            <w:pPr>
              <w:snapToGrid w:val="0"/>
              <w:spacing w:line="280" w:lineRule="exact"/>
            </w:pPr>
            <w:r w:rsidRPr="00866222">
              <w:t>https://training.iaia.org/guidance-for-using-strategic-environmental-</w:t>
            </w:r>
            <w:r w:rsidRPr="00866222">
              <w:lastRenderedPageBreak/>
              <w:t>assessment-sea/</w:t>
            </w:r>
          </w:p>
        </w:tc>
      </w:tr>
    </w:tbl>
    <w:p w14:paraId="5EDFF910" w14:textId="77777777" w:rsidR="00117E04" w:rsidRDefault="00117E04" w:rsidP="00117E04"/>
    <w:p w14:paraId="0F0613B5" w14:textId="149B89A8" w:rsidR="00E22A5B" w:rsidRDefault="00E22A5B" w:rsidP="00E22A5B"/>
    <w:sectPr w:rsidR="00E22A5B" w:rsidSect="00117E04">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家倉凌" w:date="2025-02-10T12:48:00Z" w:initials="凌家">
    <w:p w14:paraId="17ABEB79" w14:textId="58B0312D" w:rsidR="00775337" w:rsidRDefault="00775337" w:rsidP="00775337">
      <w:pPr>
        <w:pStyle w:val="af7"/>
      </w:pPr>
      <w:r>
        <w:rPr>
          <w:rStyle w:val="af6"/>
        </w:rPr>
        <w:annotationRef/>
      </w:r>
      <w:r>
        <w:rPr>
          <w:rFonts w:hint="eastAsia"/>
        </w:rPr>
        <w:t>重複が多いので付録12のみで良いと思う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ABEB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FC199" w16cex:dateUtc="2025-02-10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ABEB79" w16cid:durableId="203FC1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5571E" w14:textId="77777777" w:rsidR="00CD23E3" w:rsidRDefault="00CD23E3" w:rsidP="00320C2B">
      <w:r>
        <w:separator/>
      </w:r>
    </w:p>
  </w:endnote>
  <w:endnote w:type="continuationSeparator" w:id="0">
    <w:p w14:paraId="3AEDAA80" w14:textId="77777777" w:rsidR="00CD23E3" w:rsidRDefault="00CD23E3" w:rsidP="0032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AE7E5" w14:textId="77777777" w:rsidR="00CD23E3" w:rsidRDefault="00CD23E3" w:rsidP="00320C2B">
      <w:r>
        <w:separator/>
      </w:r>
    </w:p>
  </w:footnote>
  <w:footnote w:type="continuationSeparator" w:id="0">
    <w:p w14:paraId="6CB757B7" w14:textId="77777777" w:rsidR="00CD23E3" w:rsidRDefault="00CD23E3" w:rsidP="0032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3259B"/>
    <w:multiLevelType w:val="hybridMultilevel"/>
    <w:tmpl w:val="D21E80CA"/>
    <w:lvl w:ilvl="0" w:tplc="4294A514">
      <w:numFmt w:val="bullet"/>
      <w:lvlText w:val="•"/>
      <w:lvlJc w:val="left"/>
      <w:pPr>
        <w:ind w:left="399" w:hanging="267"/>
      </w:pPr>
      <w:rPr>
        <w:rFonts w:ascii="Calibri" w:eastAsia="Calibri" w:hAnsi="Calibri" w:cs="Calibri" w:hint="default"/>
        <w:b w:val="0"/>
        <w:bCs w:val="0"/>
        <w:i w:val="0"/>
        <w:iCs w:val="0"/>
        <w:spacing w:val="0"/>
        <w:w w:val="92"/>
        <w:sz w:val="18"/>
        <w:szCs w:val="18"/>
        <w:lang w:val="en-US" w:eastAsia="en-US" w:bidi="ar-SA"/>
      </w:rPr>
    </w:lvl>
    <w:lvl w:ilvl="1" w:tplc="95DEFE1C">
      <w:numFmt w:val="bullet"/>
      <w:lvlText w:val="•"/>
      <w:lvlJc w:val="left"/>
      <w:pPr>
        <w:ind w:left="784" w:hanging="267"/>
      </w:pPr>
      <w:rPr>
        <w:rFonts w:hint="default"/>
        <w:lang w:val="en-US" w:eastAsia="en-US" w:bidi="ar-SA"/>
      </w:rPr>
    </w:lvl>
    <w:lvl w:ilvl="2" w:tplc="3424B486">
      <w:numFmt w:val="bullet"/>
      <w:lvlText w:val="•"/>
      <w:lvlJc w:val="left"/>
      <w:pPr>
        <w:ind w:left="1168" w:hanging="267"/>
      </w:pPr>
      <w:rPr>
        <w:rFonts w:hint="default"/>
        <w:lang w:val="en-US" w:eastAsia="en-US" w:bidi="ar-SA"/>
      </w:rPr>
    </w:lvl>
    <w:lvl w:ilvl="3" w:tplc="FA36AB54">
      <w:numFmt w:val="bullet"/>
      <w:lvlText w:val="•"/>
      <w:lvlJc w:val="left"/>
      <w:pPr>
        <w:ind w:left="1552" w:hanging="267"/>
      </w:pPr>
      <w:rPr>
        <w:rFonts w:hint="default"/>
        <w:lang w:val="en-US" w:eastAsia="en-US" w:bidi="ar-SA"/>
      </w:rPr>
    </w:lvl>
    <w:lvl w:ilvl="4" w:tplc="6750EE44">
      <w:numFmt w:val="bullet"/>
      <w:lvlText w:val="•"/>
      <w:lvlJc w:val="left"/>
      <w:pPr>
        <w:ind w:left="1936" w:hanging="267"/>
      </w:pPr>
      <w:rPr>
        <w:rFonts w:hint="default"/>
        <w:lang w:val="en-US" w:eastAsia="en-US" w:bidi="ar-SA"/>
      </w:rPr>
    </w:lvl>
    <w:lvl w:ilvl="5" w:tplc="4672DE72">
      <w:numFmt w:val="bullet"/>
      <w:lvlText w:val="•"/>
      <w:lvlJc w:val="left"/>
      <w:pPr>
        <w:ind w:left="2321" w:hanging="267"/>
      </w:pPr>
      <w:rPr>
        <w:rFonts w:hint="default"/>
        <w:lang w:val="en-US" w:eastAsia="en-US" w:bidi="ar-SA"/>
      </w:rPr>
    </w:lvl>
    <w:lvl w:ilvl="6" w:tplc="348A078A">
      <w:numFmt w:val="bullet"/>
      <w:lvlText w:val="•"/>
      <w:lvlJc w:val="left"/>
      <w:pPr>
        <w:ind w:left="2705" w:hanging="267"/>
      </w:pPr>
      <w:rPr>
        <w:rFonts w:hint="default"/>
        <w:lang w:val="en-US" w:eastAsia="en-US" w:bidi="ar-SA"/>
      </w:rPr>
    </w:lvl>
    <w:lvl w:ilvl="7" w:tplc="BBFC4094">
      <w:numFmt w:val="bullet"/>
      <w:lvlText w:val="•"/>
      <w:lvlJc w:val="left"/>
      <w:pPr>
        <w:ind w:left="3089" w:hanging="267"/>
      </w:pPr>
      <w:rPr>
        <w:rFonts w:hint="default"/>
        <w:lang w:val="en-US" w:eastAsia="en-US" w:bidi="ar-SA"/>
      </w:rPr>
    </w:lvl>
    <w:lvl w:ilvl="8" w:tplc="F6DAAC22">
      <w:numFmt w:val="bullet"/>
      <w:lvlText w:val="•"/>
      <w:lvlJc w:val="left"/>
      <w:pPr>
        <w:ind w:left="3473" w:hanging="267"/>
      </w:pPr>
      <w:rPr>
        <w:rFonts w:hint="default"/>
        <w:lang w:val="en-US" w:eastAsia="en-US" w:bidi="ar-SA"/>
      </w:rPr>
    </w:lvl>
  </w:abstractNum>
  <w:abstractNum w:abstractNumId="1" w15:restartNumberingAfterBreak="0">
    <w:nsid w:val="4F024661"/>
    <w:multiLevelType w:val="multilevel"/>
    <w:tmpl w:val="720A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E6109"/>
    <w:multiLevelType w:val="multilevel"/>
    <w:tmpl w:val="E0FC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121268">
    <w:abstractNumId w:val="1"/>
  </w:num>
  <w:num w:numId="2" w16cid:durableId="1082222025">
    <w:abstractNumId w:val="2"/>
  </w:num>
  <w:num w:numId="3" w16cid:durableId="7848106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家倉凌">
    <w15:presenceInfo w15:providerId="AD" w15:userId="S::r-yagura@prec.co.jp::cb8f705a-1575-4942-99fa-1b1d9e5097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63E8E"/>
    <w:rsid w:val="00087E27"/>
    <w:rsid w:val="00090EC1"/>
    <w:rsid w:val="00092AE5"/>
    <w:rsid w:val="00097C22"/>
    <w:rsid w:val="000B7C1E"/>
    <w:rsid w:val="000C3F36"/>
    <w:rsid w:val="000E334A"/>
    <w:rsid w:val="00115DBC"/>
    <w:rsid w:val="00117E04"/>
    <w:rsid w:val="00123B26"/>
    <w:rsid w:val="001734A8"/>
    <w:rsid w:val="001A2163"/>
    <w:rsid w:val="001C25E0"/>
    <w:rsid w:val="001C573A"/>
    <w:rsid w:val="001F40E6"/>
    <w:rsid w:val="001F6286"/>
    <w:rsid w:val="00210AFD"/>
    <w:rsid w:val="00214224"/>
    <w:rsid w:val="00226935"/>
    <w:rsid w:val="00226BBF"/>
    <w:rsid w:val="00252B73"/>
    <w:rsid w:val="002626F7"/>
    <w:rsid w:val="00272400"/>
    <w:rsid w:val="002A2647"/>
    <w:rsid w:val="002B0BE8"/>
    <w:rsid w:val="002B1B7F"/>
    <w:rsid w:val="002B763A"/>
    <w:rsid w:val="002D5BBA"/>
    <w:rsid w:val="002D5C0A"/>
    <w:rsid w:val="002D6326"/>
    <w:rsid w:val="002D6B47"/>
    <w:rsid w:val="002E3CD6"/>
    <w:rsid w:val="002F5936"/>
    <w:rsid w:val="00320C2B"/>
    <w:rsid w:val="00366AC3"/>
    <w:rsid w:val="00370A05"/>
    <w:rsid w:val="00373248"/>
    <w:rsid w:val="003938F0"/>
    <w:rsid w:val="003A600E"/>
    <w:rsid w:val="003E27E1"/>
    <w:rsid w:val="003E45EB"/>
    <w:rsid w:val="003F6748"/>
    <w:rsid w:val="004128D5"/>
    <w:rsid w:val="00435757"/>
    <w:rsid w:val="004608AA"/>
    <w:rsid w:val="00462D20"/>
    <w:rsid w:val="00486495"/>
    <w:rsid w:val="00486ADB"/>
    <w:rsid w:val="004871EA"/>
    <w:rsid w:val="004F4AF8"/>
    <w:rsid w:val="005027E9"/>
    <w:rsid w:val="00505073"/>
    <w:rsid w:val="005109C9"/>
    <w:rsid w:val="00521555"/>
    <w:rsid w:val="00565F3D"/>
    <w:rsid w:val="00567138"/>
    <w:rsid w:val="00580946"/>
    <w:rsid w:val="005868BF"/>
    <w:rsid w:val="00593248"/>
    <w:rsid w:val="00595B41"/>
    <w:rsid w:val="005B0ACB"/>
    <w:rsid w:val="005B7880"/>
    <w:rsid w:val="005D61B6"/>
    <w:rsid w:val="005E70AA"/>
    <w:rsid w:val="005F4C85"/>
    <w:rsid w:val="00627678"/>
    <w:rsid w:val="00653ABF"/>
    <w:rsid w:val="00666A1E"/>
    <w:rsid w:val="006851F3"/>
    <w:rsid w:val="006951CF"/>
    <w:rsid w:val="006B0909"/>
    <w:rsid w:val="006E3C9F"/>
    <w:rsid w:val="006E4434"/>
    <w:rsid w:val="006F0569"/>
    <w:rsid w:val="006F3AE7"/>
    <w:rsid w:val="006F76FE"/>
    <w:rsid w:val="00721E40"/>
    <w:rsid w:val="00731ED0"/>
    <w:rsid w:val="00753524"/>
    <w:rsid w:val="00757F6E"/>
    <w:rsid w:val="00771B8D"/>
    <w:rsid w:val="00775337"/>
    <w:rsid w:val="007916E4"/>
    <w:rsid w:val="007951D9"/>
    <w:rsid w:val="007A7380"/>
    <w:rsid w:val="007E630D"/>
    <w:rsid w:val="007F2B5C"/>
    <w:rsid w:val="008049DA"/>
    <w:rsid w:val="00813FFC"/>
    <w:rsid w:val="008246DE"/>
    <w:rsid w:val="00826D81"/>
    <w:rsid w:val="00832D1B"/>
    <w:rsid w:val="00836732"/>
    <w:rsid w:val="00854F02"/>
    <w:rsid w:val="00866222"/>
    <w:rsid w:val="008868E2"/>
    <w:rsid w:val="008C2817"/>
    <w:rsid w:val="008C32BB"/>
    <w:rsid w:val="008D1BEC"/>
    <w:rsid w:val="008F72FD"/>
    <w:rsid w:val="00901F7D"/>
    <w:rsid w:val="0091391A"/>
    <w:rsid w:val="0092165D"/>
    <w:rsid w:val="00930A3D"/>
    <w:rsid w:val="00932405"/>
    <w:rsid w:val="009364C9"/>
    <w:rsid w:val="00944470"/>
    <w:rsid w:val="00951BCF"/>
    <w:rsid w:val="00956F5D"/>
    <w:rsid w:val="0096210A"/>
    <w:rsid w:val="00985548"/>
    <w:rsid w:val="00996F2B"/>
    <w:rsid w:val="009B3F54"/>
    <w:rsid w:val="009C111D"/>
    <w:rsid w:val="009C325B"/>
    <w:rsid w:val="009C717A"/>
    <w:rsid w:val="009E1AEC"/>
    <w:rsid w:val="009F405E"/>
    <w:rsid w:val="00A0756B"/>
    <w:rsid w:val="00A100BB"/>
    <w:rsid w:val="00A25675"/>
    <w:rsid w:val="00A4132C"/>
    <w:rsid w:val="00A66743"/>
    <w:rsid w:val="00A761D7"/>
    <w:rsid w:val="00A80268"/>
    <w:rsid w:val="00AA2A26"/>
    <w:rsid w:val="00AA5820"/>
    <w:rsid w:val="00AA696B"/>
    <w:rsid w:val="00AB0D60"/>
    <w:rsid w:val="00AC5160"/>
    <w:rsid w:val="00AD1C10"/>
    <w:rsid w:val="00AD787C"/>
    <w:rsid w:val="00AE24DD"/>
    <w:rsid w:val="00AF270E"/>
    <w:rsid w:val="00B00E24"/>
    <w:rsid w:val="00B171F0"/>
    <w:rsid w:val="00B2224A"/>
    <w:rsid w:val="00B27783"/>
    <w:rsid w:val="00B32237"/>
    <w:rsid w:val="00B36527"/>
    <w:rsid w:val="00B4486D"/>
    <w:rsid w:val="00B53EB5"/>
    <w:rsid w:val="00B81E9A"/>
    <w:rsid w:val="00B8274A"/>
    <w:rsid w:val="00B90622"/>
    <w:rsid w:val="00BA1249"/>
    <w:rsid w:val="00BB5637"/>
    <w:rsid w:val="00C13E46"/>
    <w:rsid w:val="00C17E6B"/>
    <w:rsid w:val="00C37232"/>
    <w:rsid w:val="00C57A83"/>
    <w:rsid w:val="00C64E35"/>
    <w:rsid w:val="00C67AD3"/>
    <w:rsid w:val="00CA4490"/>
    <w:rsid w:val="00CA6957"/>
    <w:rsid w:val="00CC7F3B"/>
    <w:rsid w:val="00CD23E3"/>
    <w:rsid w:val="00CF5A0D"/>
    <w:rsid w:val="00D0173E"/>
    <w:rsid w:val="00D42DF5"/>
    <w:rsid w:val="00D53FBC"/>
    <w:rsid w:val="00D73DB7"/>
    <w:rsid w:val="00D901C7"/>
    <w:rsid w:val="00DB6034"/>
    <w:rsid w:val="00DF22D0"/>
    <w:rsid w:val="00E07038"/>
    <w:rsid w:val="00E0775B"/>
    <w:rsid w:val="00E20A06"/>
    <w:rsid w:val="00E22A5B"/>
    <w:rsid w:val="00E2550F"/>
    <w:rsid w:val="00E376B1"/>
    <w:rsid w:val="00E46CB0"/>
    <w:rsid w:val="00E87DA6"/>
    <w:rsid w:val="00E90CCA"/>
    <w:rsid w:val="00E95D09"/>
    <w:rsid w:val="00EA3619"/>
    <w:rsid w:val="00EC2BCC"/>
    <w:rsid w:val="00EE37BE"/>
    <w:rsid w:val="00EE4088"/>
    <w:rsid w:val="00F0420D"/>
    <w:rsid w:val="00F06724"/>
    <w:rsid w:val="00F1076E"/>
    <w:rsid w:val="00F11F1D"/>
    <w:rsid w:val="00F16E4E"/>
    <w:rsid w:val="00F44D6D"/>
    <w:rsid w:val="00F56DAD"/>
    <w:rsid w:val="00F91E5C"/>
    <w:rsid w:val="00FA1F06"/>
    <w:rsid w:val="00FB5C9B"/>
    <w:rsid w:val="00FC7366"/>
    <w:rsid w:val="00FD5192"/>
    <w:rsid w:val="00FE10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D82E58A6-92D2-4516-B76A-BAF7EDAB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7138"/>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 w:type="character" w:styleId="af1">
    <w:name w:val="Hyperlink"/>
    <w:basedOn w:val="a0"/>
    <w:uiPriority w:val="99"/>
    <w:unhideWhenUsed/>
    <w:rsid w:val="00F56DAD"/>
    <w:rPr>
      <w:color w:val="467886" w:themeColor="hyperlink"/>
      <w:u w:val="single"/>
    </w:rPr>
  </w:style>
  <w:style w:type="character" w:styleId="af2">
    <w:name w:val="Unresolved Mention"/>
    <w:basedOn w:val="a0"/>
    <w:uiPriority w:val="99"/>
    <w:semiHidden/>
    <w:unhideWhenUsed/>
    <w:rsid w:val="00F56DAD"/>
    <w:rPr>
      <w:color w:val="605E5C"/>
      <w:shd w:val="clear" w:color="auto" w:fill="E1DFDD"/>
    </w:rPr>
  </w:style>
  <w:style w:type="paragraph" w:styleId="af3">
    <w:name w:val="Body Text"/>
    <w:basedOn w:val="a"/>
    <w:link w:val="af4"/>
    <w:uiPriority w:val="1"/>
    <w:qFormat/>
    <w:rsid w:val="001C25E0"/>
    <w:pPr>
      <w:autoSpaceDE w:val="0"/>
      <w:autoSpaceDN w:val="0"/>
      <w:jc w:val="left"/>
    </w:pPr>
    <w:rPr>
      <w:rFonts w:ascii="Arial" w:eastAsia="Arial" w:hAnsi="Arial" w:cs="Arial"/>
      <w:kern w:val="0"/>
      <w:sz w:val="20"/>
      <w:lang w:eastAsia="en-US"/>
    </w:rPr>
  </w:style>
  <w:style w:type="character" w:customStyle="1" w:styleId="af4">
    <w:name w:val="本文 (文字)"/>
    <w:basedOn w:val="a0"/>
    <w:link w:val="af3"/>
    <w:uiPriority w:val="1"/>
    <w:rsid w:val="001C25E0"/>
    <w:rPr>
      <w:rFonts w:ascii="Arial" w:eastAsia="Arial" w:hAnsi="Arial" w:cs="Arial"/>
      <w:kern w:val="0"/>
      <w:sz w:val="20"/>
      <w:szCs w:val="20"/>
      <w:lang w:eastAsia="en-US"/>
    </w:rPr>
  </w:style>
  <w:style w:type="paragraph" w:customStyle="1" w:styleId="TableParagraph">
    <w:name w:val="Table Paragraph"/>
    <w:basedOn w:val="a"/>
    <w:uiPriority w:val="1"/>
    <w:qFormat/>
    <w:rsid w:val="00486495"/>
    <w:pPr>
      <w:autoSpaceDE w:val="0"/>
      <w:autoSpaceDN w:val="0"/>
      <w:jc w:val="left"/>
    </w:pPr>
    <w:rPr>
      <w:rFonts w:ascii="Arial" w:eastAsia="Arial" w:hAnsi="Arial" w:cs="Arial"/>
      <w:kern w:val="0"/>
      <w:sz w:val="23"/>
      <w:szCs w:val="23"/>
      <w:lang w:eastAsia="en-US"/>
    </w:rPr>
  </w:style>
  <w:style w:type="paragraph" w:styleId="af5">
    <w:name w:val="Revision"/>
    <w:hidden/>
    <w:uiPriority w:val="99"/>
    <w:semiHidden/>
    <w:rsid w:val="0092165D"/>
    <w:rPr>
      <w:rFonts w:ascii="ＭＳ 明朝" w:eastAsia="ＭＳ 明朝" w:hAnsi="Century" w:cs="Times New Roman"/>
      <w:szCs w:val="20"/>
    </w:rPr>
  </w:style>
  <w:style w:type="character" w:styleId="af6">
    <w:name w:val="annotation reference"/>
    <w:basedOn w:val="a0"/>
    <w:uiPriority w:val="99"/>
    <w:semiHidden/>
    <w:unhideWhenUsed/>
    <w:rsid w:val="00E376B1"/>
    <w:rPr>
      <w:sz w:val="18"/>
      <w:szCs w:val="18"/>
    </w:rPr>
  </w:style>
  <w:style w:type="paragraph" w:styleId="af7">
    <w:name w:val="annotation text"/>
    <w:basedOn w:val="a"/>
    <w:link w:val="af8"/>
    <w:uiPriority w:val="99"/>
    <w:unhideWhenUsed/>
    <w:rsid w:val="00E376B1"/>
    <w:pPr>
      <w:jc w:val="left"/>
    </w:pPr>
  </w:style>
  <w:style w:type="character" w:customStyle="1" w:styleId="af8">
    <w:name w:val="コメント文字列 (文字)"/>
    <w:basedOn w:val="a0"/>
    <w:link w:val="af7"/>
    <w:uiPriority w:val="99"/>
    <w:rsid w:val="00E376B1"/>
    <w:rPr>
      <w:rFonts w:ascii="ＭＳ 明朝" w:eastAsia="ＭＳ 明朝" w:hAnsi="Century" w:cs="Times New Roman"/>
      <w:szCs w:val="20"/>
    </w:rPr>
  </w:style>
  <w:style w:type="paragraph" w:styleId="af9">
    <w:name w:val="annotation subject"/>
    <w:basedOn w:val="af7"/>
    <w:next w:val="af7"/>
    <w:link w:val="afa"/>
    <w:uiPriority w:val="99"/>
    <w:semiHidden/>
    <w:unhideWhenUsed/>
    <w:rsid w:val="00E376B1"/>
    <w:rPr>
      <w:b/>
      <w:bCs/>
    </w:rPr>
  </w:style>
  <w:style w:type="character" w:customStyle="1" w:styleId="afa">
    <w:name w:val="コメント内容 (文字)"/>
    <w:basedOn w:val="af8"/>
    <w:link w:val="af9"/>
    <w:uiPriority w:val="99"/>
    <w:semiHidden/>
    <w:rsid w:val="00E376B1"/>
    <w:rPr>
      <w:rFonts w:ascii="ＭＳ 明朝" w:eastAsia="ＭＳ 明朝" w:hAnsi="Century"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0887">
      <w:bodyDiv w:val="1"/>
      <w:marLeft w:val="0"/>
      <w:marRight w:val="0"/>
      <w:marTop w:val="0"/>
      <w:marBottom w:val="0"/>
      <w:divBdr>
        <w:top w:val="none" w:sz="0" w:space="0" w:color="auto"/>
        <w:left w:val="none" w:sz="0" w:space="0" w:color="auto"/>
        <w:bottom w:val="none" w:sz="0" w:space="0" w:color="auto"/>
        <w:right w:val="none" w:sz="0" w:space="0" w:color="auto"/>
      </w:divBdr>
      <w:divsChild>
        <w:div w:id="22678738">
          <w:marLeft w:val="0"/>
          <w:marRight w:val="0"/>
          <w:marTop w:val="0"/>
          <w:marBottom w:val="0"/>
          <w:divBdr>
            <w:top w:val="none" w:sz="0" w:space="0" w:color="auto"/>
            <w:left w:val="none" w:sz="0" w:space="0" w:color="auto"/>
            <w:bottom w:val="none" w:sz="0" w:space="0" w:color="auto"/>
            <w:right w:val="none" w:sz="0" w:space="0" w:color="auto"/>
          </w:divBdr>
          <w:divsChild>
            <w:div w:id="1779325968">
              <w:marLeft w:val="0"/>
              <w:marRight w:val="0"/>
              <w:marTop w:val="0"/>
              <w:marBottom w:val="0"/>
              <w:divBdr>
                <w:top w:val="none" w:sz="0" w:space="0" w:color="auto"/>
                <w:left w:val="none" w:sz="0" w:space="0" w:color="auto"/>
                <w:bottom w:val="none" w:sz="0" w:space="0" w:color="auto"/>
                <w:right w:val="none" w:sz="0" w:space="0" w:color="auto"/>
              </w:divBdr>
              <w:divsChild>
                <w:div w:id="327635266">
                  <w:marLeft w:val="0"/>
                  <w:marRight w:val="0"/>
                  <w:marTop w:val="0"/>
                  <w:marBottom w:val="0"/>
                  <w:divBdr>
                    <w:top w:val="none" w:sz="0" w:space="0" w:color="auto"/>
                    <w:left w:val="none" w:sz="0" w:space="0" w:color="auto"/>
                    <w:bottom w:val="none" w:sz="0" w:space="0" w:color="auto"/>
                    <w:right w:val="none" w:sz="0" w:space="0" w:color="auto"/>
                  </w:divBdr>
                  <w:divsChild>
                    <w:div w:id="1987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2509">
          <w:marLeft w:val="0"/>
          <w:marRight w:val="0"/>
          <w:marTop w:val="0"/>
          <w:marBottom w:val="0"/>
          <w:divBdr>
            <w:top w:val="none" w:sz="0" w:space="0" w:color="auto"/>
            <w:left w:val="none" w:sz="0" w:space="0" w:color="auto"/>
            <w:bottom w:val="none" w:sz="0" w:space="0" w:color="auto"/>
            <w:right w:val="none" w:sz="0" w:space="0" w:color="auto"/>
          </w:divBdr>
          <w:divsChild>
            <w:div w:id="1289776770">
              <w:marLeft w:val="0"/>
              <w:marRight w:val="0"/>
              <w:marTop w:val="0"/>
              <w:marBottom w:val="0"/>
              <w:divBdr>
                <w:top w:val="none" w:sz="0" w:space="0" w:color="auto"/>
                <w:left w:val="none" w:sz="0" w:space="0" w:color="auto"/>
                <w:bottom w:val="none" w:sz="0" w:space="0" w:color="auto"/>
                <w:right w:val="none" w:sz="0" w:space="0" w:color="auto"/>
              </w:divBdr>
              <w:divsChild>
                <w:div w:id="4552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098">
          <w:marLeft w:val="0"/>
          <w:marRight w:val="0"/>
          <w:marTop w:val="0"/>
          <w:marBottom w:val="0"/>
          <w:divBdr>
            <w:top w:val="none" w:sz="0" w:space="0" w:color="auto"/>
            <w:left w:val="none" w:sz="0" w:space="0" w:color="auto"/>
            <w:bottom w:val="none" w:sz="0" w:space="0" w:color="auto"/>
            <w:right w:val="none" w:sz="0" w:space="0" w:color="auto"/>
          </w:divBdr>
          <w:divsChild>
            <w:div w:id="587886901">
              <w:marLeft w:val="0"/>
              <w:marRight w:val="0"/>
              <w:marTop w:val="0"/>
              <w:marBottom w:val="0"/>
              <w:divBdr>
                <w:top w:val="none" w:sz="0" w:space="0" w:color="auto"/>
                <w:left w:val="none" w:sz="0" w:space="0" w:color="auto"/>
                <w:bottom w:val="none" w:sz="0" w:space="0" w:color="auto"/>
                <w:right w:val="none" w:sz="0" w:space="0" w:color="auto"/>
              </w:divBdr>
              <w:divsChild>
                <w:div w:id="647511629">
                  <w:marLeft w:val="0"/>
                  <w:marRight w:val="0"/>
                  <w:marTop w:val="0"/>
                  <w:marBottom w:val="0"/>
                  <w:divBdr>
                    <w:top w:val="none" w:sz="0" w:space="0" w:color="auto"/>
                    <w:left w:val="none" w:sz="0" w:space="0" w:color="auto"/>
                    <w:bottom w:val="none" w:sz="0" w:space="0" w:color="auto"/>
                    <w:right w:val="none" w:sz="0" w:space="0" w:color="auto"/>
                  </w:divBdr>
                  <w:divsChild>
                    <w:div w:id="1930650088">
                      <w:marLeft w:val="0"/>
                      <w:marRight w:val="0"/>
                      <w:marTop w:val="0"/>
                      <w:marBottom w:val="0"/>
                      <w:divBdr>
                        <w:top w:val="none" w:sz="0" w:space="0" w:color="auto"/>
                        <w:left w:val="none" w:sz="0" w:space="0" w:color="auto"/>
                        <w:bottom w:val="none" w:sz="0" w:space="0" w:color="auto"/>
                        <w:right w:val="none" w:sz="0" w:space="0" w:color="auto"/>
                      </w:divBdr>
                      <w:divsChild>
                        <w:div w:id="814219827">
                          <w:marLeft w:val="0"/>
                          <w:marRight w:val="0"/>
                          <w:marTop w:val="0"/>
                          <w:marBottom w:val="0"/>
                          <w:divBdr>
                            <w:top w:val="none" w:sz="0" w:space="0" w:color="auto"/>
                            <w:left w:val="none" w:sz="0" w:space="0" w:color="auto"/>
                            <w:bottom w:val="none" w:sz="0" w:space="0" w:color="auto"/>
                            <w:right w:val="none" w:sz="0" w:space="0" w:color="auto"/>
                          </w:divBdr>
                          <w:divsChild>
                            <w:div w:id="1503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62500">
      <w:bodyDiv w:val="1"/>
      <w:marLeft w:val="0"/>
      <w:marRight w:val="0"/>
      <w:marTop w:val="0"/>
      <w:marBottom w:val="0"/>
      <w:divBdr>
        <w:top w:val="none" w:sz="0" w:space="0" w:color="auto"/>
        <w:left w:val="none" w:sz="0" w:space="0" w:color="auto"/>
        <w:bottom w:val="none" w:sz="0" w:space="0" w:color="auto"/>
        <w:right w:val="none" w:sz="0" w:space="0" w:color="auto"/>
      </w:divBdr>
    </w:div>
    <w:div w:id="253635667">
      <w:bodyDiv w:val="1"/>
      <w:marLeft w:val="0"/>
      <w:marRight w:val="0"/>
      <w:marTop w:val="0"/>
      <w:marBottom w:val="0"/>
      <w:divBdr>
        <w:top w:val="none" w:sz="0" w:space="0" w:color="auto"/>
        <w:left w:val="none" w:sz="0" w:space="0" w:color="auto"/>
        <w:bottom w:val="none" w:sz="0" w:space="0" w:color="auto"/>
        <w:right w:val="none" w:sz="0" w:space="0" w:color="auto"/>
      </w:divBdr>
    </w:div>
    <w:div w:id="260070590">
      <w:bodyDiv w:val="1"/>
      <w:marLeft w:val="0"/>
      <w:marRight w:val="0"/>
      <w:marTop w:val="0"/>
      <w:marBottom w:val="0"/>
      <w:divBdr>
        <w:top w:val="none" w:sz="0" w:space="0" w:color="auto"/>
        <w:left w:val="none" w:sz="0" w:space="0" w:color="auto"/>
        <w:bottom w:val="none" w:sz="0" w:space="0" w:color="auto"/>
        <w:right w:val="none" w:sz="0" w:space="0" w:color="auto"/>
      </w:divBdr>
    </w:div>
    <w:div w:id="341010765">
      <w:bodyDiv w:val="1"/>
      <w:marLeft w:val="0"/>
      <w:marRight w:val="0"/>
      <w:marTop w:val="0"/>
      <w:marBottom w:val="0"/>
      <w:divBdr>
        <w:top w:val="none" w:sz="0" w:space="0" w:color="auto"/>
        <w:left w:val="none" w:sz="0" w:space="0" w:color="auto"/>
        <w:bottom w:val="none" w:sz="0" w:space="0" w:color="auto"/>
        <w:right w:val="none" w:sz="0" w:space="0" w:color="auto"/>
      </w:divBdr>
    </w:div>
    <w:div w:id="396829988">
      <w:bodyDiv w:val="1"/>
      <w:marLeft w:val="0"/>
      <w:marRight w:val="0"/>
      <w:marTop w:val="0"/>
      <w:marBottom w:val="0"/>
      <w:divBdr>
        <w:top w:val="none" w:sz="0" w:space="0" w:color="auto"/>
        <w:left w:val="none" w:sz="0" w:space="0" w:color="auto"/>
        <w:bottom w:val="none" w:sz="0" w:space="0" w:color="auto"/>
        <w:right w:val="none" w:sz="0" w:space="0" w:color="auto"/>
      </w:divBdr>
    </w:div>
    <w:div w:id="477189084">
      <w:bodyDiv w:val="1"/>
      <w:marLeft w:val="0"/>
      <w:marRight w:val="0"/>
      <w:marTop w:val="0"/>
      <w:marBottom w:val="0"/>
      <w:divBdr>
        <w:top w:val="none" w:sz="0" w:space="0" w:color="auto"/>
        <w:left w:val="none" w:sz="0" w:space="0" w:color="auto"/>
        <w:bottom w:val="none" w:sz="0" w:space="0" w:color="auto"/>
        <w:right w:val="none" w:sz="0" w:space="0" w:color="auto"/>
      </w:divBdr>
    </w:div>
    <w:div w:id="615720479">
      <w:bodyDiv w:val="1"/>
      <w:marLeft w:val="0"/>
      <w:marRight w:val="0"/>
      <w:marTop w:val="0"/>
      <w:marBottom w:val="0"/>
      <w:divBdr>
        <w:top w:val="none" w:sz="0" w:space="0" w:color="auto"/>
        <w:left w:val="none" w:sz="0" w:space="0" w:color="auto"/>
        <w:bottom w:val="none" w:sz="0" w:space="0" w:color="auto"/>
        <w:right w:val="none" w:sz="0" w:space="0" w:color="auto"/>
      </w:divBdr>
    </w:div>
    <w:div w:id="869683825">
      <w:bodyDiv w:val="1"/>
      <w:marLeft w:val="0"/>
      <w:marRight w:val="0"/>
      <w:marTop w:val="0"/>
      <w:marBottom w:val="0"/>
      <w:divBdr>
        <w:top w:val="none" w:sz="0" w:space="0" w:color="auto"/>
        <w:left w:val="none" w:sz="0" w:space="0" w:color="auto"/>
        <w:bottom w:val="none" w:sz="0" w:space="0" w:color="auto"/>
        <w:right w:val="none" w:sz="0" w:space="0" w:color="auto"/>
      </w:divBdr>
    </w:div>
    <w:div w:id="1022977721">
      <w:bodyDiv w:val="1"/>
      <w:marLeft w:val="0"/>
      <w:marRight w:val="0"/>
      <w:marTop w:val="0"/>
      <w:marBottom w:val="0"/>
      <w:divBdr>
        <w:top w:val="none" w:sz="0" w:space="0" w:color="auto"/>
        <w:left w:val="none" w:sz="0" w:space="0" w:color="auto"/>
        <w:bottom w:val="none" w:sz="0" w:space="0" w:color="auto"/>
        <w:right w:val="none" w:sz="0" w:space="0" w:color="auto"/>
      </w:divBdr>
    </w:div>
    <w:div w:id="1194071710">
      <w:bodyDiv w:val="1"/>
      <w:marLeft w:val="0"/>
      <w:marRight w:val="0"/>
      <w:marTop w:val="0"/>
      <w:marBottom w:val="0"/>
      <w:divBdr>
        <w:top w:val="none" w:sz="0" w:space="0" w:color="auto"/>
        <w:left w:val="none" w:sz="0" w:space="0" w:color="auto"/>
        <w:bottom w:val="none" w:sz="0" w:space="0" w:color="auto"/>
        <w:right w:val="none" w:sz="0" w:space="0" w:color="auto"/>
      </w:divBdr>
    </w:div>
    <w:div w:id="1329400358">
      <w:bodyDiv w:val="1"/>
      <w:marLeft w:val="0"/>
      <w:marRight w:val="0"/>
      <w:marTop w:val="0"/>
      <w:marBottom w:val="0"/>
      <w:divBdr>
        <w:top w:val="none" w:sz="0" w:space="0" w:color="auto"/>
        <w:left w:val="none" w:sz="0" w:space="0" w:color="auto"/>
        <w:bottom w:val="none" w:sz="0" w:space="0" w:color="auto"/>
        <w:right w:val="none" w:sz="0" w:space="0" w:color="auto"/>
      </w:divBdr>
      <w:divsChild>
        <w:div w:id="724912447">
          <w:marLeft w:val="0"/>
          <w:marRight w:val="0"/>
          <w:marTop w:val="0"/>
          <w:marBottom w:val="0"/>
          <w:divBdr>
            <w:top w:val="none" w:sz="0" w:space="0" w:color="auto"/>
            <w:left w:val="none" w:sz="0" w:space="0" w:color="auto"/>
            <w:bottom w:val="none" w:sz="0" w:space="0" w:color="auto"/>
            <w:right w:val="none" w:sz="0" w:space="0" w:color="auto"/>
          </w:divBdr>
          <w:divsChild>
            <w:div w:id="1045103337">
              <w:marLeft w:val="0"/>
              <w:marRight w:val="0"/>
              <w:marTop w:val="0"/>
              <w:marBottom w:val="0"/>
              <w:divBdr>
                <w:top w:val="none" w:sz="0" w:space="0" w:color="auto"/>
                <w:left w:val="none" w:sz="0" w:space="0" w:color="auto"/>
                <w:bottom w:val="none" w:sz="0" w:space="0" w:color="auto"/>
                <w:right w:val="none" w:sz="0" w:space="0" w:color="auto"/>
              </w:divBdr>
              <w:divsChild>
                <w:div w:id="918951319">
                  <w:marLeft w:val="0"/>
                  <w:marRight w:val="0"/>
                  <w:marTop w:val="0"/>
                  <w:marBottom w:val="0"/>
                  <w:divBdr>
                    <w:top w:val="none" w:sz="0" w:space="0" w:color="auto"/>
                    <w:left w:val="none" w:sz="0" w:space="0" w:color="auto"/>
                    <w:bottom w:val="none" w:sz="0" w:space="0" w:color="auto"/>
                    <w:right w:val="none" w:sz="0" w:space="0" w:color="auto"/>
                  </w:divBdr>
                  <w:divsChild>
                    <w:div w:id="5036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58745">
          <w:marLeft w:val="0"/>
          <w:marRight w:val="0"/>
          <w:marTop w:val="0"/>
          <w:marBottom w:val="0"/>
          <w:divBdr>
            <w:top w:val="none" w:sz="0" w:space="0" w:color="auto"/>
            <w:left w:val="none" w:sz="0" w:space="0" w:color="auto"/>
            <w:bottom w:val="none" w:sz="0" w:space="0" w:color="auto"/>
            <w:right w:val="none" w:sz="0" w:space="0" w:color="auto"/>
          </w:divBdr>
          <w:divsChild>
            <w:div w:id="1895700923">
              <w:marLeft w:val="0"/>
              <w:marRight w:val="0"/>
              <w:marTop w:val="0"/>
              <w:marBottom w:val="0"/>
              <w:divBdr>
                <w:top w:val="none" w:sz="0" w:space="0" w:color="auto"/>
                <w:left w:val="none" w:sz="0" w:space="0" w:color="auto"/>
                <w:bottom w:val="none" w:sz="0" w:space="0" w:color="auto"/>
                <w:right w:val="none" w:sz="0" w:space="0" w:color="auto"/>
              </w:divBdr>
              <w:divsChild>
                <w:div w:id="1735622394">
                  <w:marLeft w:val="0"/>
                  <w:marRight w:val="0"/>
                  <w:marTop w:val="0"/>
                  <w:marBottom w:val="0"/>
                  <w:divBdr>
                    <w:top w:val="none" w:sz="0" w:space="0" w:color="auto"/>
                    <w:left w:val="none" w:sz="0" w:space="0" w:color="auto"/>
                    <w:bottom w:val="none" w:sz="0" w:space="0" w:color="auto"/>
                    <w:right w:val="none" w:sz="0" w:space="0" w:color="auto"/>
                  </w:divBdr>
                  <w:divsChild>
                    <w:div w:id="660692601">
                      <w:marLeft w:val="0"/>
                      <w:marRight w:val="0"/>
                      <w:marTop w:val="0"/>
                      <w:marBottom w:val="0"/>
                      <w:divBdr>
                        <w:top w:val="none" w:sz="0" w:space="0" w:color="auto"/>
                        <w:left w:val="none" w:sz="0" w:space="0" w:color="auto"/>
                        <w:bottom w:val="none" w:sz="0" w:space="0" w:color="auto"/>
                        <w:right w:val="none" w:sz="0" w:space="0" w:color="auto"/>
                      </w:divBdr>
                      <w:divsChild>
                        <w:div w:id="605890310">
                          <w:marLeft w:val="0"/>
                          <w:marRight w:val="0"/>
                          <w:marTop w:val="0"/>
                          <w:marBottom w:val="0"/>
                          <w:divBdr>
                            <w:top w:val="none" w:sz="0" w:space="0" w:color="auto"/>
                            <w:left w:val="none" w:sz="0" w:space="0" w:color="auto"/>
                            <w:bottom w:val="none" w:sz="0" w:space="0" w:color="auto"/>
                            <w:right w:val="none" w:sz="0" w:space="0" w:color="auto"/>
                          </w:divBdr>
                          <w:divsChild>
                            <w:div w:id="114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365593">
          <w:marLeft w:val="0"/>
          <w:marRight w:val="0"/>
          <w:marTop w:val="0"/>
          <w:marBottom w:val="0"/>
          <w:divBdr>
            <w:top w:val="none" w:sz="0" w:space="0" w:color="auto"/>
            <w:left w:val="none" w:sz="0" w:space="0" w:color="auto"/>
            <w:bottom w:val="none" w:sz="0" w:space="0" w:color="auto"/>
            <w:right w:val="none" w:sz="0" w:space="0" w:color="auto"/>
          </w:divBdr>
          <w:divsChild>
            <w:div w:id="44645329">
              <w:marLeft w:val="0"/>
              <w:marRight w:val="0"/>
              <w:marTop w:val="0"/>
              <w:marBottom w:val="0"/>
              <w:divBdr>
                <w:top w:val="none" w:sz="0" w:space="0" w:color="auto"/>
                <w:left w:val="none" w:sz="0" w:space="0" w:color="auto"/>
                <w:bottom w:val="none" w:sz="0" w:space="0" w:color="auto"/>
                <w:right w:val="none" w:sz="0" w:space="0" w:color="auto"/>
              </w:divBdr>
              <w:divsChild>
                <w:div w:id="2490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72770">
      <w:bodyDiv w:val="1"/>
      <w:marLeft w:val="0"/>
      <w:marRight w:val="0"/>
      <w:marTop w:val="0"/>
      <w:marBottom w:val="0"/>
      <w:divBdr>
        <w:top w:val="none" w:sz="0" w:space="0" w:color="auto"/>
        <w:left w:val="none" w:sz="0" w:space="0" w:color="auto"/>
        <w:bottom w:val="none" w:sz="0" w:space="0" w:color="auto"/>
        <w:right w:val="none" w:sz="0" w:space="0" w:color="auto"/>
      </w:divBdr>
    </w:div>
    <w:div w:id="178457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D4043-89A8-4408-A184-BD064B7D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794</Words>
  <Characters>4526</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2025-01-06T09:33:00Z</cp:lastPrinted>
  <dcterms:created xsi:type="dcterms:W3CDTF">2025-03-31T07:14:00Z</dcterms:created>
  <dcterms:modified xsi:type="dcterms:W3CDTF">2025-03-31T07:14:00Z</dcterms:modified>
</cp:coreProperties>
</file>