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4099AC96" w:rsidR="000C3F36" w:rsidRDefault="000C3F36" w:rsidP="00117E04">
      <w:r>
        <w:rPr>
          <w:rFonts w:hint="eastAsia"/>
        </w:rPr>
        <w:t>ガイド</w:t>
      </w:r>
      <w:r w:rsidR="00117E04">
        <w:rPr>
          <w:rFonts w:hint="eastAsia"/>
        </w:rPr>
        <w:t>ライン個票</w:t>
      </w:r>
      <w:r w:rsidR="009E6B8F">
        <w:rPr>
          <w:rFonts w:hint="eastAsia"/>
        </w:rPr>
        <w:t xml:space="preserve">　</w:t>
      </w:r>
      <w:r w:rsidR="00CA768A">
        <w:rPr>
          <w:rFonts w:hint="eastAsia"/>
        </w:rPr>
        <w:t>米1</w:t>
      </w:r>
    </w:p>
    <w:tbl>
      <w:tblPr>
        <w:tblStyle w:val="ac"/>
        <w:tblW w:w="9776" w:type="dxa"/>
        <w:tblLook w:val="04A0" w:firstRow="1" w:lastRow="0" w:firstColumn="1" w:lastColumn="0" w:noHBand="0" w:noVBand="1"/>
      </w:tblPr>
      <w:tblGrid>
        <w:gridCol w:w="2122"/>
        <w:gridCol w:w="7654"/>
      </w:tblGrid>
      <w:tr w:rsidR="00040238" w14:paraId="02FD2B03" w14:textId="77777777" w:rsidTr="00117E04">
        <w:tc>
          <w:tcPr>
            <w:tcW w:w="2122" w:type="dxa"/>
          </w:tcPr>
          <w:p w14:paraId="2B50C1B5" w14:textId="7A5B3E05" w:rsidR="00040238" w:rsidRDefault="00040238" w:rsidP="00040238">
            <w:pPr>
              <w:snapToGrid w:val="0"/>
              <w:spacing w:line="280" w:lineRule="exact"/>
            </w:pPr>
            <w:r>
              <w:rPr>
                <w:rFonts w:hint="eastAsia"/>
              </w:rPr>
              <w:t>ガイドライン名</w:t>
            </w:r>
          </w:p>
        </w:tc>
        <w:tc>
          <w:tcPr>
            <w:tcW w:w="7654" w:type="dxa"/>
          </w:tcPr>
          <w:p w14:paraId="13E6D51D" w14:textId="77777777" w:rsidR="00F1373F" w:rsidRDefault="00F1373F" w:rsidP="00F1373F">
            <w:pPr>
              <w:snapToGrid w:val="0"/>
            </w:pPr>
            <w:r w:rsidRPr="004C3F37">
              <w:rPr>
                <w:rFonts w:hint="eastAsia"/>
              </w:rPr>
              <w:t>EPAによるNEPA文書の審査における累積影響の考慮</w:t>
            </w:r>
          </w:p>
          <w:p w14:paraId="5423F865" w14:textId="198A6C0A" w:rsidR="00040238" w:rsidRDefault="00F1373F" w:rsidP="00F1373F">
            <w:pPr>
              <w:snapToGrid w:val="0"/>
              <w:spacing w:line="280" w:lineRule="exact"/>
            </w:pPr>
            <w:r w:rsidRPr="004C3F37">
              <w:rPr>
                <w:rFonts w:hint="eastAsia"/>
              </w:rPr>
              <w:t>Consideration Of Cumulative Impacts In EPA Review of NEPA Documents</w:t>
            </w:r>
          </w:p>
        </w:tc>
      </w:tr>
      <w:tr w:rsidR="00110F96" w14:paraId="46AEF617" w14:textId="77777777" w:rsidTr="00117E04">
        <w:tc>
          <w:tcPr>
            <w:tcW w:w="2122" w:type="dxa"/>
          </w:tcPr>
          <w:p w14:paraId="4567D048" w14:textId="58E00967" w:rsidR="00110F96" w:rsidRDefault="00110F96" w:rsidP="00110F96">
            <w:pPr>
              <w:snapToGrid w:val="0"/>
              <w:spacing w:line="280" w:lineRule="exact"/>
            </w:pPr>
            <w:r>
              <w:rPr>
                <w:rFonts w:hint="eastAsia"/>
              </w:rPr>
              <w:t>発行者、発行年月</w:t>
            </w:r>
          </w:p>
        </w:tc>
        <w:tc>
          <w:tcPr>
            <w:tcW w:w="7654" w:type="dxa"/>
          </w:tcPr>
          <w:p w14:paraId="3AAE2ADB" w14:textId="0BCCF14B" w:rsidR="00110F96" w:rsidRDefault="000523BD" w:rsidP="00110F96">
            <w:pPr>
              <w:snapToGrid w:val="0"/>
              <w:spacing w:line="280" w:lineRule="exact"/>
            </w:pPr>
            <w:r>
              <w:rPr>
                <w:rFonts w:hint="eastAsia"/>
              </w:rPr>
              <w:t>EPA（</w:t>
            </w:r>
            <w:r w:rsidRPr="00D10EC5">
              <w:t>U.S. Environmental Protection Agency</w:t>
            </w:r>
            <w:r>
              <w:rPr>
                <w:rFonts w:hint="eastAsia"/>
              </w:rPr>
              <w:t>）、1999.5</w:t>
            </w:r>
          </w:p>
        </w:tc>
      </w:tr>
      <w:tr w:rsidR="009E6B8F" w14:paraId="64204EB0" w14:textId="77777777" w:rsidTr="00117E04">
        <w:tc>
          <w:tcPr>
            <w:tcW w:w="2122" w:type="dxa"/>
          </w:tcPr>
          <w:p w14:paraId="3E8AAD16" w14:textId="68A20B55" w:rsidR="009E6B8F" w:rsidRPr="00117E04" w:rsidRDefault="009E6B8F" w:rsidP="009E6B8F">
            <w:pPr>
              <w:snapToGrid w:val="0"/>
              <w:spacing w:line="280" w:lineRule="exact"/>
            </w:pPr>
            <w:r>
              <w:rPr>
                <w:rFonts w:hint="eastAsia"/>
              </w:rPr>
              <w:t>頁数</w:t>
            </w:r>
          </w:p>
        </w:tc>
        <w:tc>
          <w:tcPr>
            <w:tcW w:w="7654" w:type="dxa"/>
          </w:tcPr>
          <w:p w14:paraId="691EF816" w14:textId="51231B8A" w:rsidR="009E6B8F" w:rsidRDefault="00E165A9" w:rsidP="009E6B8F">
            <w:pPr>
              <w:snapToGrid w:val="0"/>
              <w:spacing w:line="280" w:lineRule="exact"/>
            </w:pPr>
            <w:r>
              <w:rPr>
                <w:rFonts w:hint="eastAsia"/>
              </w:rPr>
              <w:t>22ページ</w:t>
            </w:r>
          </w:p>
        </w:tc>
      </w:tr>
      <w:tr w:rsidR="00EE4088" w14:paraId="4FBA8BC1" w14:textId="77777777" w:rsidTr="008C394E">
        <w:tc>
          <w:tcPr>
            <w:tcW w:w="2122" w:type="dxa"/>
          </w:tcPr>
          <w:p w14:paraId="387EE3F1" w14:textId="77777777" w:rsidR="008B2C4C" w:rsidRDefault="00EE4088" w:rsidP="008B2C4C">
            <w:pPr>
              <w:snapToGrid w:val="0"/>
              <w:spacing w:line="280" w:lineRule="exact"/>
            </w:pPr>
            <w:r>
              <w:rPr>
                <w:rFonts w:hint="eastAsia"/>
              </w:rPr>
              <w:t>法的根拠・位置づけ</w:t>
            </w:r>
            <w:r w:rsidR="008B2C4C" w:rsidRPr="008B2C4C">
              <w:rPr>
                <w:rFonts w:hint="eastAsia"/>
                <w:color w:val="FF0000"/>
              </w:rPr>
              <w:t>（原文 p.1）（日本語訳 p.1）</w:t>
            </w:r>
          </w:p>
          <w:p w14:paraId="77400C89" w14:textId="76FB71C2" w:rsidR="00EE4088" w:rsidRPr="00117E04" w:rsidRDefault="00EE4088" w:rsidP="008C394E">
            <w:pPr>
              <w:snapToGrid w:val="0"/>
              <w:spacing w:line="280" w:lineRule="exact"/>
            </w:pPr>
          </w:p>
        </w:tc>
        <w:tc>
          <w:tcPr>
            <w:tcW w:w="7654" w:type="dxa"/>
          </w:tcPr>
          <w:p w14:paraId="6F2DEBC3" w14:textId="3910C10B" w:rsidR="0026628A" w:rsidRDefault="00BF4FF5" w:rsidP="00BF4FF5">
            <w:pPr>
              <w:snapToGrid w:val="0"/>
              <w:spacing w:line="280" w:lineRule="exact"/>
            </w:pPr>
            <w:r>
              <w:rPr>
                <w:rFonts w:hint="eastAsia"/>
              </w:rPr>
              <w:t>NEPA文書における累積影響の評価は、環境諮問委員会（CEQ）の規則（CEQ,1987）により義務付けられている。CEQは累積影響の評価方法の改善のため、「国家環境政策法における累積影響の検討」（CEQ1997）を作成した。審査官は本ガイダンスとCEQ1997を同時に使用することが望まれる。</w:t>
            </w:r>
          </w:p>
        </w:tc>
      </w:tr>
      <w:tr w:rsidR="00117E04" w14:paraId="52B5E61D" w14:textId="77777777" w:rsidTr="00117E04">
        <w:tc>
          <w:tcPr>
            <w:tcW w:w="2122" w:type="dxa"/>
          </w:tcPr>
          <w:p w14:paraId="4123A4BA" w14:textId="6CA8CAAF" w:rsidR="00117E04" w:rsidRDefault="00117E04" w:rsidP="00117E04">
            <w:pPr>
              <w:snapToGrid w:val="0"/>
              <w:spacing w:line="280" w:lineRule="exact"/>
            </w:pPr>
            <w:r w:rsidRPr="00117E04">
              <w:rPr>
                <w:rFonts w:hint="eastAsia"/>
              </w:rPr>
              <w:t>ガイドライン対象</w:t>
            </w:r>
            <w:r w:rsidR="00FE1059">
              <w:rPr>
                <w:rFonts w:hint="eastAsia"/>
              </w:rPr>
              <w:t>者</w:t>
            </w:r>
          </w:p>
        </w:tc>
        <w:tc>
          <w:tcPr>
            <w:tcW w:w="7654" w:type="dxa"/>
          </w:tcPr>
          <w:p w14:paraId="0F733B48" w14:textId="0A7485E9" w:rsidR="009E6B8F" w:rsidRDefault="009F41B6" w:rsidP="00117E04">
            <w:pPr>
              <w:snapToGrid w:val="0"/>
              <w:spacing w:line="280" w:lineRule="exact"/>
            </w:pPr>
            <w:r>
              <w:rPr>
                <w:rFonts w:hint="eastAsia"/>
              </w:rPr>
              <w:t>EPAのNEPA文書の審査官（</w:t>
            </w:r>
            <w:r w:rsidRPr="001A2F95">
              <w:t>EPA reviewers of NEPA documents</w:t>
            </w:r>
            <w:r>
              <w:rPr>
                <w:rFonts w:hint="eastAsia"/>
              </w:rPr>
              <w:t>）</w:t>
            </w:r>
          </w:p>
        </w:tc>
      </w:tr>
      <w:tr w:rsidR="00EE4088" w14:paraId="4B90E042" w14:textId="77777777" w:rsidTr="00117E04">
        <w:tc>
          <w:tcPr>
            <w:tcW w:w="2122" w:type="dxa"/>
          </w:tcPr>
          <w:p w14:paraId="158DDFF2" w14:textId="2266C4DB" w:rsidR="00EE4088" w:rsidRPr="00117E04" w:rsidRDefault="00EE4088" w:rsidP="00117E04">
            <w:pPr>
              <w:snapToGrid w:val="0"/>
              <w:spacing w:line="280" w:lineRule="exact"/>
            </w:pPr>
            <w:r>
              <w:rPr>
                <w:rFonts w:hint="eastAsia"/>
              </w:rPr>
              <w:t>対象とする事業・計画</w:t>
            </w:r>
            <w:r w:rsidR="00FD3507" w:rsidRPr="0065153D">
              <w:rPr>
                <w:rFonts w:hint="eastAsia"/>
                <w:color w:val="FF0000"/>
              </w:rPr>
              <w:t>（原文</w:t>
            </w:r>
            <w:r w:rsidR="00FD3507">
              <w:rPr>
                <w:rFonts w:hint="eastAsia"/>
                <w:color w:val="FF0000"/>
              </w:rPr>
              <w:t>p.2、2章</w:t>
            </w:r>
            <w:r w:rsidR="00FD3507" w:rsidRPr="0065153D">
              <w:rPr>
                <w:rFonts w:hint="eastAsia"/>
                <w:color w:val="FF0000"/>
              </w:rPr>
              <w:t>）（日本語訳</w:t>
            </w:r>
            <w:r w:rsidR="00FD3507">
              <w:rPr>
                <w:rFonts w:hint="eastAsia"/>
                <w:color w:val="FF0000"/>
              </w:rPr>
              <w:t>p.2</w:t>
            </w:r>
            <w:r w:rsidR="00FD3507" w:rsidRPr="0065153D">
              <w:rPr>
                <w:rFonts w:hint="eastAsia"/>
                <w:color w:val="FF0000"/>
              </w:rPr>
              <w:t>）</w:t>
            </w:r>
          </w:p>
        </w:tc>
        <w:tc>
          <w:tcPr>
            <w:tcW w:w="7654" w:type="dxa"/>
          </w:tcPr>
          <w:p w14:paraId="7ED4FA3D" w14:textId="494B8128" w:rsidR="00217FD8" w:rsidRDefault="007D5584" w:rsidP="00117E04">
            <w:pPr>
              <w:snapToGrid w:val="0"/>
              <w:spacing w:line="280" w:lineRule="exact"/>
            </w:pPr>
            <w:r w:rsidRPr="007D5584">
              <w:rPr>
                <w:rFonts w:hint="eastAsia"/>
              </w:rPr>
              <w:t>CEQの規則（CEQ,1987）</w:t>
            </w:r>
            <w:r w:rsidR="00560A27">
              <w:rPr>
                <w:rFonts w:hint="eastAsia"/>
              </w:rPr>
              <w:t>で</w:t>
            </w:r>
            <w:r w:rsidRPr="007D5584">
              <w:rPr>
                <w:rFonts w:hint="eastAsia"/>
              </w:rPr>
              <w:t>は、各代替案の直接的影響と間接的影響とともに、累積的影響も評価しなければならないと明記している。累積的影響の検討を義務付けることで、この規則は、NEPA文書で検討される行為の範囲にプロジェクト案だけでなく、累積的影響に寄与する可能性のあるすべての行為が含まれることを保証している。</w:t>
            </w:r>
          </w:p>
        </w:tc>
      </w:tr>
      <w:tr w:rsidR="00117E04" w14:paraId="17302920" w14:textId="77777777" w:rsidTr="00117E04">
        <w:tc>
          <w:tcPr>
            <w:tcW w:w="2122" w:type="dxa"/>
          </w:tcPr>
          <w:p w14:paraId="2749BFC7" w14:textId="71996725" w:rsidR="00B4486D" w:rsidRDefault="00117E04" w:rsidP="00117E04">
            <w:pPr>
              <w:snapToGrid w:val="0"/>
              <w:spacing w:line="280" w:lineRule="exact"/>
            </w:pPr>
            <w:r w:rsidRPr="00117E04">
              <w:rPr>
                <w:rFonts w:hint="eastAsia"/>
              </w:rPr>
              <w:t>累積的影響の定義、基本的な考え方</w:t>
            </w:r>
          </w:p>
        </w:tc>
        <w:tc>
          <w:tcPr>
            <w:tcW w:w="7654" w:type="dxa"/>
          </w:tcPr>
          <w:p w14:paraId="6212D2B0" w14:textId="77777777" w:rsidR="001A18B5" w:rsidRDefault="001A18B5" w:rsidP="001A18B5">
            <w:pPr>
              <w:snapToGrid w:val="0"/>
            </w:pPr>
            <w:r w:rsidRPr="00675E05">
              <w:rPr>
                <w:rFonts w:ascii="ＭＳ ゴシック" w:eastAsia="ＭＳ ゴシック" w:hAnsi="ＭＳ ゴシック" w:hint="eastAsia"/>
                <w:b/>
                <w:bCs/>
              </w:rPr>
              <w:t>【累積</w:t>
            </w:r>
            <w:r>
              <w:rPr>
                <w:rFonts w:ascii="ＭＳ ゴシック" w:eastAsia="ＭＳ ゴシック" w:hAnsi="ＭＳ ゴシック" w:hint="eastAsia"/>
                <w:b/>
                <w:bCs/>
              </w:rPr>
              <w:t>的</w:t>
            </w:r>
            <w:r w:rsidRPr="00675E05">
              <w:rPr>
                <w:rFonts w:ascii="ＭＳ ゴシック" w:eastAsia="ＭＳ ゴシック" w:hAnsi="ＭＳ ゴシック" w:hint="eastAsia"/>
                <w:b/>
                <w:bCs/>
              </w:rPr>
              <w:t>影響</w:t>
            </w:r>
            <w:r>
              <w:rPr>
                <w:rFonts w:ascii="ＭＳ ゴシック" w:eastAsia="ＭＳ ゴシック" w:hAnsi="ＭＳ ゴシック" w:hint="eastAsia"/>
                <w:b/>
                <w:bCs/>
              </w:rPr>
              <w:t>の定義</w:t>
            </w:r>
            <w:r w:rsidRPr="00675E05">
              <w:rPr>
                <w:rFonts w:ascii="ＭＳ ゴシック" w:eastAsia="ＭＳ ゴシック" w:hAnsi="ＭＳ ゴシック" w:hint="eastAsia"/>
                <w:b/>
                <w:bCs/>
              </w:rPr>
              <w:t>】</w:t>
            </w:r>
            <w:r w:rsidRPr="0065153D">
              <w:rPr>
                <w:rFonts w:hint="eastAsia"/>
                <w:color w:val="FF0000"/>
              </w:rPr>
              <w:t>（原文</w:t>
            </w:r>
            <w:r>
              <w:rPr>
                <w:rFonts w:hint="eastAsia"/>
                <w:color w:val="FF0000"/>
              </w:rPr>
              <w:t>p.2、2章</w:t>
            </w:r>
            <w:r w:rsidRPr="0065153D">
              <w:rPr>
                <w:rFonts w:hint="eastAsia"/>
                <w:color w:val="FF0000"/>
              </w:rPr>
              <w:t>）（日本語訳</w:t>
            </w:r>
            <w:r>
              <w:rPr>
                <w:rFonts w:hint="eastAsia"/>
                <w:color w:val="FF0000"/>
              </w:rPr>
              <w:t>p.2</w:t>
            </w:r>
            <w:r w:rsidRPr="0065153D">
              <w:rPr>
                <w:rFonts w:hint="eastAsia"/>
                <w:color w:val="FF0000"/>
              </w:rPr>
              <w:t>）</w:t>
            </w:r>
          </w:p>
          <w:p w14:paraId="072984D4" w14:textId="77777777" w:rsidR="001A18B5" w:rsidRDefault="001A18B5" w:rsidP="001A18B5">
            <w:pPr>
              <w:snapToGrid w:val="0"/>
              <w:ind w:firstLineChars="100" w:firstLine="210"/>
            </w:pPr>
            <w:r w:rsidRPr="00AB48C7">
              <w:rPr>
                <w:rFonts w:hint="eastAsia"/>
              </w:rPr>
              <w:t>累積</w:t>
            </w:r>
            <w:r>
              <w:rPr>
                <w:rFonts w:hint="eastAsia"/>
              </w:rPr>
              <w:t>的</w:t>
            </w:r>
            <w:r w:rsidRPr="00AB48C7">
              <w:rPr>
                <w:rFonts w:hint="eastAsia"/>
              </w:rPr>
              <w:t>影響とは、ある</w:t>
            </w:r>
            <w:r>
              <w:rPr>
                <w:rFonts w:hint="eastAsia"/>
              </w:rPr>
              <w:t>行為</w:t>
            </w:r>
            <w:r w:rsidRPr="00AB48C7">
              <w:rPr>
                <w:rFonts w:hint="eastAsia"/>
              </w:rPr>
              <w:t>の影響が特定の場所</w:t>
            </w:r>
            <w:r>
              <w:rPr>
                <w:rFonts w:hint="eastAsia"/>
              </w:rPr>
              <w:t>及び</w:t>
            </w:r>
            <w:r w:rsidRPr="00AB48C7">
              <w:rPr>
                <w:rFonts w:hint="eastAsia"/>
              </w:rPr>
              <w:t>特定の時間内に、他の影響に加わったり、他の影響と相互作用したりする場合に生じるものである。</w:t>
            </w:r>
            <w:r w:rsidRPr="00F72859">
              <w:rPr>
                <w:rFonts w:hint="eastAsia"/>
              </w:rPr>
              <w:t>これらの影響の組み合わせと、その結果生じる環境の悪化こそが、累積的影響分析の焦点となるべきもので</w:t>
            </w:r>
            <w:r>
              <w:rPr>
                <w:rFonts w:hint="eastAsia"/>
              </w:rPr>
              <w:t>ある</w:t>
            </w:r>
            <w:r w:rsidRPr="00F72859">
              <w:rPr>
                <w:rFonts w:hint="eastAsia"/>
              </w:rPr>
              <w:t>。</w:t>
            </w:r>
          </w:p>
          <w:p w14:paraId="5ED97927" w14:textId="77777777" w:rsidR="001A18B5" w:rsidRPr="0065153D" w:rsidRDefault="001A18B5" w:rsidP="001A18B5">
            <w:pPr>
              <w:snapToGrid w:val="0"/>
              <w:ind w:firstLineChars="100" w:firstLine="210"/>
              <w:rPr>
                <w:color w:val="FF0000"/>
              </w:rPr>
            </w:pPr>
            <w:r w:rsidRPr="00AB48C7">
              <w:rPr>
                <w:rFonts w:hint="eastAsia"/>
              </w:rPr>
              <w:t>影響は</w:t>
            </w:r>
            <w:r>
              <w:rPr>
                <w:rStyle w:val="rynqvb"/>
                <w:rFonts w:hint="eastAsia"/>
              </w:rPr>
              <w:t>直接的、間接的、および累積的に分類</w:t>
            </w:r>
            <w:r w:rsidRPr="00AB48C7">
              <w:rPr>
                <w:rFonts w:hint="eastAsia"/>
              </w:rPr>
              <w:t>することができるが、累積</w:t>
            </w:r>
            <w:r>
              <w:rPr>
                <w:rFonts w:hint="eastAsia"/>
              </w:rPr>
              <w:t>的</w:t>
            </w:r>
            <w:r w:rsidRPr="00AB48C7">
              <w:rPr>
                <w:rFonts w:hint="eastAsia"/>
              </w:rPr>
              <w:t>影響の概念は、すべての</w:t>
            </w:r>
            <w:r>
              <w:rPr>
                <w:rFonts w:hint="eastAsia"/>
              </w:rPr>
              <w:t>影響</w:t>
            </w:r>
            <w:r w:rsidRPr="00AB48C7">
              <w:rPr>
                <w:rFonts w:hint="eastAsia"/>
              </w:rPr>
              <w:t>を考慮に入れる。なぜなら、累積</w:t>
            </w:r>
            <w:r>
              <w:rPr>
                <w:rFonts w:hint="eastAsia"/>
              </w:rPr>
              <w:t>的</w:t>
            </w:r>
            <w:r w:rsidRPr="00AB48C7">
              <w:rPr>
                <w:rFonts w:hint="eastAsia"/>
              </w:rPr>
              <w:t>影響は、時間の経過とともにすべての</w:t>
            </w:r>
            <w:r>
              <w:rPr>
                <w:rFonts w:hint="eastAsia"/>
              </w:rPr>
              <w:t>行為</w:t>
            </w:r>
            <w:r w:rsidRPr="00AB48C7">
              <w:rPr>
                <w:rFonts w:hint="eastAsia"/>
              </w:rPr>
              <w:t>の影響が複合的に作用するからである。</w:t>
            </w:r>
            <w:r w:rsidRPr="00CB7D7B">
              <w:rPr>
                <w:rFonts w:hint="eastAsia"/>
              </w:rPr>
              <w:t>したがって、ある</w:t>
            </w:r>
            <w:r>
              <w:rPr>
                <w:rFonts w:hint="eastAsia"/>
              </w:rPr>
              <w:t>行為</w:t>
            </w:r>
            <w:r w:rsidRPr="00CB7D7B">
              <w:rPr>
                <w:rFonts w:hint="eastAsia"/>
              </w:rPr>
              <w:t>の累積的影響は、</w:t>
            </w:r>
            <w:r>
              <w:rPr>
                <w:rFonts w:hint="eastAsia"/>
              </w:rPr>
              <w:t>当該行為の</w:t>
            </w:r>
            <w:r w:rsidRPr="00CB7D7B">
              <w:rPr>
                <w:rFonts w:hint="eastAsia"/>
              </w:rPr>
              <w:t>主体 (連邦、非連邦、または民間) に関係なく</w:t>
            </w:r>
            <w:r w:rsidRPr="00AB48C7">
              <w:rPr>
                <w:rFonts w:hint="eastAsia"/>
              </w:rPr>
              <w:t>、その</w:t>
            </w:r>
            <w:r>
              <w:rPr>
                <w:rFonts w:hint="eastAsia"/>
              </w:rPr>
              <w:t>行為</w:t>
            </w:r>
            <w:r w:rsidRPr="00AB48C7">
              <w:rPr>
                <w:rFonts w:hint="eastAsia"/>
              </w:rPr>
              <w:t>とその資源に影響を及ぼす他のすべての活動が、資源、生態系、または人間社会に及ぼす</w:t>
            </w:r>
            <w:r w:rsidRPr="00C872F5">
              <w:rPr>
                <w:rFonts w:hint="eastAsia"/>
              </w:rPr>
              <w:t>総合的な影響と見なすことができ</w:t>
            </w:r>
            <w:r>
              <w:rPr>
                <w:rFonts w:hint="eastAsia"/>
              </w:rPr>
              <w:t>る</w:t>
            </w:r>
            <w:r w:rsidRPr="00C872F5">
              <w:rPr>
                <w:rFonts w:hint="eastAsia"/>
              </w:rPr>
              <w:t>。</w:t>
            </w:r>
          </w:p>
          <w:p w14:paraId="5809B997" w14:textId="77777777" w:rsidR="001A18B5" w:rsidRDefault="001A18B5" w:rsidP="001A18B5">
            <w:pPr>
              <w:snapToGrid w:val="0"/>
            </w:pPr>
          </w:p>
          <w:p w14:paraId="0821A954" w14:textId="77777777" w:rsidR="001A18B5" w:rsidRPr="007A2278" w:rsidRDefault="001A18B5" w:rsidP="001A18B5">
            <w:pPr>
              <w:snapToGrid w:val="0"/>
              <w:rPr>
                <w:color w:val="FF0000"/>
              </w:rPr>
            </w:pPr>
            <w:r w:rsidRPr="00675E05">
              <w:rPr>
                <w:rFonts w:ascii="ＭＳ ゴシック" w:eastAsia="ＭＳ ゴシック" w:hAnsi="ＭＳ ゴシック" w:hint="eastAsia"/>
                <w:b/>
                <w:bCs/>
              </w:rPr>
              <w:t>【累積的影響を考慮すべき資源や分野】の例</w:t>
            </w:r>
            <w:r w:rsidRPr="0065153D">
              <w:rPr>
                <w:rFonts w:hint="eastAsia"/>
                <w:color w:val="FF0000"/>
              </w:rPr>
              <w:t>（原文</w:t>
            </w:r>
            <w:r>
              <w:rPr>
                <w:rFonts w:hint="eastAsia"/>
                <w:color w:val="FF0000"/>
              </w:rPr>
              <w:t>p.3、3章</w:t>
            </w:r>
            <w:r w:rsidRPr="0065153D">
              <w:rPr>
                <w:rFonts w:hint="eastAsia"/>
                <w:color w:val="FF0000"/>
              </w:rPr>
              <w:t>）（日本語訳</w:t>
            </w:r>
            <w:r>
              <w:rPr>
                <w:rFonts w:hint="eastAsia"/>
                <w:color w:val="FF0000"/>
              </w:rPr>
              <w:t>p.3</w:t>
            </w:r>
            <w:r w:rsidRPr="0065153D">
              <w:rPr>
                <w:rFonts w:hint="eastAsia"/>
                <w:color w:val="FF0000"/>
              </w:rPr>
              <w:t>）</w:t>
            </w:r>
          </w:p>
          <w:p w14:paraId="0E69BC55" w14:textId="77777777" w:rsidR="001A18B5" w:rsidRDefault="001A18B5" w:rsidP="001A18B5">
            <w:pPr>
              <w:snapToGrid w:val="0"/>
            </w:pPr>
            <w:r>
              <w:rPr>
                <w:rFonts w:hint="eastAsia"/>
              </w:rPr>
              <w:t>•</w:t>
            </w:r>
            <w:r w:rsidRPr="008C3840">
              <w:rPr>
                <w:rFonts w:hint="eastAsia"/>
              </w:rPr>
              <w:t>生態学的資源に対する事業の影響</w:t>
            </w:r>
          </w:p>
          <w:p w14:paraId="096AC0EE" w14:textId="77777777" w:rsidR="001A18B5" w:rsidRDefault="001A18B5" w:rsidP="001A18B5">
            <w:pPr>
              <w:snapToGrid w:val="0"/>
            </w:pPr>
            <w:r>
              <w:rPr>
                <w:rFonts w:hint="eastAsia"/>
              </w:rPr>
              <w:t>•</w:t>
            </w:r>
            <w:r w:rsidRPr="00E14C66">
              <w:rPr>
                <w:rFonts w:hint="eastAsia"/>
              </w:rPr>
              <w:t>社会経済的資源</w:t>
            </w:r>
          </w:p>
          <w:p w14:paraId="5F7818D7" w14:textId="77777777" w:rsidR="001A18B5" w:rsidRDefault="001A18B5" w:rsidP="001A18B5">
            <w:pPr>
              <w:snapToGrid w:val="0"/>
            </w:pPr>
            <w:r>
              <w:rPr>
                <w:rFonts w:hint="eastAsia"/>
              </w:rPr>
              <w:t>•人の健康</w:t>
            </w:r>
          </w:p>
          <w:p w14:paraId="1D5DDAA8" w14:textId="77777777" w:rsidR="001A18B5" w:rsidRDefault="001A18B5" w:rsidP="001A18B5">
            <w:pPr>
              <w:snapToGrid w:val="0"/>
            </w:pPr>
            <w:r>
              <w:rPr>
                <w:rFonts w:hint="eastAsia"/>
              </w:rPr>
              <w:t>•レクリエーション</w:t>
            </w:r>
          </w:p>
          <w:p w14:paraId="349A1DBF" w14:textId="77777777" w:rsidR="001A18B5" w:rsidRDefault="001A18B5" w:rsidP="001A18B5">
            <w:pPr>
              <w:snapToGrid w:val="0"/>
            </w:pPr>
            <w:r>
              <w:rPr>
                <w:rFonts w:hint="eastAsia"/>
              </w:rPr>
              <w:t>•</w:t>
            </w:r>
            <w:r w:rsidRPr="00CB5C9C">
              <w:rPr>
                <w:rFonts w:hint="eastAsia"/>
              </w:rPr>
              <w:t>生活の質（QOL）の問題</w:t>
            </w:r>
          </w:p>
          <w:p w14:paraId="534EF595" w14:textId="17740381" w:rsidR="00BE7CB7" w:rsidRPr="00B00E24" w:rsidRDefault="001A18B5" w:rsidP="001A18B5">
            <w:pPr>
              <w:snapToGrid w:val="0"/>
              <w:spacing w:line="280" w:lineRule="exact"/>
            </w:pPr>
            <w:r>
              <w:rPr>
                <w:rFonts w:hint="eastAsia"/>
              </w:rPr>
              <w:t>•</w:t>
            </w:r>
            <w:r w:rsidRPr="005A7978">
              <w:rPr>
                <w:rFonts w:hint="eastAsia"/>
              </w:rPr>
              <w:t>文化的・歴史的資源</w:t>
            </w:r>
          </w:p>
        </w:tc>
      </w:tr>
      <w:tr w:rsidR="00117E04" w14:paraId="43F776A1" w14:textId="77777777" w:rsidTr="00117E04">
        <w:tc>
          <w:tcPr>
            <w:tcW w:w="2122" w:type="dxa"/>
          </w:tcPr>
          <w:p w14:paraId="2DA67BDB" w14:textId="59A03466" w:rsidR="002D5BBA" w:rsidRPr="002D5BBA" w:rsidRDefault="00B00E24" w:rsidP="002D5BBA">
            <w:pPr>
              <w:snapToGrid w:val="0"/>
              <w:spacing w:line="280" w:lineRule="exact"/>
              <w:jc w:val="left"/>
            </w:pPr>
            <w:r>
              <w:rPr>
                <w:rFonts w:hint="eastAsia"/>
              </w:rPr>
              <w:t>累積的影響評価の手順</w:t>
            </w:r>
          </w:p>
        </w:tc>
        <w:tc>
          <w:tcPr>
            <w:tcW w:w="7654" w:type="dxa"/>
          </w:tcPr>
          <w:p w14:paraId="66EA421E" w14:textId="2F175983" w:rsidR="00BE7CB7" w:rsidRPr="00FC24F6" w:rsidRDefault="00315616" w:rsidP="00BE4429">
            <w:pPr>
              <w:snapToGrid w:val="0"/>
              <w:spacing w:line="240" w:lineRule="atLeast"/>
              <w:rPr>
                <w:rFonts w:hAnsi="ＭＳ 明朝"/>
              </w:rPr>
            </w:pPr>
            <w:r>
              <w:rPr>
                <w:rFonts w:hint="eastAsia"/>
              </w:rPr>
              <w:t>記載なし</w:t>
            </w:r>
          </w:p>
        </w:tc>
      </w:tr>
      <w:tr w:rsidR="009B3F54" w14:paraId="0672083A" w14:textId="77777777" w:rsidTr="00117E04">
        <w:tc>
          <w:tcPr>
            <w:tcW w:w="2122" w:type="dxa"/>
          </w:tcPr>
          <w:p w14:paraId="5776B194" w14:textId="5260F67D" w:rsidR="009B3F54" w:rsidRDefault="009B3F54" w:rsidP="00117E04">
            <w:pPr>
              <w:snapToGrid w:val="0"/>
              <w:spacing w:line="280" w:lineRule="exact"/>
            </w:pPr>
            <w:r>
              <w:rPr>
                <w:rFonts w:hint="eastAsia"/>
              </w:rPr>
              <w:t>累積的影響を受ける要素（VE、VEC等）の範囲、条件</w:t>
            </w:r>
          </w:p>
        </w:tc>
        <w:tc>
          <w:tcPr>
            <w:tcW w:w="7654" w:type="dxa"/>
          </w:tcPr>
          <w:p w14:paraId="36487CCA" w14:textId="725D728C" w:rsidR="004143C4" w:rsidRDefault="004205B7" w:rsidP="004143C4">
            <w:pPr>
              <w:snapToGrid w:val="0"/>
              <w:ind w:firstLineChars="100" w:firstLine="210"/>
            </w:pPr>
            <w:r w:rsidRPr="004205B7">
              <w:rPr>
                <w:rFonts w:hint="eastAsia"/>
              </w:rPr>
              <w:t>累積的影響分析を検討する際</w:t>
            </w:r>
            <w:r w:rsidR="004143C4" w:rsidRPr="00CE2AF9">
              <w:rPr>
                <w:rFonts w:hint="eastAsia"/>
              </w:rPr>
              <w:t>EPAの審査担当者は、NEPA分析によって、提案されている行為と他の行為によって累積的影響を受ける資源および生態系構成要素が特定されているかどうかを判断する必要がある。</w:t>
            </w:r>
          </w:p>
          <w:p w14:paraId="15E81D10" w14:textId="77777777" w:rsidR="004143C4" w:rsidRPr="00052DE7" w:rsidRDefault="004143C4" w:rsidP="004143C4">
            <w:pPr>
              <w:snapToGrid w:val="0"/>
              <w:ind w:firstLine="100"/>
            </w:pPr>
            <w:r w:rsidRPr="00CE2AF9">
              <w:rPr>
                <w:rFonts w:hint="eastAsia"/>
              </w:rPr>
              <w:t>審査担当者は、以下を考慮することによって、どの資源が累積的影響を受けるかを判断することができる</w:t>
            </w:r>
            <w:r>
              <w:rPr>
                <w:rFonts w:hint="eastAsia"/>
              </w:rPr>
              <w:t>。</w:t>
            </w:r>
          </w:p>
          <w:p w14:paraId="04AFB3D3" w14:textId="77777777" w:rsidR="004143C4" w:rsidRDefault="004143C4" w:rsidP="004143C4">
            <w:pPr>
              <w:snapToGrid w:val="0"/>
              <w:ind w:left="210" w:hangingChars="100" w:hanging="210"/>
              <w:jc w:val="left"/>
            </w:pPr>
            <w:r>
              <w:rPr>
                <w:rFonts w:hint="eastAsia"/>
              </w:rPr>
              <w:t>(1) 資源が追加的影響に対して特に脆弱であるかどうか。</w:t>
            </w:r>
          </w:p>
          <w:p w14:paraId="6392644A" w14:textId="77777777" w:rsidR="004143C4" w:rsidRDefault="004143C4" w:rsidP="004143C4">
            <w:pPr>
              <w:snapToGrid w:val="0"/>
              <w:ind w:left="210" w:hangingChars="100" w:hanging="210"/>
              <w:jc w:val="left"/>
            </w:pPr>
            <w:r>
              <w:rPr>
                <w:rFonts w:hint="eastAsia"/>
              </w:rPr>
              <w:t>(2) 提案された行為は、同じ地理的領域におけるいくつかの類似の行為の1つであるかどうか。</w:t>
            </w:r>
          </w:p>
          <w:p w14:paraId="021E6565" w14:textId="77777777" w:rsidR="004143C4" w:rsidRDefault="004143C4" w:rsidP="004143C4">
            <w:pPr>
              <w:snapToGrid w:val="0"/>
              <w:ind w:left="210" w:hangingChars="100" w:hanging="210"/>
              <w:jc w:val="left"/>
            </w:pPr>
            <w:r>
              <w:rPr>
                <w:rFonts w:hint="eastAsia"/>
              </w:rPr>
              <w:t>(3) その領域における他の活動が資源に同様の影響を及ぼしているかどうか。</w:t>
            </w:r>
          </w:p>
          <w:p w14:paraId="6324867E" w14:textId="77777777" w:rsidR="004143C4" w:rsidRDefault="004143C4" w:rsidP="004143C4">
            <w:pPr>
              <w:snapToGrid w:val="0"/>
              <w:ind w:left="210" w:hangingChars="100" w:hanging="210"/>
              <w:jc w:val="left"/>
            </w:pPr>
            <w:r>
              <w:rPr>
                <w:rFonts w:hint="eastAsia"/>
              </w:rPr>
              <w:t>(4) これらの影響がこの資源にとって過去にさかのぼって重大であったかどうか。</w:t>
            </w:r>
          </w:p>
          <w:p w14:paraId="0B486F76" w14:textId="77777777" w:rsidR="004143C4" w:rsidRDefault="004143C4" w:rsidP="004143C4">
            <w:pPr>
              <w:snapToGrid w:val="0"/>
              <w:ind w:left="210" w:hangingChars="100" w:hanging="210"/>
              <w:jc w:val="left"/>
            </w:pPr>
            <w:r>
              <w:rPr>
                <w:rFonts w:hint="eastAsia"/>
              </w:rPr>
              <w:t>(5) その領域における他の分析で累積的影響の懸念が明らかにされているかどうか。</w:t>
            </w:r>
          </w:p>
          <w:p w14:paraId="7F875919" w14:textId="1C2821F3" w:rsidR="00996F2B" w:rsidRPr="004143C4" w:rsidRDefault="00493A71" w:rsidP="009966BB">
            <w:pPr>
              <w:snapToGrid w:val="0"/>
            </w:pPr>
            <w:r w:rsidRPr="00493A71">
              <w:rPr>
                <w:rFonts w:hint="eastAsia"/>
              </w:rPr>
              <w:t>累積的影響は、広範な資源や生態系構成要素に影響を及ぼす可能性がある。NEPA</w:t>
            </w:r>
            <w:r w:rsidRPr="00493A71">
              <w:rPr>
                <w:rFonts w:hint="eastAsia"/>
              </w:rPr>
              <w:lastRenderedPageBreak/>
              <w:t>分析の中心である生物学的資源を考慮することに加え、すべき他の資源の例として、歴史的・考古学的遺跡、社会経済的サービスと問題、地域社会の構造と特性が挙げられる。累積的影響を適切に評価するためには、広範な資源の考慮が必要であるが、重大な影響を受ける資源についてのみ分析を拡大すべきである。同様に、生態系の構成要素も、累積的影響によって著しい影響を受ける場合に考慮されるべきである。累積的影響の尺度は、これらの生態系構成要素の機能に対する変化である。</w:t>
            </w:r>
          </w:p>
        </w:tc>
      </w:tr>
      <w:tr w:rsidR="004226AE" w14:paraId="0277B971" w14:textId="77777777" w:rsidTr="00117E04">
        <w:tc>
          <w:tcPr>
            <w:tcW w:w="2122" w:type="dxa"/>
          </w:tcPr>
          <w:p w14:paraId="0971198B" w14:textId="6ABB0E92" w:rsidR="004226AE" w:rsidRDefault="004226AE" w:rsidP="004226AE">
            <w:pPr>
              <w:snapToGrid w:val="0"/>
              <w:spacing w:line="280" w:lineRule="exact"/>
            </w:pPr>
            <w:r>
              <w:rPr>
                <w:rFonts w:hint="eastAsia"/>
              </w:rPr>
              <w:lastRenderedPageBreak/>
              <w:t>対象とする時間的な範囲</w:t>
            </w:r>
          </w:p>
        </w:tc>
        <w:tc>
          <w:tcPr>
            <w:tcW w:w="7654" w:type="dxa"/>
          </w:tcPr>
          <w:p w14:paraId="52EDA8F6" w14:textId="75B64B89" w:rsidR="004226AE" w:rsidRPr="00564299" w:rsidRDefault="00564299" w:rsidP="00315616">
            <w:pPr>
              <w:snapToGrid w:val="0"/>
            </w:pPr>
            <w:r>
              <w:rPr>
                <w:rFonts w:hint="eastAsia"/>
              </w:rPr>
              <w:t>時間的範囲の決定には、提案された</w:t>
            </w:r>
            <w:r w:rsidR="00315616">
              <w:rPr>
                <w:rFonts w:hint="eastAsia"/>
              </w:rPr>
              <w:t>行為の</w:t>
            </w:r>
            <w:r>
              <w:rPr>
                <w:rFonts w:hint="eastAsia"/>
              </w:rPr>
              <w:t>影響が継続する期間の見積もりが必要である。より具体的には、この時間の長さは、影響が単独で、または他の予測される影響と組み合わさって、懸念される資源に重大な影響を可能性がある限り、延長される。その行為、またはすべての行為の組み合わせが累積的影響に及ぼす影響が重大でない場合、分析は中止すべきである。累積的影響を決定する上で重要な要素は、資源の状態（すなわち、どの程度劣化しているか）であるため、分析は資源が提案された行為の影響から回復するまで延長されるべきである。</w:t>
            </w:r>
          </w:p>
        </w:tc>
      </w:tr>
      <w:tr w:rsidR="009B3F54" w14:paraId="576708A9" w14:textId="77777777" w:rsidTr="00117E04">
        <w:tc>
          <w:tcPr>
            <w:tcW w:w="2122" w:type="dxa"/>
          </w:tcPr>
          <w:p w14:paraId="597BA831" w14:textId="2E975A8D" w:rsidR="009B3F54" w:rsidRDefault="009B3F54" w:rsidP="00117E04">
            <w:pPr>
              <w:snapToGrid w:val="0"/>
              <w:spacing w:line="280" w:lineRule="exact"/>
            </w:pPr>
            <w:r>
              <w:rPr>
                <w:rFonts w:hint="eastAsia"/>
              </w:rPr>
              <w:t>対象とする空間的範囲</w:t>
            </w:r>
          </w:p>
        </w:tc>
        <w:tc>
          <w:tcPr>
            <w:tcW w:w="7654" w:type="dxa"/>
          </w:tcPr>
          <w:p w14:paraId="670AFBAD" w14:textId="77777777" w:rsidR="00A760B1" w:rsidRDefault="00A760B1" w:rsidP="00A760B1">
            <w:pPr>
              <w:snapToGrid w:val="0"/>
              <w:ind w:firstLineChars="100" w:firstLine="210"/>
            </w:pPr>
            <w:r>
              <w:rPr>
                <w:rFonts w:hint="eastAsia"/>
              </w:rPr>
              <w:t>EPAの審査担当者は、資源がどのような影響を受けるかを検討することにより、累積的影響分析の適切な空間的範囲を決定することができる。この決定には、2つの基本的な段階が含まれる：</w:t>
            </w:r>
          </w:p>
          <w:p w14:paraId="056EE5FF" w14:textId="12113C40" w:rsidR="00A760B1" w:rsidRDefault="00A760B1" w:rsidP="00A760B1">
            <w:pPr>
              <w:snapToGrid w:val="0"/>
              <w:ind w:left="210" w:hangingChars="100" w:hanging="210"/>
            </w:pPr>
            <w:r>
              <w:rPr>
                <w:rFonts w:hint="eastAsia"/>
              </w:rPr>
              <w:t>(1)提案されているプロジェクトによって影響を受ける可能性のある資源を含む地理的範囲を特定すること。</w:t>
            </w:r>
          </w:p>
          <w:p w14:paraId="0A7A1858" w14:textId="3A411394" w:rsidR="00A760B1" w:rsidRDefault="00A760B1" w:rsidP="00A760B1">
            <w:pPr>
              <w:snapToGrid w:val="0"/>
              <w:ind w:left="210" w:hangingChars="100" w:hanging="210"/>
            </w:pPr>
            <w:r>
              <w:rPr>
                <w:rFonts w:hint="eastAsia"/>
              </w:rPr>
              <w:t>(2)必要であれば、プロジェクトとその他の行為の複合的な影響によって影響を受ける同じ資源やその他の資源を含めるために、その地域を拡大する。</w:t>
            </w:r>
          </w:p>
          <w:p w14:paraId="77F043D4" w14:textId="112DF1B1" w:rsidR="009B3F54" w:rsidRPr="00D16F29" w:rsidRDefault="00A760B1" w:rsidP="00A760B1">
            <w:pPr>
              <w:snapToGrid w:val="0"/>
              <w:ind w:firstLineChars="100" w:firstLine="210"/>
            </w:pPr>
            <w:r>
              <w:rPr>
                <w:rFonts w:hint="eastAsia"/>
              </w:rPr>
              <w:t>実際には、複数の対象種や生態系の構成要素に関する地域は、1つのエコリージョンや流域で把握できることが多い。例えば、森林計画変更の影響アセスメントは、その管理森林管理単位を超えて拡大する必要があるかもしれない。その代わりに、原生地域、国立公園、州立公園、その他の連邦所有地、私有地などの一部を含む流域全体をアセスメントの範囲とすることもできる。境界線は、懸念される資源と評価対象となる特定の地域の特性に基づいて設定される。</w:t>
            </w:r>
          </w:p>
        </w:tc>
      </w:tr>
      <w:tr w:rsidR="00996F2B" w14:paraId="7DCB42D8" w14:textId="77777777" w:rsidTr="008C394E">
        <w:tc>
          <w:tcPr>
            <w:tcW w:w="2122" w:type="dxa"/>
          </w:tcPr>
          <w:p w14:paraId="324445AA" w14:textId="77777777" w:rsidR="00996F2B" w:rsidRDefault="00996F2B" w:rsidP="008C394E">
            <w:pPr>
              <w:snapToGrid w:val="0"/>
              <w:spacing w:line="280" w:lineRule="exact"/>
            </w:pPr>
            <w:r>
              <w:rPr>
                <w:rFonts w:hint="eastAsia"/>
              </w:rPr>
              <w:t>累積影響の解析の対象とする事業の範囲</w:t>
            </w:r>
          </w:p>
        </w:tc>
        <w:tc>
          <w:tcPr>
            <w:tcW w:w="7654" w:type="dxa"/>
          </w:tcPr>
          <w:p w14:paraId="00314907" w14:textId="4580CCEA" w:rsidR="004128D5" w:rsidRPr="00D5314F" w:rsidRDefault="00F654F7" w:rsidP="008C394E">
            <w:pPr>
              <w:snapToGrid w:val="0"/>
              <w:spacing w:line="280" w:lineRule="exact"/>
              <w:jc w:val="left"/>
            </w:pPr>
            <w:r>
              <w:rPr>
                <w:rFonts w:hint="eastAsia"/>
              </w:rPr>
              <w:t>記載なし</w:t>
            </w:r>
          </w:p>
        </w:tc>
      </w:tr>
      <w:tr w:rsidR="00EE4088" w14:paraId="6B5C0951" w14:textId="77777777" w:rsidTr="00117E04">
        <w:tc>
          <w:tcPr>
            <w:tcW w:w="2122" w:type="dxa"/>
          </w:tcPr>
          <w:p w14:paraId="322BB8A2" w14:textId="59833CED" w:rsidR="00EE4088" w:rsidRPr="00117E04" w:rsidRDefault="00EE4088" w:rsidP="00117E04">
            <w:pPr>
              <w:snapToGrid w:val="0"/>
              <w:spacing w:line="280" w:lineRule="exact"/>
            </w:pPr>
            <w:r>
              <w:rPr>
                <w:rFonts w:hint="eastAsia"/>
              </w:rPr>
              <w:t>解析ツール</w:t>
            </w:r>
          </w:p>
        </w:tc>
        <w:tc>
          <w:tcPr>
            <w:tcW w:w="7654" w:type="dxa"/>
          </w:tcPr>
          <w:p w14:paraId="5256EA01" w14:textId="50798108" w:rsidR="002B763A" w:rsidRDefault="001801A0" w:rsidP="002B763A">
            <w:pPr>
              <w:snapToGrid w:val="0"/>
              <w:spacing w:line="280" w:lineRule="exact"/>
              <w:jc w:val="left"/>
            </w:pPr>
            <w:r>
              <w:rPr>
                <w:rFonts w:hint="eastAsia"/>
              </w:rPr>
              <w:t>記載なし</w:t>
            </w:r>
          </w:p>
        </w:tc>
      </w:tr>
      <w:tr w:rsidR="00EE4088" w14:paraId="49B4B5C5" w14:textId="77777777" w:rsidTr="000730E2">
        <w:trPr>
          <w:trHeight w:val="132"/>
        </w:trPr>
        <w:tc>
          <w:tcPr>
            <w:tcW w:w="2122" w:type="dxa"/>
          </w:tcPr>
          <w:p w14:paraId="013E49E1" w14:textId="7F0B3B03" w:rsidR="00EE4088" w:rsidRDefault="009B3F54" w:rsidP="00117E04">
            <w:pPr>
              <w:snapToGrid w:val="0"/>
              <w:spacing w:line="280" w:lineRule="exact"/>
            </w:pPr>
            <w:r>
              <w:rPr>
                <w:rFonts w:hint="eastAsia"/>
              </w:rPr>
              <w:t>評価の考え方、閾値の設定方法・設定者等</w:t>
            </w:r>
          </w:p>
        </w:tc>
        <w:tc>
          <w:tcPr>
            <w:tcW w:w="7654" w:type="dxa"/>
          </w:tcPr>
          <w:p w14:paraId="36E44302" w14:textId="77777777" w:rsidR="00AD787C" w:rsidRDefault="00F72081" w:rsidP="004E1825">
            <w:pPr>
              <w:snapToGrid w:val="0"/>
              <w:spacing w:line="280" w:lineRule="exact"/>
              <w:ind w:firstLineChars="100" w:firstLine="210"/>
              <w:jc w:val="left"/>
            </w:pPr>
            <w:r w:rsidRPr="00F72081">
              <w:rPr>
                <w:rFonts w:hint="eastAsia"/>
              </w:rPr>
              <w:t>定性的および定量的閾値は、懸念される資源が劣化しているかどうか、および当該措置の影響と他の影響との組み合わせにより、環境機能が深刻に悪化するかどうかを示すために使用できる。EPAの審査において、閾値は、ある行為の累積的影響が重大であるかどうか、およびその資源が許容できない水準まで劣化するかどうかを判断するために使用することができる。EPAの審査担当者は、その分析に、法律または省庁の規制により義務づけられた、あるいはその他当局が使用している具体的な基準値が含まれているかどうかを判断する必要がある。具体的な閾値がない場合、分析には、当該資源が重大な影響を受けるか否か、およびその判断がどのように下されたのかについての説明を含めるべきである。</w:t>
            </w:r>
          </w:p>
          <w:p w14:paraId="4DA4E367" w14:textId="07DE41DA" w:rsidR="00F72081" w:rsidRDefault="004E1825" w:rsidP="004E1825">
            <w:pPr>
              <w:snapToGrid w:val="0"/>
              <w:spacing w:line="280" w:lineRule="exact"/>
              <w:ind w:firstLineChars="100" w:firstLine="210"/>
              <w:jc w:val="left"/>
            </w:pPr>
            <w:r w:rsidRPr="004E1825">
              <w:rPr>
                <w:rFonts w:hint="eastAsia"/>
              </w:rPr>
              <w:t>累積的影響が資源、生態系、または人間社会を著しく悪化させる閾値を決定することは、データ不足の、時として非常に困難である。決定的な閾値がない場合、NEPAの実務者は、複数の行為の累積的影響を、適切な国、地域、州、またはコミュニティの目標と比較し、総影響が重大であるかどうかを判断しなければならない。これらの望ましい条件は、NEPAプロセスを通じて、政府機関職員、プロジェクト提案者、環境アナリスト、非政府組織、および一般市民が協力することによって、最もよく定義することができる。</w:t>
            </w:r>
          </w:p>
        </w:tc>
      </w:tr>
      <w:tr w:rsidR="009B3F54" w14:paraId="11B63C26" w14:textId="77777777" w:rsidTr="00117E04">
        <w:tc>
          <w:tcPr>
            <w:tcW w:w="2122" w:type="dxa"/>
          </w:tcPr>
          <w:p w14:paraId="47DCE21B" w14:textId="1580DED9" w:rsidR="009B3F54" w:rsidRDefault="009B3F54" w:rsidP="00117E04">
            <w:pPr>
              <w:snapToGrid w:val="0"/>
              <w:spacing w:line="280" w:lineRule="exact"/>
            </w:pPr>
            <w:r>
              <w:rPr>
                <w:rFonts w:hint="eastAsia"/>
              </w:rPr>
              <w:t>ミティゲーションの責務（誰が責任を負うか）</w:t>
            </w:r>
          </w:p>
        </w:tc>
        <w:tc>
          <w:tcPr>
            <w:tcW w:w="7654" w:type="dxa"/>
          </w:tcPr>
          <w:p w14:paraId="37FB3FF8" w14:textId="77777777" w:rsidR="004B5583" w:rsidRPr="00C633AA" w:rsidRDefault="004B5583" w:rsidP="004B5583">
            <w:pPr>
              <w:snapToGrid w:val="0"/>
              <w:rPr>
                <w:sz w:val="23"/>
                <w:szCs w:val="22"/>
              </w:rPr>
            </w:pPr>
            <w:r>
              <w:rPr>
                <w:rFonts w:ascii="ＭＳ ゴシック" w:eastAsia="ＭＳ ゴシック" w:hAnsi="ＭＳ ゴシック" w:hint="eastAsia"/>
                <w:b/>
                <w:bCs/>
              </w:rPr>
              <w:t>【</w:t>
            </w:r>
            <w:r w:rsidRPr="00675E05">
              <w:rPr>
                <w:rFonts w:ascii="ＭＳ ゴシック" w:eastAsia="ＭＳ ゴシック" w:hAnsi="ＭＳ ゴシック" w:hint="eastAsia"/>
                <w:b/>
                <w:bCs/>
              </w:rPr>
              <w:t>責任の考え方</w:t>
            </w:r>
            <w:r w:rsidRPr="00675E05">
              <w:rPr>
                <w:rFonts w:ascii="ＭＳ ゴシック" w:eastAsia="ＭＳ ゴシック" w:hAnsi="ＭＳ ゴシック" w:hint="eastAsia"/>
                <w:b/>
                <w:bCs/>
                <w:sz w:val="23"/>
                <w:szCs w:val="22"/>
              </w:rPr>
              <w:t>】</w:t>
            </w:r>
            <w:r w:rsidRPr="00441B21">
              <w:rPr>
                <w:rFonts w:hint="eastAsia"/>
                <w:color w:val="FF0000"/>
                <w:sz w:val="23"/>
                <w:szCs w:val="22"/>
              </w:rPr>
              <w:t>（原文p.4、3章）（日本語訳p.4）</w:t>
            </w:r>
          </w:p>
          <w:p w14:paraId="3CD1DD7E" w14:textId="77777777" w:rsidR="004B5583" w:rsidRDefault="004B5583" w:rsidP="004B5583">
            <w:pPr>
              <w:snapToGrid w:val="0"/>
              <w:ind w:firstLineChars="100" w:firstLine="210"/>
            </w:pPr>
            <w:r>
              <w:rPr>
                <w:rFonts w:hint="eastAsia"/>
              </w:rPr>
              <w:t>累積影響が発生するかどうか判断する責任は実施機関にある。しかし、EPA審査担当者は累積影響が発生する可能性を示すのに十分な情報を意見に記載すべ</w:t>
            </w:r>
            <w:r>
              <w:rPr>
                <w:rFonts w:hint="eastAsia"/>
              </w:rPr>
              <w:lastRenderedPageBreak/>
              <w:t>きである。</w:t>
            </w:r>
          </w:p>
          <w:p w14:paraId="5A2B00CA" w14:textId="77777777" w:rsidR="004B5583" w:rsidRDefault="004B5583" w:rsidP="004B5583">
            <w:pPr>
              <w:snapToGrid w:val="0"/>
              <w:ind w:firstLineChars="100" w:firstLine="210"/>
            </w:pPr>
            <w:r>
              <w:rPr>
                <w:rFonts w:hint="eastAsia"/>
              </w:rPr>
              <w:t>累積的影響に係るミティゲーションのあり方について、本ガイドラインには、以下のようなQAが記載されている。</w:t>
            </w:r>
          </w:p>
          <w:p w14:paraId="3ECA334E" w14:textId="77777777" w:rsidR="004B5583" w:rsidRDefault="004B5583" w:rsidP="004B5583">
            <w:pPr>
              <w:snapToGrid w:val="0"/>
              <w:ind w:firstLineChars="100" w:firstLine="210"/>
            </w:pPr>
            <w:r>
              <w:rPr>
                <w:rFonts w:hint="eastAsia"/>
              </w:rPr>
              <w:t>Q：</w:t>
            </w:r>
            <w:r w:rsidRPr="00590C99">
              <w:rPr>
                <w:rFonts w:hint="eastAsia"/>
              </w:rPr>
              <w:t>EPAのコメントは、累積影響に対する</w:t>
            </w:r>
            <w:r>
              <w:rPr>
                <w:rFonts w:hint="eastAsia"/>
              </w:rPr>
              <w:t>ミティゲーション</w:t>
            </w:r>
            <w:r w:rsidRPr="00590C99">
              <w:rPr>
                <w:rFonts w:hint="eastAsia"/>
              </w:rPr>
              <w:t>を提案すべきか</w:t>
            </w:r>
            <w:r>
              <w:rPr>
                <w:rFonts w:hint="eastAsia"/>
              </w:rPr>
              <w:t>。</w:t>
            </w:r>
          </w:p>
          <w:p w14:paraId="6E1EFCB8" w14:textId="77777777" w:rsidR="004B5583" w:rsidRDefault="004B5583" w:rsidP="004B5583">
            <w:pPr>
              <w:snapToGrid w:val="0"/>
            </w:pPr>
            <w:r>
              <w:rPr>
                <w:rFonts w:hint="eastAsia"/>
              </w:rPr>
              <w:t>A：</w:t>
            </w:r>
            <w:r w:rsidRPr="00D0785B">
              <w:rPr>
                <w:rFonts w:hint="eastAsia"/>
              </w:rPr>
              <w:t>EPAのコメントには、プロジェクトの累積影響に対応する</w:t>
            </w:r>
            <w:r>
              <w:rPr>
                <w:rFonts w:hint="eastAsia"/>
              </w:rPr>
              <w:t>ミティゲーション</w:t>
            </w:r>
            <w:r w:rsidRPr="00D0785B">
              <w:rPr>
                <w:rFonts w:hint="eastAsia"/>
              </w:rPr>
              <w:t>を推奨することが適切である。コメントは、累積様々な要因に対応する、様々な</w:t>
            </w:r>
            <w:r>
              <w:rPr>
                <w:rFonts w:hint="eastAsia"/>
              </w:rPr>
              <w:t>ミティゲーション</w:t>
            </w:r>
            <w:r w:rsidRPr="00D0785B">
              <w:rPr>
                <w:rFonts w:hint="eastAsia"/>
              </w:rPr>
              <w:t>を提案すべきである。</w:t>
            </w:r>
            <w:r>
              <w:rPr>
                <w:rFonts w:hint="eastAsia"/>
              </w:rPr>
              <w:t>それは、</w:t>
            </w:r>
            <w:r w:rsidRPr="00D0785B">
              <w:rPr>
                <w:rFonts w:hint="eastAsia"/>
              </w:rPr>
              <w:t>最低限、</w:t>
            </w:r>
            <w:r>
              <w:rPr>
                <w:rFonts w:hint="eastAsia"/>
              </w:rPr>
              <w:t>累</w:t>
            </w:r>
            <w:r w:rsidRPr="00D0785B">
              <w:rPr>
                <w:rFonts w:hint="eastAsia"/>
              </w:rPr>
              <w:t>積</w:t>
            </w:r>
            <w:r>
              <w:rPr>
                <w:rFonts w:hint="eastAsia"/>
              </w:rPr>
              <w:t>的</w:t>
            </w:r>
            <w:r w:rsidRPr="00D0785B">
              <w:rPr>
                <w:rFonts w:hint="eastAsia"/>
              </w:rPr>
              <w:t>影響に対する本プロジェクトの寄与に対処するものでなければならない。さらに、提案されているプロジェクト以外の活動によって引き起こされる累積影響に対処するための</w:t>
            </w:r>
            <w:r>
              <w:rPr>
                <w:rFonts w:hint="eastAsia"/>
              </w:rPr>
              <w:t>ミティゲーション</w:t>
            </w:r>
            <w:r w:rsidRPr="00D0785B">
              <w:rPr>
                <w:rFonts w:hint="eastAsia"/>
              </w:rPr>
              <w:t>を提案することが適切である。例えば、異なる政府機関や民間団体が、長期間にわたって累積影響に寄与している場合、これらの団体間でパートナーシップを形成し、環境回復に取り組むことを</w:t>
            </w:r>
            <w:r>
              <w:rPr>
                <w:rFonts w:hint="eastAsia"/>
              </w:rPr>
              <w:t>ミティゲーション</w:t>
            </w:r>
            <w:r w:rsidRPr="00D0785B">
              <w:rPr>
                <w:rFonts w:hint="eastAsia"/>
              </w:rPr>
              <w:t>に含めることができる。</w:t>
            </w:r>
            <w:r>
              <w:rPr>
                <w:rFonts w:hint="eastAsia"/>
              </w:rPr>
              <w:t>ミティゲーション</w:t>
            </w:r>
            <w:r w:rsidRPr="00D0785B">
              <w:rPr>
                <w:rFonts w:hint="eastAsia"/>
              </w:rPr>
              <w:t>に関するEPAの提案は、その対策を実施する管轄権を行為機関が有しているかどうかによって必ずしも制約を受けるわけではなく、その対策は現実的かつ技術的に実行可能であるべきであることに留意することが重要である。</w:t>
            </w:r>
          </w:p>
          <w:p w14:paraId="7FDB0E08" w14:textId="2D346E59" w:rsidR="00C64E35" w:rsidRPr="004B5583" w:rsidRDefault="00C64E35" w:rsidP="00606CA7">
            <w:pPr>
              <w:snapToGrid w:val="0"/>
              <w:spacing w:line="280" w:lineRule="exact"/>
              <w:jc w:val="left"/>
            </w:pPr>
          </w:p>
        </w:tc>
      </w:tr>
      <w:tr w:rsidR="009B3F54" w14:paraId="2BE4C036" w14:textId="77777777" w:rsidTr="00117E04">
        <w:tc>
          <w:tcPr>
            <w:tcW w:w="2122" w:type="dxa"/>
          </w:tcPr>
          <w:p w14:paraId="722B4D91" w14:textId="4845866F" w:rsidR="009B3F54" w:rsidRPr="00117E04" w:rsidRDefault="009B3F54" w:rsidP="00117E04">
            <w:pPr>
              <w:snapToGrid w:val="0"/>
              <w:spacing w:line="280" w:lineRule="exact"/>
            </w:pPr>
            <w:r>
              <w:rPr>
                <w:rFonts w:hint="eastAsia"/>
              </w:rPr>
              <w:lastRenderedPageBreak/>
              <w:t>モニタリングの責務、範囲</w:t>
            </w:r>
          </w:p>
        </w:tc>
        <w:tc>
          <w:tcPr>
            <w:tcW w:w="7654" w:type="dxa"/>
          </w:tcPr>
          <w:p w14:paraId="024BAAD1" w14:textId="6C81ECA4" w:rsidR="009B3F54" w:rsidRDefault="0026291C" w:rsidP="00486175">
            <w:pPr>
              <w:snapToGrid w:val="0"/>
              <w:ind w:left="210" w:hangingChars="100" w:hanging="210"/>
              <w:jc w:val="left"/>
            </w:pPr>
            <w:r>
              <w:rPr>
                <w:rFonts w:hint="eastAsia"/>
              </w:rPr>
              <w:t>記載なし</w:t>
            </w:r>
          </w:p>
        </w:tc>
      </w:tr>
      <w:tr w:rsidR="009B3F54" w14:paraId="7C86B46F" w14:textId="77777777" w:rsidTr="00117E04">
        <w:tc>
          <w:tcPr>
            <w:tcW w:w="2122" w:type="dxa"/>
          </w:tcPr>
          <w:p w14:paraId="533E4003" w14:textId="270F74E6" w:rsidR="009B3F54" w:rsidRDefault="009B3F54" w:rsidP="00117E04">
            <w:pPr>
              <w:snapToGrid w:val="0"/>
              <w:spacing w:line="280" w:lineRule="exact"/>
            </w:pPr>
            <w:r>
              <w:rPr>
                <w:rFonts w:hint="eastAsia"/>
              </w:rPr>
              <w:t>累積的影響評価における住民参加</w:t>
            </w:r>
          </w:p>
        </w:tc>
        <w:tc>
          <w:tcPr>
            <w:tcW w:w="7654" w:type="dxa"/>
          </w:tcPr>
          <w:p w14:paraId="162AA19D" w14:textId="44F45371" w:rsidR="00212294" w:rsidRDefault="004641E7" w:rsidP="00A87D85">
            <w:pPr>
              <w:snapToGrid w:val="0"/>
              <w:spacing w:line="280" w:lineRule="exact"/>
              <w:jc w:val="left"/>
            </w:pPr>
            <w:r>
              <w:rPr>
                <w:rFonts w:hint="eastAsia"/>
              </w:rPr>
              <w:t>記載なし</w:t>
            </w:r>
          </w:p>
        </w:tc>
      </w:tr>
      <w:tr w:rsidR="009B3F54" w14:paraId="2556573E" w14:textId="77777777" w:rsidTr="008C316C">
        <w:trPr>
          <w:trHeight w:val="1505"/>
        </w:trPr>
        <w:tc>
          <w:tcPr>
            <w:tcW w:w="2122" w:type="dxa"/>
          </w:tcPr>
          <w:p w14:paraId="2EBAD001" w14:textId="3BFB765B" w:rsidR="009B3F54" w:rsidRDefault="009B3F54" w:rsidP="00117E04">
            <w:pPr>
              <w:snapToGrid w:val="0"/>
              <w:spacing w:line="280" w:lineRule="exact"/>
            </w:pPr>
            <w:r>
              <w:rPr>
                <w:rFonts w:hint="eastAsia"/>
              </w:rPr>
              <w:t>データベース等支援システム</w:t>
            </w:r>
            <w:r w:rsidR="00F1076E">
              <w:rPr>
                <w:rFonts w:hint="eastAsia"/>
              </w:rPr>
              <w:t>の有無</w:t>
            </w:r>
          </w:p>
        </w:tc>
        <w:tc>
          <w:tcPr>
            <w:tcW w:w="7654" w:type="dxa"/>
          </w:tcPr>
          <w:p w14:paraId="4FCA777A" w14:textId="688B8B3D" w:rsidR="009B3F54" w:rsidRDefault="006C6160" w:rsidP="00D0173E">
            <w:pPr>
              <w:snapToGrid w:val="0"/>
              <w:spacing w:line="280" w:lineRule="exact"/>
              <w:jc w:val="left"/>
            </w:pPr>
            <w:r>
              <w:rPr>
                <w:rFonts w:hint="eastAsia"/>
              </w:rPr>
              <w:t>記載なし</w:t>
            </w:r>
          </w:p>
        </w:tc>
      </w:tr>
      <w:tr w:rsidR="00EF7670" w14:paraId="263836C4" w14:textId="77777777" w:rsidTr="00117E04">
        <w:tc>
          <w:tcPr>
            <w:tcW w:w="2122" w:type="dxa"/>
          </w:tcPr>
          <w:p w14:paraId="749BDFBF" w14:textId="7BF746C9" w:rsidR="00EF7670" w:rsidRDefault="00EF7670" w:rsidP="00EF7670">
            <w:pPr>
              <w:snapToGrid w:val="0"/>
              <w:spacing w:line="280" w:lineRule="exact"/>
            </w:pPr>
            <w:r w:rsidRPr="00117E04">
              <w:rPr>
                <w:rFonts w:hint="eastAsia"/>
              </w:rPr>
              <w:t>推奨されている優良事例とそのポイント</w:t>
            </w:r>
          </w:p>
        </w:tc>
        <w:tc>
          <w:tcPr>
            <w:tcW w:w="7654" w:type="dxa"/>
          </w:tcPr>
          <w:p w14:paraId="78D3321B" w14:textId="77777777" w:rsidR="00EF7670" w:rsidRPr="009E087D" w:rsidRDefault="00EF7670" w:rsidP="00EF7670">
            <w:pPr>
              <w:snapToGrid w:val="0"/>
              <w:rPr>
                <w:rFonts w:ascii="ＭＳ ゴシック" w:eastAsia="ＭＳ ゴシック" w:hAnsi="ＭＳ ゴシック"/>
                <w:b/>
                <w:bCs/>
              </w:rPr>
            </w:pPr>
            <w:r w:rsidRPr="009E087D">
              <w:rPr>
                <w:rFonts w:ascii="ＭＳ ゴシック" w:eastAsia="ＭＳ ゴシック" w:hAnsi="ＭＳ ゴシック" w:hint="eastAsia"/>
                <w:b/>
                <w:bCs/>
              </w:rPr>
              <w:t>＜資源と生態系の構成要素＞を検討する際に役立つ情報が記載されている文書</w:t>
            </w:r>
            <w:r w:rsidRPr="0065153D">
              <w:rPr>
                <w:rFonts w:hint="eastAsia"/>
                <w:color w:val="FF0000"/>
              </w:rPr>
              <w:t>（原文</w:t>
            </w:r>
            <w:r>
              <w:rPr>
                <w:rFonts w:hint="eastAsia"/>
                <w:color w:val="FF0000"/>
              </w:rPr>
              <w:t>p.5、4-1章</w:t>
            </w:r>
            <w:r w:rsidRPr="0065153D">
              <w:rPr>
                <w:rFonts w:hint="eastAsia"/>
                <w:color w:val="FF0000"/>
              </w:rPr>
              <w:t>）（日本語訳</w:t>
            </w:r>
            <w:r>
              <w:rPr>
                <w:rFonts w:hint="eastAsia"/>
                <w:color w:val="FF0000"/>
              </w:rPr>
              <w:t>p.5</w:t>
            </w:r>
            <w:r w:rsidRPr="0065153D">
              <w:rPr>
                <w:rFonts w:hint="eastAsia"/>
                <w:color w:val="FF0000"/>
              </w:rPr>
              <w:t>）</w:t>
            </w:r>
          </w:p>
          <w:p w14:paraId="5936247A" w14:textId="77777777" w:rsidR="00EF7670" w:rsidRDefault="00EF7670" w:rsidP="00EF7670">
            <w:r>
              <w:rPr>
                <w:rFonts w:hint="eastAsia"/>
              </w:rPr>
              <w:t>・</w:t>
            </w:r>
            <w:r w:rsidRPr="00C81083">
              <w:rPr>
                <w:rFonts w:hint="eastAsia"/>
              </w:rPr>
              <w:t>生息地の評価:環境分析レビューの問題</w:t>
            </w:r>
            <w:r w:rsidRPr="00D108BC">
              <w:rPr>
                <w:rFonts w:hint="eastAsia"/>
              </w:rPr>
              <w:t>（</w:t>
            </w:r>
            <w:r>
              <w:rPr>
                <w:rFonts w:hint="eastAsia"/>
              </w:rPr>
              <w:t>EPA</w:t>
            </w:r>
            <w:r w:rsidRPr="00D108BC">
              <w:rPr>
                <w:rFonts w:hint="eastAsia"/>
              </w:rPr>
              <w:t>,1993）</w:t>
            </w:r>
          </w:p>
          <w:p w14:paraId="0D22411A" w14:textId="77777777" w:rsidR="00EF7670" w:rsidRDefault="00EF7670" w:rsidP="00EF7670">
            <w:pPr>
              <w:snapToGrid w:val="0"/>
              <w:ind w:left="210" w:hangingChars="100" w:hanging="210"/>
            </w:pPr>
            <w:r>
              <w:rPr>
                <w:rFonts w:hint="eastAsia"/>
              </w:rPr>
              <w:t>・</w:t>
            </w:r>
            <w:r w:rsidRPr="00AF121E">
              <w:rPr>
                <w:rFonts w:hint="eastAsia"/>
              </w:rPr>
              <w:t>国家環境政策法に基づく環境影響分析への生物多様性の考慮の組み込み</w:t>
            </w:r>
            <w:r w:rsidRPr="00D108BC">
              <w:rPr>
                <w:rFonts w:hint="eastAsia"/>
              </w:rPr>
              <w:t>（</w:t>
            </w:r>
            <w:r>
              <w:rPr>
                <w:rFonts w:hint="eastAsia"/>
              </w:rPr>
              <w:t>CEQ</w:t>
            </w:r>
            <w:r w:rsidRPr="00D108BC">
              <w:rPr>
                <w:rFonts w:hint="eastAsia"/>
              </w:rPr>
              <w:t>,1993）</w:t>
            </w:r>
          </w:p>
          <w:p w14:paraId="762841AF" w14:textId="77777777" w:rsidR="00EF7670" w:rsidRDefault="00EF7670" w:rsidP="00EF7670">
            <w:pPr>
              <w:snapToGrid w:val="0"/>
              <w:ind w:left="210" w:hangingChars="100" w:hanging="210"/>
            </w:pPr>
            <w:r>
              <w:rPr>
                <w:rFonts w:hint="eastAsia"/>
              </w:rPr>
              <w:t>・</w:t>
            </w:r>
            <w:r w:rsidRPr="001C35BF">
              <w:rPr>
                <w:rFonts w:hint="eastAsia"/>
              </w:rPr>
              <w:t>高速道路開発による生態学的影響の評価</w:t>
            </w:r>
            <w:r w:rsidRPr="00D108BC">
              <w:rPr>
                <w:rFonts w:hint="eastAsia"/>
              </w:rPr>
              <w:t>（</w:t>
            </w:r>
            <w:r>
              <w:rPr>
                <w:rFonts w:hint="eastAsia"/>
              </w:rPr>
              <w:t>EPA</w:t>
            </w:r>
            <w:r w:rsidRPr="00D108BC">
              <w:rPr>
                <w:rFonts w:hint="eastAsia"/>
              </w:rPr>
              <w:t>,199</w:t>
            </w:r>
            <w:r>
              <w:rPr>
                <w:rFonts w:hint="eastAsia"/>
              </w:rPr>
              <w:t>4</w:t>
            </w:r>
            <w:r w:rsidRPr="00D108BC">
              <w:rPr>
                <w:rFonts w:hint="eastAsia"/>
              </w:rPr>
              <w:t>）</w:t>
            </w:r>
          </w:p>
          <w:p w14:paraId="016CBC1B" w14:textId="77777777" w:rsidR="00EF7670" w:rsidRDefault="00EF7670" w:rsidP="00EF7670">
            <w:pPr>
              <w:snapToGrid w:val="0"/>
              <w:ind w:left="210" w:hangingChars="100" w:hanging="210"/>
            </w:pPr>
          </w:p>
          <w:p w14:paraId="43791014" w14:textId="77777777" w:rsidR="00EF7670" w:rsidRDefault="00EF7670" w:rsidP="00EF7670">
            <w:pPr>
              <w:snapToGrid w:val="0"/>
              <w:ind w:left="211" w:hangingChars="100" w:hanging="211"/>
              <w:rPr>
                <w:color w:val="FF0000"/>
              </w:rPr>
            </w:pPr>
            <w:r w:rsidRPr="009E087D">
              <w:rPr>
                <w:rFonts w:ascii="ＭＳ ゴシック" w:eastAsia="ＭＳ ゴシック" w:hAnsi="ＭＳ ゴシック" w:hint="eastAsia"/>
                <w:b/>
                <w:bCs/>
              </w:rPr>
              <w:t>＜資源と生態系の構成要素＞についての優良事例</w:t>
            </w:r>
            <w:r w:rsidRPr="0065153D">
              <w:rPr>
                <w:rFonts w:hint="eastAsia"/>
                <w:color w:val="FF0000"/>
              </w:rPr>
              <w:t>（原文</w:t>
            </w:r>
            <w:r>
              <w:rPr>
                <w:rFonts w:hint="eastAsia"/>
                <w:color w:val="FF0000"/>
              </w:rPr>
              <w:t>p.7、4-1章</w:t>
            </w:r>
            <w:r w:rsidRPr="0065153D">
              <w:rPr>
                <w:rFonts w:hint="eastAsia"/>
                <w:color w:val="FF0000"/>
              </w:rPr>
              <w:t>）（日本語訳</w:t>
            </w:r>
            <w:r>
              <w:rPr>
                <w:rFonts w:hint="eastAsia"/>
                <w:color w:val="FF0000"/>
              </w:rPr>
              <w:t>p.6</w:t>
            </w:r>
            <w:r w:rsidRPr="0065153D">
              <w:rPr>
                <w:rFonts w:hint="eastAsia"/>
                <w:color w:val="FF0000"/>
              </w:rPr>
              <w:t>）</w:t>
            </w:r>
          </w:p>
          <w:p w14:paraId="166AB8EB" w14:textId="77777777" w:rsidR="00EF7670" w:rsidRDefault="00EF7670" w:rsidP="00EF7670">
            <w:pPr>
              <w:snapToGrid w:val="0"/>
              <w:ind w:left="210" w:hangingChars="100" w:hanging="210"/>
              <w:rPr>
                <w:rStyle w:val="rynqvb"/>
              </w:rPr>
            </w:pPr>
            <w:r>
              <w:rPr>
                <w:rStyle w:val="rynqvb"/>
                <w:rFonts w:hint="eastAsia"/>
              </w:rPr>
              <w:t>・</w:t>
            </w:r>
            <w:r w:rsidRPr="004346E6">
              <w:rPr>
                <w:rStyle w:val="rynqvb"/>
                <w:rFonts w:hint="eastAsia"/>
              </w:rPr>
              <w:t>MT州ビーバーヘッド国有林ウィズダム・レンジャー地区トレイル・クリーク木材販売に関する補足情報報告書</w:t>
            </w:r>
            <w:r w:rsidRPr="00095EDE">
              <w:rPr>
                <w:rStyle w:val="rynqvb"/>
                <w:rFonts w:hint="eastAsia"/>
              </w:rPr>
              <w:t>（Forest Service, 1991）</w:t>
            </w:r>
          </w:p>
          <w:p w14:paraId="1744D2A9" w14:textId="77777777" w:rsidR="00EF7670" w:rsidRDefault="00EF7670" w:rsidP="00EF7670">
            <w:pPr>
              <w:snapToGrid w:val="0"/>
              <w:ind w:left="210" w:hangingChars="100" w:hanging="210"/>
              <w:rPr>
                <w:rStyle w:val="rynqvb"/>
              </w:rPr>
            </w:pPr>
            <w:r>
              <w:rPr>
                <w:rStyle w:val="rynqvb"/>
                <w:rFonts w:hint="eastAsia"/>
              </w:rPr>
              <w:t>→</w:t>
            </w:r>
            <w:r w:rsidRPr="00F24463">
              <w:rPr>
                <w:rStyle w:val="rynqvb"/>
                <w:rFonts w:hint="eastAsia"/>
              </w:rPr>
              <w:t>報告書では、約1万年前の更新世氷河の後退以来、トレイル・クリーク地域の成熟した森林とそれに関連する野生動植物種の分布と生息数を絶えず変化させてきた、火災や昆虫などの自然攪乱プロセスという観点から、潜在的な影響を検討した。</w:t>
            </w:r>
          </w:p>
          <w:p w14:paraId="46525537" w14:textId="77777777" w:rsidR="00EF7670" w:rsidRDefault="00EF7670" w:rsidP="00EF7670">
            <w:pPr>
              <w:snapToGrid w:val="0"/>
              <w:ind w:left="210" w:hangingChars="100" w:hanging="210"/>
            </w:pPr>
            <w:r>
              <w:rPr>
                <w:rFonts w:hint="eastAsia"/>
              </w:rPr>
              <w:t>・</w:t>
            </w:r>
            <w:r w:rsidRPr="00A2776F">
              <w:rPr>
                <w:rFonts w:hint="eastAsia"/>
              </w:rPr>
              <w:t>後期更新林と老齢林関連種の生息地の管理に関する補足EIS草案</w:t>
            </w:r>
            <w:r w:rsidRPr="00D108BC">
              <w:rPr>
                <w:rFonts w:hint="eastAsia"/>
              </w:rPr>
              <w:t>（Forest Service and BLM,1993）</w:t>
            </w:r>
          </w:p>
          <w:p w14:paraId="5F9C052E" w14:textId="77777777" w:rsidR="00EF7670" w:rsidRDefault="00EF7670" w:rsidP="00EF7670">
            <w:pPr>
              <w:snapToGrid w:val="0"/>
              <w:ind w:left="210" w:hangingChars="100" w:hanging="210"/>
            </w:pPr>
            <w:r>
              <w:rPr>
                <w:rFonts w:hint="eastAsia"/>
              </w:rPr>
              <w:t>・</w:t>
            </w:r>
            <w:r w:rsidRPr="00C36BB5">
              <w:rPr>
                <w:rFonts w:hint="eastAsia"/>
              </w:rPr>
              <w:t>現在のコロンビア流域内部管理プロジェクトのEIS草案</w:t>
            </w:r>
            <w:r w:rsidRPr="00C67E7D">
              <w:rPr>
                <w:rFonts w:hint="eastAsia"/>
              </w:rPr>
              <w:t>（Forest Service and BLM,1997）</w:t>
            </w:r>
          </w:p>
          <w:p w14:paraId="7F7FAC9E" w14:textId="77777777" w:rsidR="00EF7670" w:rsidRDefault="00EF7670" w:rsidP="00EF7670">
            <w:pPr>
              <w:snapToGrid w:val="0"/>
              <w:ind w:left="210" w:hangingChars="100" w:hanging="210"/>
            </w:pPr>
            <w:r>
              <w:rPr>
                <w:rFonts w:hint="eastAsia"/>
              </w:rPr>
              <w:t>→</w:t>
            </w:r>
            <w:r w:rsidRPr="009F0605">
              <w:rPr>
                <w:rFonts w:hint="eastAsia"/>
              </w:rPr>
              <w:t>景観レベルの生態系プロセスは従来見過ごされてきたが、現在では複数の活動によって累積的に影響を受ける可能性が最も高い資源のひとつと考えられている。林野庁や他の機関は現在、これらの資源をよりよく考慮するために、多くのNEPA分析に生態系アプローチを適用している。</w:t>
            </w:r>
          </w:p>
          <w:p w14:paraId="600E33B7" w14:textId="77777777" w:rsidR="00EF7670" w:rsidRDefault="00EF7670" w:rsidP="00EF7670">
            <w:pPr>
              <w:snapToGrid w:val="0"/>
              <w:ind w:left="210" w:hangingChars="100" w:hanging="210"/>
            </w:pPr>
          </w:p>
          <w:p w14:paraId="1BE2D94F" w14:textId="77777777" w:rsidR="00EF7670" w:rsidRPr="009E087D" w:rsidRDefault="00EF7670" w:rsidP="00EF7670">
            <w:pPr>
              <w:snapToGrid w:val="0"/>
              <w:ind w:left="211" w:hangingChars="100" w:hanging="211"/>
              <w:rPr>
                <w:rFonts w:ascii="ＭＳ ゴシック" w:eastAsia="ＭＳ ゴシック" w:hAnsi="ＭＳ ゴシック"/>
                <w:b/>
                <w:bCs/>
              </w:rPr>
            </w:pPr>
            <w:r w:rsidRPr="009E087D">
              <w:rPr>
                <w:rFonts w:ascii="ＭＳ ゴシック" w:eastAsia="ＭＳ ゴシック" w:hAnsi="ＭＳ ゴシック" w:hint="eastAsia"/>
                <w:b/>
                <w:bCs/>
              </w:rPr>
              <w:lastRenderedPageBreak/>
              <w:t>＜地理的境界と期間＞についての優良事例</w:t>
            </w:r>
            <w:r w:rsidRPr="0065153D">
              <w:rPr>
                <w:rFonts w:hint="eastAsia"/>
                <w:color w:val="FF0000"/>
              </w:rPr>
              <w:t>（原文</w:t>
            </w:r>
            <w:r>
              <w:rPr>
                <w:rFonts w:hint="eastAsia"/>
                <w:color w:val="FF0000"/>
              </w:rPr>
              <w:t>p.9、4-2章</w:t>
            </w:r>
            <w:r w:rsidRPr="0065153D">
              <w:rPr>
                <w:rFonts w:hint="eastAsia"/>
                <w:color w:val="FF0000"/>
              </w:rPr>
              <w:t>）（日本語訳</w:t>
            </w:r>
            <w:r>
              <w:rPr>
                <w:rFonts w:hint="eastAsia"/>
                <w:color w:val="FF0000"/>
              </w:rPr>
              <w:t>p.7</w:t>
            </w:r>
            <w:r w:rsidRPr="0065153D">
              <w:rPr>
                <w:rFonts w:hint="eastAsia"/>
                <w:color w:val="FF0000"/>
              </w:rPr>
              <w:t>）</w:t>
            </w:r>
          </w:p>
          <w:p w14:paraId="68B77FC4" w14:textId="77777777" w:rsidR="00EF7670" w:rsidRDefault="00EF7670" w:rsidP="00EF7670">
            <w:pPr>
              <w:snapToGrid w:val="0"/>
              <w:ind w:left="210" w:hangingChars="100" w:hanging="210"/>
            </w:pPr>
            <w:r>
              <w:rPr>
                <w:rFonts w:hint="eastAsia"/>
              </w:rPr>
              <w:t>・</w:t>
            </w:r>
            <w:r w:rsidRPr="0081062B">
              <w:rPr>
                <w:rFonts w:hint="eastAsia"/>
              </w:rPr>
              <w:t>後期遷移林および老齢林関連種の生息地管理に関する最終補足EIS</w:t>
            </w:r>
            <w:r w:rsidRPr="0009148E">
              <w:rPr>
                <w:rFonts w:hint="eastAsia"/>
              </w:rPr>
              <w:t>（林野庁およびBLM</w:t>
            </w:r>
            <w:r w:rsidRPr="00C67E7D">
              <w:rPr>
                <w:rFonts w:hint="eastAsia"/>
              </w:rPr>
              <w:t>,</w:t>
            </w:r>
            <w:r w:rsidRPr="0009148E">
              <w:rPr>
                <w:rFonts w:hint="eastAsia"/>
              </w:rPr>
              <w:t>1994年）</w:t>
            </w:r>
          </w:p>
          <w:p w14:paraId="62AD7AC3" w14:textId="77777777" w:rsidR="00EF7670" w:rsidRDefault="00EF7670" w:rsidP="00EF7670">
            <w:pPr>
              <w:snapToGrid w:val="0"/>
              <w:ind w:left="210" w:hangingChars="100" w:hanging="210"/>
            </w:pPr>
            <w:r>
              <w:rPr>
                <w:rFonts w:hint="eastAsia"/>
              </w:rPr>
              <w:t>→</w:t>
            </w:r>
            <w:r w:rsidRPr="00AB1F01">
              <w:rPr>
                <w:rFonts w:hint="eastAsia"/>
              </w:rPr>
              <w:t>行政単位と自然地域を組み合わせた調査境界の重要な例</w:t>
            </w:r>
          </w:p>
          <w:p w14:paraId="344B6EA5" w14:textId="77777777" w:rsidR="00EF7670" w:rsidRDefault="00EF7670" w:rsidP="00EF7670">
            <w:pPr>
              <w:snapToGrid w:val="0"/>
              <w:ind w:left="210" w:hangingChars="100" w:hanging="210"/>
            </w:pPr>
            <w:r>
              <w:rPr>
                <w:rFonts w:hint="eastAsia"/>
              </w:rPr>
              <w:t>・</w:t>
            </w:r>
            <w:r w:rsidRPr="00C240D9">
              <w:rPr>
                <w:rFonts w:hint="eastAsia"/>
              </w:rPr>
              <w:t>ニュージャージー州ハッケンサック・メドウランズ地区の特別地域管理計画（SAMP）に関するEIS草案（EPAおよび陸軍工兵隊</w:t>
            </w:r>
            <w:r w:rsidRPr="00C67E7D">
              <w:rPr>
                <w:rFonts w:hint="eastAsia"/>
              </w:rPr>
              <w:t>,</w:t>
            </w:r>
            <w:r w:rsidRPr="00C240D9">
              <w:rPr>
                <w:rFonts w:hint="eastAsia"/>
              </w:rPr>
              <w:t>1995年）</w:t>
            </w:r>
          </w:p>
          <w:p w14:paraId="4CE087AF" w14:textId="77777777" w:rsidR="00EF7670" w:rsidRDefault="00EF7670" w:rsidP="00EF7670">
            <w:pPr>
              <w:snapToGrid w:val="0"/>
              <w:ind w:left="210" w:hangingChars="100" w:hanging="210"/>
            </w:pPr>
            <w:r>
              <w:rPr>
                <w:rFonts w:hint="eastAsia"/>
              </w:rPr>
              <w:t>→</w:t>
            </w:r>
            <w:r w:rsidRPr="005975D3">
              <w:rPr>
                <w:rFonts w:hint="eastAsia"/>
              </w:rPr>
              <w:t>管理の有用性と資源の関連性の両方について、政治的境界と自然的境界の両方を考慮した調査地域を作成したもう1つの例</w:t>
            </w:r>
          </w:p>
          <w:p w14:paraId="5CC212F3" w14:textId="77777777" w:rsidR="00EF7670" w:rsidRDefault="00EF7670" w:rsidP="00EF7670">
            <w:pPr>
              <w:snapToGrid w:val="0"/>
              <w:ind w:left="210" w:hangingChars="100" w:hanging="210"/>
            </w:pPr>
            <w:r>
              <w:rPr>
                <w:rFonts w:hint="eastAsia"/>
              </w:rPr>
              <w:t>・</w:t>
            </w:r>
            <w:r w:rsidRPr="0081062B">
              <w:rPr>
                <w:rFonts w:hint="eastAsia"/>
              </w:rPr>
              <w:t>後期遷移林および老齢林関連種の生息地管理に関する最終補足EIS</w:t>
            </w:r>
            <w:r w:rsidRPr="0009148E">
              <w:rPr>
                <w:rFonts w:hint="eastAsia"/>
              </w:rPr>
              <w:t>（林野庁およびBLM</w:t>
            </w:r>
            <w:r w:rsidRPr="00C67E7D">
              <w:rPr>
                <w:rFonts w:hint="eastAsia"/>
              </w:rPr>
              <w:t>,</w:t>
            </w:r>
            <w:r w:rsidRPr="0009148E">
              <w:rPr>
                <w:rFonts w:hint="eastAsia"/>
              </w:rPr>
              <w:t>1994年）</w:t>
            </w:r>
          </w:p>
          <w:p w14:paraId="1C5DCDF8" w14:textId="77777777" w:rsidR="00EF7670" w:rsidRDefault="00EF7670" w:rsidP="00EF7670">
            <w:pPr>
              <w:snapToGrid w:val="0"/>
              <w:ind w:left="210" w:hangingChars="100" w:hanging="210"/>
            </w:pPr>
            <w:r>
              <w:rPr>
                <w:rFonts w:hint="eastAsia"/>
              </w:rPr>
              <w:t>→</w:t>
            </w:r>
            <w:r w:rsidRPr="006A3551">
              <w:rPr>
                <w:rFonts w:hint="eastAsia"/>
              </w:rPr>
              <w:t>持続可能な生態系条件の回復または維持の可能性を検討するため、十分に時間を先取りしたものであった。</w:t>
            </w:r>
          </w:p>
          <w:p w14:paraId="55B366D4" w14:textId="77777777" w:rsidR="00EF7670" w:rsidRDefault="00EF7670" w:rsidP="00EF7670">
            <w:pPr>
              <w:snapToGrid w:val="0"/>
              <w:ind w:left="210" w:hangingChars="100" w:hanging="210"/>
            </w:pPr>
          </w:p>
          <w:p w14:paraId="5E7CB4A5" w14:textId="77777777" w:rsidR="00EF7670" w:rsidRPr="0044599E" w:rsidRDefault="00EF7670" w:rsidP="00EF7670">
            <w:pPr>
              <w:snapToGrid w:val="0"/>
            </w:pPr>
            <w:r w:rsidRPr="009E087D">
              <w:rPr>
                <w:rFonts w:ascii="ＭＳ ゴシック" w:eastAsia="ＭＳ ゴシック" w:hAnsi="ＭＳ ゴシック" w:hint="eastAsia"/>
                <w:b/>
                <w:bCs/>
              </w:rPr>
              <w:t>＜過去、現在、および合理的に予測可能な将来の行動＞についての優良事例</w:t>
            </w:r>
            <w:r w:rsidRPr="0065153D">
              <w:rPr>
                <w:rFonts w:hint="eastAsia"/>
                <w:color w:val="FF0000"/>
              </w:rPr>
              <w:t>（原文</w:t>
            </w:r>
            <w:r>
              <w:rPr>
                <w:rFonts w:hint="eastAsia"/>
                <w:color w:val="FF0000"/>
              </w:rPr>
              <w:t>p.13、4-3章</w:t>
            </w:r>
            <w:r w:rsidRPr="0065153D">
              <w:rPr>
                <w:rFonts w:hint="eastAsia"/>
                <w:color w:val="FF0000"/>
              </w:rPr>
              <w:t>）（日本語訳</w:t>
            </w:r>
            <w:r>
              <w:rPr>
                <w:rFonts w:hint="eastAsia"/>
                <w:color w:val="FF0000"/>
              </w:rPr>
              <w:t>p.10</w:t>
            </w:r>
            <w:r w:rsidRPr="0065153D">
              <w:rPr>
                <w:rFonts w:hint="eastAsia"/>
                <w:color w:val="FF0000"/>
              </w:rPr>
              <w:t>）</w:t>
            </w:r>
          </w:p>
          <w:p w14:paraId="712B11C7" w14:textId="77777777" w:rsidR="00EF7670" w:rsidRDefault="00EF7670" w:rsidP="00EF7670">
            <w:pPr>
              <w:snapToGrid w:val="0"/>
              <w:ind w:left="210" w:hangingChars="100" w:hanging="210"/>
            </w:pPr>
            <w:r>
              <w:rPr>
                <w:rFonts w:hint="eastAsia"/>
              </w:rPr>
              <w:t>・</w:t>
            </w:r>
            <w:r w:rsidRPr="0052290D">
              <w:rPr>
                <w:rFonts w:hint="eastAsia"/>
              </w:rPr>
              <w:t>コメンスメント湾の自然資源被害評価：修復計画および最終計画EIS（FWS and NOAA,1997）</w:t>
            </w:r>
          </w:p>
          <w:p w14:paraId="1C55F874" w14:textId="77777777" w:rsidR="00EF7670" w:rsidRDefault="00EF7670" w:rsidP="00EF7670">
            <w:pPr>
              <w:snapToGrid w:val="0"/>
              <w:ind w:left="210" w:hangingChars="100" w:hanging="210"/>
            </w:pPr>
            <w:r>
              <w:rPr>
                <w:rFonts w:hint="eastAsia"/>
              </w:rPr>
              <w:t>→</w:t>
            </w:r>
            <w:r w:rsidRPr="00B86CD5">
              <w:rPr>
                <w:rFonts w:hint="eastAsia"/>
              </w:rPr>
              <w:t>歴史的記録と証拠写真を組み合わせて、干潟と湿原の生息地の98％が過去に失われたことを定量化することによって、多くの様々な過去の行動を含めるという問題に対処した。</w:t>
            </w:r>
          </w:p>
          <w:p w14:paraId="2929490B" w14:textId="77777777" w:rsidR="00EF7670" w:rsidRDefault="00EF7670" w:rsidP="00EF7670">
            <w:pPr>
              <w:snapToGrid w:val="0"/>
              <w:ind w:left="210" w:hangingChars="100" w:hanging="210"/>
            </w:pPr>
            <w:r>
              <w:rPr>
                <w:rFonts w:hint="eastAsia"/>
              </w:rPr>
              <w:t>・</w:t>
            </w:r>
            <w:r w:rsidRPr="002B2053">
              <w:rPr>
                <w:rFonts w:hint="eastAsia"/>
              </w:rPr>
              <w:t>カリフォルニア州サンバーナーディーノ郡キャッスルマウンテンプロジェクトの最終EIS（BLM</w:t>
            </w:r>
            <w:r w:rsidRPr="00C67E7D">
              <w:rPr>
                <w:rFonts w:hint="eastAsia"/>
              </w:rPr>
              <w:t>,</w:t>
            </w:r>
            <w:r w:rsidRPr="002B2053">
              <w:rPr>
                <w:rFonts w:hint="eastAsia"/>
              </w:rPr>
              <w:t>1990）</w:t>
            </w:r>
          </w:p>
          <w:p w14:paraId="2FE3E8BD" w14:textId="77777777" w:rsidR="00EF7670" w:rsidRDefault="00EF7670" w:rsidP="00EF7670">
            <w:pPr>
              <w:snapToGrid w:val="0"/>
              <w:ind w:left="210" w:hangingChars="100" w:hanging="210"/>
            </w:pPr>
            <w:r>
              <w:rPr>
                <w:rFonts w:hint="eastAsia"/>
              </w:rPr>
              <w:t>→</w:t>
            </w:r>
            <w:r w:rsidRPr="00FC18C5">
              <w:rPr>
                <w:rFonts w:hint="eastAsia"/>
              </w:rPr>
              <w:t>12の懸念資源に累積的に影響を及ぼす可能性のある、26の他の既存および提案中の活動を考慮した。</w:t>
            </w:r>
          </w:p>
          <w:p w14:paraId="556467E9" w14:textId="77777777" w:rsidR="00EF7670" w:rsidRDefault="00EF7670" w:rsidP="00EF7670">
            <w:pPr>
              <w:snapToGrid w:val="0"/>
              <w:ind w:left="210" w:hangingChars="100" w:hanging="210"/>
            </w:pPr>
            <w:r>
              <w:rPr>
                <w:rFonts w:hint="eastAsia"/>
              </w:rPr>
              <w:t>・</w:t>
            </w:r>
            <w:r w:rsidRPr="00507242">
              <w:rPr>
                <w:rFonts w:hint="eastAsia"/>
              </w:rPr>
              <w:t>ペンシルベニア州フィラデルフィアの海軍基地の廃棄と再利用のためのEIS草案（海軍省</w:t>
            </w:r>
            <w:r w:rsidRPr="00C67E7D">
              <w:rPr>
                <w:rFonts w:hint="eastAsia"/>
              </w:rPr>
              <w:t>,</w:t>
            </w:r>
            <w:r w:rsidRPr="00507242">
              <w:rPr>
                <w:rFonts w:hint="eastAsia"/>
              </w:rPr>
              <w:t>1995年）</w:t>
            </w:r>
          </w:p>
          <w:p w14:paraId="07F339E7" w14:textId="77777777" w:rsidR="00EF7670" w:rsidRDefault="00EF7670" w:rsidP="00EF7670">
            <w:pPr>
              <w:snapToGrid w:val="0"/>
              <w:ind w:left="210" w:hangingChars="100" w:hanging="210"/>
            </w:pPr>
            <w:r>
              <w:rPr>
                <w:rFonts w:hint="eastAsia"/>
              </w:rPr>
              <w:t>→</w:t>
            </w:r>
            <w:r w:rsidRPr="005A2BDF">
              <w:rPr>
                <w:rFonts w:hint="eastAsia"/>
              </w:rPr>
              <w:t>南フィラデルフィアの一般的な成長傾向、その他の土地利用開発計画、国防総省の他の機関による関連活動、海軍基地の再編、造船所施設の民間造船業者へのリース提案、基地外の交通機関の大幅な改善提案など、「関連した、累積的な、類似の既存および潜在的な活動」</w:t>
            </w:r>
            <w:r>
              <w:rPr>
                <w:rFonts w:hint="eastAsia"/>
              </w:rPr>
              <w:t>に対処した。</w:t>
            </w:r>
          </w:p>
          <w:p w14:paraId="190107BF" w14:textId="77777777" w:rsidR="00EF7670" w:rsidRDefault="00EF7670" w:rsidP="00EF7670">
            <w:pPr>
              <w:snapToGrid w:val="0"/>
              <w:ind w:left="210" w:hangingChars="100" w:hanging="210"/>
            </w:pPr>
          </w:p>
          <w:p w14:paraId="5792E009" w14:textId="77777777" w:rsidR="00EF7670" w:rsidRPr="009E087D" w:rsidRDefault="00EF7670" w:rsidP="00EF7670">
            <w:pPr>
              <w:snapToGrid w:val="0"/>
              <w:rPr>
                <w:rStyle w:val="rynqvb"/>
                <w:rFonts w:ascii="ＭＳ ゴシック" w:eastAsia="ＭＳ ゴシック" w:hAnsi="ＭＳ ゴシック"/>
                <w:b/>
                <w:bCs/>
              </w:rPr>
            </w:pPr>
            <w:r w:rsidRPr="009E087D">
              <w:rPr>
                <w:rFonts w:ascii="ＭＳ ゴシック" w:eastAsia="ＭＳ ゴシック" w:hAnsi="ＭＳ ゴシック" w:hint="eastAsia"/>
                <w:b/>
                <w:bCs/>
              </w:rPr>
              <w:t>＜</w:t>
            </w:r>
            <w:r w:rsidRPr="009E087D">
              <w:rPr>
                <w:rStyle w:val="rynqvb"/>
                <w:rFonts w:ascii="ＭＳ ゴシック" w:eastAsia="ＭＳ ゴシック" w:hAnsi="ＭＳ ゴシック" w:hint="eastAsia"/>
                <w:b/>
                <w:bCs/>
              </w:rPr>
              <w:t>環境の状態の記述＞</w:t>
            </w:r>
            <w:r w:rsidRPr="009E087D">
              <w:rPr>
                <w:rFonts w:ascii="ＭＳ ゴシック" w:eastAsia="ＭＳ ゴシック" w:hAnsi="ＭＳ ゴシック" w:hint="eastAsia"/>
                <w:b/>
                <w:bCs/>
              </w:rPr>
              <w:t>についての優良事例</w:t>
            </w:r>
            <w:r w:rsidRPr="0065153D">
              <w:rPr>
                <w:rFonts w:hint="eastAsia"/>
                <w:color w:val="FF0000"/>
              </w:rPr>
              <w:t>（原文</w:t>
            </w:r>
            <w:r>
              <w:rPr>
                <w:rFonts w:hint="eastAsia"/>
                <w:color w:val="FF0000"/>
              </w:rPr>
              <w:t>p.17、4-4章</w:t>
            </w:r>
            <w:r w:rsidRPr="0065153D">
              <w:rPr>
                <w:rFonts w:hint="eastAsia"/>
                <w:color w:val="FF0000"/>
              </w:rPr>
              <w:t>）（日本語訳</w:t>
            </w:r>
            <w:r>
              <w:rPr>
                <w:rFonts w:hint="eastAsia"/>
                <w:color w:val="FF0000"/>
              </w:rPr>
              <w:t>p.12</w:t>
            </w:r>
            <w:r w:rsidRPr="0065153D">
              <w:rPr>
                <w:rFonts w:hint="eastAsia"/>
                <w:color w:val="FF0000"/>
              </w:rPr>
              <w:t>）</w:t>
            </w:r>
          </w:p>
          <w:p w14:paraId="38A99535" w14:textId="77777777" w:rsidR="00EF7670" w:rsidRDefault="00EF7670" w:rsidP="00EF7670">
            <w:pPr>
              <w:snapToGrid w:val="0"/>
              <w:ind w:left="210" w:hangingChars="100" w:hanging="210"/>
            </w:pPr>
            <w:r>
              <w:rPr>
                <w:rFonts w:hint="eastAsia"/>
              </w:rPr>
              <w:t>・</w:t>
            </w:r>
            <w:r w:rsidRPr="009E07B4">
              <w:rPr>
                <w:rFonts w:hint="eastAsia"/>
              </w:rPr>
              <w:t>林野庁のスノーマス・スキー場最終環境影響評価書（林野庁</w:t>
            </w:r>
            <w:r w:rsidRPr="00C67E7D">
              <w:rPr>
                <w:rFonts w:hint="eastAsia"/>
              </w:rPr>
              <w:t>,</w:t>
            </w:r>
            <w:r w:rsidRPr="009E07B4">
              <w:rPr>
                <w:rFonts w:hint="eastAsia"/>
              </w:rPr>
              <w:t>1994年）</w:t>
            </w:r>
          </w:p>
          <w:p w14:paraId="5CCDE739" w14:textId="77777777" w:rsidR="00EF7670" w:rsidRDefault="00EF7670" w:rsidP="00EF7670">
            <w:pPr>
              <w:snapToGrid w:val="0"/>
              <w:ind w:left="210" w:hangingChars="100" w:hanging="210"/>
            </w:pPr>
            <w:r>
              <w:rPr>
                <w:rFonts w:hint="eastAsia"/>
              </w:rPr>
              <w:t>・</w:t>
            </w:r>
            <w:r w:rsidRPr="009E07B4">
              <w:rPr>
                <w:rFonts w:hint="eastAsia"/>
              </w:rPr>
              <w:t>陸軍工兵隊のエルク・クリーク湖最終環境影響評価書（陸軍工兵隊</w:t>
            </w:r>
            <w:r w:rsidRPr="00C67E7D">
              <w:rPr>
                <w:rFonts w:hint="eastAsia"/>
              </w:rPr>
              <w:t>,</w:t>
            </w:r>
            <w:r w:rsidRPr="009E07B4">
              <w:rPr>
                <w:rFonts w:hint="eastAsia"/>
              </w:rPr>
              <w:t>1991年）</w:t>
            </w:r>
          </w:p>
          <w:p w14:paraId="622C4ECC" w14:textId="77777777" w:rsidR="00EF7670" w:rsidRDefault="00EF7670" w:rsidP="00EF7670">
            <w:pPr>
              <w:snapToGrid w:val="0"/>
              <w:ind w:left="210" w:hangingChars="100" w:hanging="210"/>
            </w:pPr>
            <w:r>
              <w:rPr>
                <w:rFonts w:hint="eastAsia"/>
              </w:rPr>
              <w:t>→</w:t>
            </w:r>
            <w:r w:rsidRPr="0063400A">
              <w:rPr>
                <w:rFonts w:hint="eastAsia"/>
              </w:rPr>
              <w:t>どちらも代替案の比較のためにベースライン条件を定義している。スノーマス・スキー場の拡張による潜在的な環境影響を評価するにあたり、林野庁は「開発前」の基準点を設定し、そこから過去、現在、そして合理的に予測可能な将来のすべての環境影響を調査した。その結果、EISは様々な資源への累積影響について包括的な考察を行った。</w:t>
            </w:r>
          </w:p>
          <w:p w14:paraId="58D7C0D3" w14:textId="77777777" w:rsidR="00EF7670" w:rsidRDefault="00EF7670" w:rsidP="00EF7670">
            <w:pPr>
              <w:snapToGrid w:val="0"/>
              <w:ind w:left="210" w:hangingChars="100" w:hanging="210"/>
            </w:pPr>
          </w:p>
          <w:p w14:paraId="680D3AE3" w14:textId="77777777" w:rsidR="00EF7670" w:rsidRPr="009E087D" w:rsidRDefault="00EF7670" w:rsidP="00EF7670">
            <w:pPr>
              <w:snapToGrid w:val="0"/>
              <w:ind w:left="211" w:hangingChars="100" w:hanging="211"/>
              <w:rPr>
                <w:rFonts w:ascii="ＭＳ ゴシック" w:eastAsia="ＭＳ ゴシック" w:hAnsi="ＭＳ ゴシック"/>
                <w:b/>
                <w:bCs/>
              </w:rPr>
            </w:pPr>
            <w:r w:rsidRPr="009E087D">
              <w:rPr>
                <w:rFonts w:ascii="ＭＳ ゴシック" w:eastAsia="ＭＳ ゴシック" w:hAnsi="ＭＳ ゴシック" w:hint="eastAsia"/>
                <w:b/>
                <w:bCs/>
              </w:rPr>
              <w:t>＜閾値を用いた資源劣化の評価＞についての優良事例</w:t>
            </w:r>
            <w:r w:rsidRPr="0065153D">
              <w:rPr>
                <w:rFonts w:hint="eastAsia"/>
                <w:color w:val="FF0000"/>
              </w:rPr>
              <w:t>（原文</w:t>
            </w:r>
            <w:r>
              <w:rPr>
                <w:rFonts w:hint="eastAsia"/>
                <w:color w:val="FF0000"/>
              </w:rPr>
              <w:t>p.19、4-5章</w:t>
            </w:r>
            <w:r w:rsidRPr="0065153D">
              <w:rPr>
                <w:rFonts w:hint="eastAsia"/>
                <w:color w:val="FF0000"/>
              </w:rPr>
              <w:t>）（日本語訳</w:t>
            </w:r>
            <w:r>
              <w:rPr>
                <w:rFonts w:hint="eastAsia"/>
                <w:color w:val="FF0000"/>
              </w:rPr>
              <w:t>p.14</w:t>
            </w:r>
            <w:r w:rsidRPr="0065153D">
              <w:rPr>
                <w:rFonts w:hint="eastAsia"/>
                <w:color w:val="FF0000"/>
              </w:rPr>
              <w:t>）</w:t>
            </w:r>
          </w:p>
          <w:p w14:paraId="5E99074E" w14:textId="77777777" w:rsidR="00EF7670" w:rsidRDefault="00EF7670" w:rsidP="00EF7670">
            <w:pPr>
              <w:snapToGrid w:val="0"/>
              <w:ind w:left="210" w:hangingChars="100" w:hanging="210"/>
            </w:pPr>
            <w:r>
              <w:rPr>
                <w:rFonts w:hint="eastAsia"/>
              </w:rPr>
              <w:t>・</w:t>
            </w:r>
            <w:r w:rsidRPr="005A046E">
              <w:rPr>
                <w:rFonts w:hint="eastAsia"/>
              </w:rPr>
              <w:t>オハイオ川上流域における水力発電</w:t>
            </w:r>
            <w:r>
              <w:rPr>
                <w:rFonts w:hint="eastAsia"/>
              </w:rPr>
              <w:t>に関する</w:t>
            </w:r>
            <w:r w:rsidRPr="005A046E">
              <w:rPr>
                <w:rFonts w:hint="eastAsia"/>
              </w:rPr>
              <w:t>最終EIS（FERC,1988）</w:t>
            </w:r>
          </w:p>
          <w:p w14:paraId="2FBA2A4E" w14:textId="77777777" w:rsidR="00EF7670" w:rsidRDefault="00EF7670" w:rsidP="00EF7670">
            <w:pPr>
              <w:snapToGrid w:val="0"/>
              <w:ind w:left="210" w:hangingChars="100" w:hanging="210"/>
            </w:pPr>
            <w:r>
              <w:rPr>
                <w:rFonts w:hint="eastAsia"/>
              </w:rPr>
              <w:t>→</w:t>
            </w:r>
            <w:r w:rsidRPr="004E2BE3">
              <w:rPr>
                <w:rFonts w:hint="eastAsia"/>
              </w:rPr>
              <w:t>連邦エネルギー規制委員会は、</w:t>
            </w:r>
            <w:r w:rsidRPr="00736F5C">
              <w:rPr>
                <w:rFonts w:hint="eastAsia"/>
              </w:rPr>
              <w:t>次々にタービンを追加してダムを増設することで減少した流出量と曝気量をモデル化して、溶存酸素が基準を下回るポイントを決定</w:t>
            </w:r>
            <w:r w:rsidRPr="004E2BE3">
              <w:rPr>
                <w:rFonts w:hint="eastAsia"/>
              </w:rPr>
              <w:t>した。</w:t>
            </w:r>
          </w:p>
          <w:p w14:paraId="13F5CC8D" w14:textId="77777777" w:rsidR="00EF7670" w:rsidRDefault="00EF7670" w:rsidP="00EF7670">
            <w:pPr>
              <w:snapToGrid w:val="0"/>
              <w:ind w:left="210" w:hangingChars="100" w:hanging="210"/>
            </w:pPr>
            <w:r>
              <w:rPr>
                <w:rFonts w:hint="eastAsia"/>
              </w:rPr>
              <w:t>・</w:t>
            </w:r>
            <w:r w:rsidRPr="003C0843">
              <w:rPr>
                <w:rFonts w:hint="eastAsia"/>
              </w:rPr>
              <w:t>イリノイ州レイク郡とマクヘンリー郡のフォックス川とチェーン・オー・レーク地域におけるレクリエーショナル・ボートの累積影響に関するEIS草案</w:t>
            </w:r>
          </w:p>
          <w:p w14:paraId="57B50B5F" w14:textId="77777777" w:rsidR="00EF7670" w:rsidRDefault="00EF7670" w:rsidP="00EF7670">
            <w:pPr>
              <w:snapToGrid w:val="0"/>
              <w:ind w:left="210" w:hangingChars="100" w:hanging="210"/>
            </w:pPr>
            <w:r>
              <w:rPr>
                <w:rFonts w:hint="eastAsia"/>
              </w:rPr>
              <w:t>→</w:t>
            </w:r>
            <w:r w:rsidRPr="00E86517">
              <w:rPr>
                <w:rFonts w:hint="eastAsia"/>
              </w:rPr>
              <w:t>植生の生育に必要な水の透明度のしきい値を設定することで、ボートの往来が水生生物の運搬能力に与える影響を評価した。同時に、人々が混雑していると感じるボートの数という社会収容力の閾値も設定した。</w:t>
            </w:r>
          </w:p>
          <w:p w14:paraId="578226A8" w14:textId="77777777" w:rsidR="00EF7670" w:rsidRDefault="00EF7670" w:rsidP="00EF7670">
            <w:pPr>
              <w:snapToGrid w:val="0"/>
              <w:ind w:left="210" w:hangingChars="100" w:hanging="210"/>
            </w:pPr>
            <w:r>
              <w:rPr>
                <w:rFonts w:hint="eastAsia"/>
              </w:rPr>
              <w:lastRenderedPageBreak/>
              <w:t>・</w:t>
            </w:r>
            <w:r w:rsidRPr="00A329E7">
              <w:rPr>
                <w:rFonts w:hint="eastAsia"/>
              </w:rPr>
              <w:t>後期更新林と老齢林関連種の生息地の管理に関する補足EIS草案（Forest Service and BLM, 1993）</w:t>
            </w:r>
          </w:p>
          <w:p w14:paraId="1AE38A2A" w14:textId="3711F17E" w:rsidR="00EF7670" w:rsidRDefault="00EF7670" w:rsidP="00EF7670">
            <w:pPr>
              <w:snapToGrid w:val="0"/>
              <w:spacing w:line="280" w:lineRule="exact"/>
            </w:pPr>
            <w:r>
              <w:rPr>
                <w:rFonts w:hint="eastAsia"/>
              </w:rPr>
              <w:t>→</w:t>
            </w:r>
            <w:r w:rsidRPr="00C13496">
              <w:rPr>
                <w:rFonts w:hint="eastAsia"/>
              </w:rPr>
              <w:t>「種の生存可能性を確保する可能性」を評価するために、パネルの専門家の意見に頼る必要があ</w:t>
            </w:r>
            <w:r>
              <w:rPr>
                <w:rFonts w:hint="eastAsia"/>
              </w:rPr>
              <w:t>った。</w:t>
            </w:r>
          </w:p>
        </w:tc>
      </w:tr>
      <w:tr w:rsidR="00EF7670" w14:paraId="7034AC13" w14:textId="77777777" w:rsidTr="00117E04">
        <w:tc>
          <w:tcPr>
            <w:tcW w:w="2122" w:type="dxa"/>
          </w:tcPr>
          <w:p w14:paraId="077A78D6" w14:textId="4FB2D2D7" w:rsidR="00EF7670" w:rsidRDefault="00EF7670" w:rsidP="00EF7670">
            <w:pPr>
              <w:snapToGrid w:val="0"/>
              <w:spacing w:line="280" w:lineRule="exact"/>
            </w:pPr>
            <w:r>
              <w:rPr>
                <w:rFonts w:hint="eastAsia"/>
              </w:rPr>
              <w:lastRenderedPageBreak/>
              <w:t>累積的影響評価を実施する上での課題等</w:t>
            </w:r>
          </w:p>
        </w:tc>
        <w:tc>
          <w:tcPr>
            <w:tcW w:w="7654" w:type="dxa"/>
          </w:tcPr>
          <w:p w14:paraId="007A55A8" w14:textId="7B4833F4" w:rsidR="00EF7670" w:rsidRDefault="00CE2F75" w:rsidP="00EF7670">
            <w:pPr>
              <w:snapToGrid w:val="0"/>
              <w:spacing w:line="280" w:lineRule="exact"/>
            </w:pPr>
            <w:r w:rsidRPr="00CE2F75">
              <w:rPr>
                <w:rFonts w:hint="eastAsia"/>
              </w:rPr>
              <w:t>NEPA文書は一般に、累積的影響によって影響を受ける可能性のある限られた数の資源のみを考慮する。さらに、生物資源への影響の評価は、一般的に、選ばれた狩猟種、連邦または州の絶滅危惧種、湿地生息地に限定されてきた。これらのアプローチはあまりに限定的であり、影響を受ける可能性のある他の貴重な資源を検討するために拡大されるべきであると同時に、より広範な潜在的影響を検討すべきである。</w:t>
            </w:r>
          </w:p>
        </w:tc>
      </w:tr>
      <w:tr w:rsidR="00EF7670" w14:paraId="0370DAE4" w14:textId="77777777" w:rsidTr="00117E04">
        <w:tc>
          <w:tcPr>
            <w:tcW w:w="2122" w:type="dxa"/>
          </w:tcPr>
          <w:p w14:paraId="76E0BB69" w14:textId="77777777" w:rsidR="00EF7670" w:rsidRDefault="00EF7670" w:rsidP="00EF7670">
            <w:pPr>
              <w:snapToGrid w:val="0"/>
              <w:spacing w:line="280" w:lineRule="exact"/>
            </w:pPr>
            <w:r>
              <w:rPr>
                <w:rFonts w:hint="eastAsia"/>
              </w:rPr>
              <w:t>その他特記事項</w:t>
            </w:r>
          </w:p>
          <w:p w14:paraId="5599B7F2" w14:textId="6D092445" w:rsidR="00EF7670" w:rsidRDefault="00EF7670" w:rsidP="00EF7670">
            <w:pPr>
              <w:snapToGrid w:val="0"/>
              <w:spacing w:line="280" w:lineRule="exact"/>
              <w:jc w:val="right"/>
            </w:pPr>
          </w:p>
        </w:tc>
        <w:tc>
          <w:tcPr>
            <w:tcW w:w="7654" w:type="dxa"/>
          </w:tcPr>
          <w:p w14:paraId="3875F68D" w14:textId="77777777" w:rsidR="00C0132D" w:rsidRDefault="00C0132D" w:rsidP="00EF7670">
            <w:pPr>
              <w:snapToGrid w:val="0"/>
              <w:spacing w:line="280" w:lineRule="exact"/>
            </w:pPr>
            <w:r>
              <w:rPr>
                <w:rFonts w:hint="eastAsia"/>
              </w:rPr>
              <w:t>本ガイドラインは、NEPA審査官の審査のためのものであるため、他のガイドラインとは書き方が異なる。なお、NEPA文書を作成する事業者や実務者向けには、</w:t>
            </w:r>
            <w:r w:rsidRPr="00590C99">
              <w:t xml:space="preserve">CEQ </w:t>
            </w:r>
            <w:r>
              <w:rPr>
                <w:rFonts w:hint="eastAsia"/>
              </w:rPr>
              <w:t>のハンドブック</w:t>
            </w:r>
            <w:r w:rsidRPr="00590C99">
              <w:t xml:space="preserve"> "Considering Cumulative Effects under the National Environmental Policy Act" (CEQ 1997)</w:t>
            </w:r>
            <w:r>
              <w:rPr>
                <w:rFonts w:hint="eastAsia"/>
              </w:rPr>
              <w:t>がある。</w:t>
            </w:r>
          </w:p>
          <w:p w14:paraId="0532A858" w14:textId="28BE37BB" w:rsidR="00EF7670" w:rsidRDefault="002D09C9" w:rsidP="00EF7670">
            <w:pPr>
              <w:snapToGrid w:val="0"/>
              <w:spacing w:line="280" w:lineRule="exact"/>
            </w:pPr>
            <w:hyperlink r:id="rId7" w:history="1">
              <w:r w:rsidRPr="00B42546">
                <w:rPr>
                  <w:rStyle w:val="af1"/>
                </w:rPr>
                <w:t>https://www.epa.gov/sites/default/files/2014-08/documents/cumulative.pdf</w:t>
              </w:r>
            </w:hyperlink>
            <w:r w:rsidR="00C0132D">
              <w:rPr>
                <w:rFonts w:hint="eastAsia"/>
              </w:rPr>
              <w:t xml:space="preserve">　</w:t>
            </w:r>
          </w:p>
        </w:tc>
      </w:tr>
    </w:tbl>
    <w:p w14:paraId="5EDFF910" w14:textId="77777777" w:rsidR="00117E04" w:rsidRDefault="00117E04" w:rsidP="00117E04"/>
    <w:sectPr w:rsidR="00117E04" w:rsidSect="004E0295">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40B32" w14:textId="77777777" w:rsidR="001B426B" w:rsidRDefault="001B426B" w:rsidP="00320C2B">
      <w:r>
        <w:separator/>
      </w:r>
    </w:p>
  </w:endnote>
  <w:endnote w:type="continuationSeparator" w:id="0">
    <w:p w14:paraId="1765FFE6" w14:textId="77777777" w:rsidR="001B426B" w:rsidRDefault="001B426B"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C69F5" w14:textId="77777777" w:rsidR="001B426B" w:rsidRDefault="001B426B" w:rsidP="00320C2B">
      <w:r>
        <w:separator/>
      </w:r>
    </w:p>
  </w:footnote>
  <w:footnote w:type="continuationSeparator" w:id="0">
    <w:p w14:paraId="789B2E3C" w14:textId="77777777" w:rsidR="001B426B" w:rsidRDefault="001B426B" w:rsidP="00320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00261"/>
    <w:rsid w:val="000111A8"/>
    <w:rsid w:val="00013EEA"/>
    <w:rsid w:val="00040238"/>
    <w:rsid w:val="000402A9"/>
    <w:rsid w:val="000523BD"/>
    <w:rsid w:val="00054C97"/>
    <w:rsid w:val="000730E2"/>
    <w:rsid w:val="00090EC1"/>
    <w:rsid w:val="00092AE5"/>
    <w:rsid w:val="00097C22"/>
    <w:rsid w:val="000B7C1E"/>
    <w:rsid w:val="000C3F36"/>
    <w:rsid w:val="000E348C"/>
    <w:rsid w:val="00110F96"/>
    <w:rsid w:val="00117E04"/>
    <w:rsid w:val="00123B26"/>
    <w:rsid w:val="001734A8"/>
    <w:rsid w:val="001801A0"/>
    <w:rsid w:val="001A18B5"/>
    <w:rsid w:val="001A2163"/>
    <w:rsid w:val="001A7A96"/>
    <w:rsid w:val="001B426B"/>
    <w:rsid w:val="001B53DA"/>
    <w:rsid w:val="001F40E6"/>
    <w:rsid w:val="00201EBB"/>
    <w:rsid w:val="00210AFD"/>
    <w:rsid w:val="00212294"/>
    <w:rsid w:val="00217FD8"/>
    <w:rsid w:val="00226935"/>
    <w:rsid w:val="00226BBF"/>
    <w:rsid w:val="00244661"/>
    <w:rsid w:val="00252B73"/>
    <w:rsid w:val="0026291C"/>
    <w:rsid w:val="0026628A"/>
    <w:rsid w:val="00284211"/>
    <w:rsid w:val="00286028"/>
    <w:rsid w:val="00294640"/>
    <w:rsid w:val="002B763A"/>
    <w:rsid w:val="002D002E"/>
    <w:rsid w:val="002D09C9"/>
    <w:rsid w:val="002D5BBA"/>
    <w:rsid w:val="002D5C0A"/>
    <w:rsid w:val="002E2A7F"/>
    <w:rsid w:val="002E3055"/>
    <w:rsid w:val="002E3CD6"/>
    <w:rsid w:val="002E75E4"/>
    <w:rsid w:val="00301AA0"/>
    <w:rsid w:val="00307E18"/>
    <w:rsid w:val="00315616"/>
    <w:rsid w:val="00320C2B"/>
    <w:rsid w:val="003321B7"/>
    <w:rsid w:val="00366AC3"/>
    <w:rsid w:val="00370A05"/>
    <w:rsid w:val="00373248"/>
    <w:rsid w:val="003B1E71"/>
    <w:rsid w:val="003D0D20"/>
    <w:rsid w:val="003F25AF"/>
    <w:rsid w:val="004062F8"/>
    <w:rsid w:val="004128D5"/>
    <w:rsid w:val="004143C4"/>
    <w:rsid w:val="004205B7"/>
    <w:rsid w:val="004226AE"/>
    <w:rsid w:val="00437EFC"/>
    <w:rsid w:val="004641E7"/>
    <w:rsid w:val="00483385"/>
    <w:rsid w:val="00484A18"/>
    <w:rsid w:val="00486175"/>
    <w:rsid w:val="00486ADB"/>
    <w:rsid w:val="004871EA"/>
    <w:rsid w:val="00493A71"/>
    <w:rsid w:val="004B5583"/>
    <w:rsid w:val="004E0295"/>
    <w:rsid w:val="004E1825"/>
    <w:rsid w:val="005048EB"/>
    <w:rsid w:val="00505073"/>
    <w:rsid w:val="005109C9"/>
    <w:rsid w:val="00514ADA"/>
    <w:rsid w:val="00521555"/>
    <w:rsid w:val="005317D2"/>
    <w:rsid w:val="00543A2B"/>
    <w:rsid w:val="00560A27"/>
    <w:rsid w:val="00562F62"/>
    <w:rsid w:val="00564299"/>
    <w:rsid w:val="00565F3D"/>
    <w:rsid w:val="005806C1"/>
    <w:rsid w:val="00580946"/>
    <w:rsid w:val="005868BF"/>
    <w:rsid w:val="005915BA"/>
    <w:rsid w:val="00593248"/>
    <w:rsid w:val="005B7880"/>
    <w:rsid w:val="005C55EF"/>
    <w:rsid w:val="005F7CE0"/>
    <w:rsid w:val="00601335"/>
    <w:rsid w:val="00606CA7"/>
    <w:rsid w:val="0063239F"/>
    <w:rsid w:val="00661032"/>
    <w:rsid w:val="00672A5D"/>
    <w:rsid w:val="006A3BBA"/>
    <w:rsid w:val="006C6160"/>
    <w:rsid w:val="006E1D78"/>
    <w:rsid w:val="006E222A"/>
    <w:rsid w:val="006F3AE7"/>
    <w:rsid w:val="00720CBB"/>
    <w:rsid w:val="00730D2B"/>
    <w:rsid w:val="00753524"/>
    <w:rsid w:val="00757F6E"/>
    <w:rsid w:val="007A7214"/>
    <w:rsid w:val="007B3B20"/>
    <w:rsid w:val="007D5584"/>
    <w:rsid w:val="007F41A1"/>
    <w:rsid w:val="008049DA"/>
    <w:rsid w:val="00826D81"/>
    <w:rsid w:val="00832D1B"/>
    <w:rsid w:val="00836732"/>
    <w:rsid w:val="0085404F"/>
    <w:rsid w:val="00867CE3"/>
    <w:rsid w:val="00875ACF"/>
    <w:rsid w:val="0088177F"/>
    <w:rsid w:val="008B2C4C"/>
    <w:rsid w:val="008C2817"/>
    <w:rsid w:val="008C316C"/>
    <w:rsid w:val="008C32BB"/>
    <w:rsid w:val="008C621C"/>
    <w:rsid w:val="008D1BEC"/>
    <w:rsid w:val="008E3861"/>
    <w:rsid w:val="00901F7D"/>
    <w:rsid w:val="0093749D"/>
    <w:rsid w:val="00940A23"/>
    <w:rsid w:val="00944470"/>
    <w:rsid w:val="0096210A"/>
    <w:rsid w:val="00985548"/>
    <w:rsid w:val="00987C6F"/>
    <w:rsid w:val="009966BB"/>
    <w:rsid w:val="00996F2B"/>
    <w:rsid w:val="009A435C"/>
    <w:rsid w:val="009B1BFD"/>
    <w:rsid w:val="009B3F54"/>
    <w:rsid w:val="009C111D"/>
    <w:rsid w:val="009E026B"/>
    <w:rsid w:val="009E528C"/>
    <w:rsid w:val="009E539C"/>
    <w:rsid w:val="009E6B8F"/>
    <w:rsid w:val="009F41B6"/>
    <w:rsid w:val="00A10DE4"/>
    <w:rsid w:val="00A25675"/>
    <w:rsid w:val="00A25E31"/>
    <w:rsid w:val="00A63888"/>
    <w:rsid w:val="00A6564A"/>
    <w:rsid w:val="00A65845"/>
    <w:rsid w:val="00A760B1"/>
    <w:rsid w:val="00A761D7"/>
    <w:rsid w:val="00A87D85"/>
    <w:rsid w:val="00A95C39"/>
    <w:rsid w:val="00AA2A26"/>
    <w:rsid w:val="00AC33F1"/>
    <w:rsid w:val="00AC5160"/>
    <w:rsid w:val="00AD787C"/>
    <w:rsid w:val="00AE24DD"/>
    <w:rsid w:val="00AE4A91"/>
    <w:rsid w:val="00AE5295"/>
    <w:rsid w:val="00AE6A02"/>
    <w:rsid w:val="00AF0A3F"/>
    <w:rsid w:val="00AF270E"/>
    <w:rsid w:val="00AF3A9D"/>
    <w:rsid w:val="00B00E24"/>
    <w:rsid w:val="00B36527"/>
    <w:rsid w:val="00B4486D"/>
    <w:rsid w:val="00B97238"/>
    <w:rsid w:val="00BA371A"/>
    <w:rsid w:val="00BE4429"/>
    <w:rsid w:val="00BE6253"/>
    <w:rsid w:val="00BE7CB7"/>
    <w:rsid w:val="00BF4FF5"/>
    <w:rsid w:val="00C0132D"/>
    <w:rsid w:val="00C16EC3"/>
    <w:rsid w:val="00C403C4"/>
    <w:rsid w:val="00C57E84"/>
    <w:rsid w:val="00C64E35"/>
    <w:rsid w:val="00C65F87"/>
    <w:rsid w:val="00CA768A"/>
    <w:rsid w:val="00CB20E1"/>
    <w:rsid w:val="00CE0D4E"/>
    <w:rsid w:val="00CE2F75"/>
    <w:rsid w:val="00CF5A57"/>
    <w:rsid w:val="00D00E13"/>
    <w:rsid w:val="00D0173E"/>
    <w:rsid w:val="00D16F29"/>
    <w:rsid w:val="00D33032"/>
    <w:rsid w:val="00D355E0"/>
    <w:rsid w:val="00D42DF5"/>
    <w:rsid w:val="00D5314F"/>
    <w:rsid w:val="00D55907"/>
    <w:rsid w:val="00D56F61"/>
    <w:rsid w:val="00D57421"/>
    <w:rsid w:val="00D74128"/>
    <w:rsid w:val="00D80258"/>
    <w:rsid w:val="00D92B8E"/>
    <w:rsid w:val="00DB7B49"/>
    <w:rsid w:val="00DC4193"/>
    <w:rsid w:val="00DC7A24"/>
    <w:rsid w:val="00DF4F79"/>
    <w:rsid w:val="00E0707C"/>
    <w:rsid w:val="00E11B22"/>
    <w:rsid w:val="00E165A9"/>
    <w:rsid w:val="00E21008"/>
    <w:rsid w:val="00E2550F"/>
    <w:rsid w:val="00E46CB0"/>
    <w:rsid w:val="00E51DC3"/>
    <w:rsid w:val="00E66224"/>
    <w:rsid w:val="00EE0B83"/>
    <w:rsid w:val="00EE4088"/>
    <w:rsid w:val="00EE7D5C"/>
    <w:rsid w:val="00EF7670"/>
    <w:rsid w:val="00F0420D"/>
    <w:rsid w:val="00F1076E"/>
    <w:rsid w:val="00F11F1D"/>
    <w:rsid w:val="00F1373F"/>
    <w:rsid w:val="00F375B6"/>
    <w:rsid w:val="00F44D6D"/>
    <w:rsid w:val="00F654F7"/>
    <w:rsid w:val="00F71DED"/>
    <w:rsid w:val="00F72081"/>
    <w:rsid w:val="00F908BB"/>
    <w:rsid w:val="00F92680"/>
    <w:rsid w:val="00F95963"/>
    <w:rsid w:val="00FB5C9B"/>
    <w:rsid w:val="00FC1BE5"/>
    <w:rsid w:val="00FC24F6"/>
    <w:rsid w:val="00FC561B"/>
    <w:rsid w:val="00FD3507"/>
    <w:rsid w:val="00FE1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86D"/>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Hyperlink"/>
    <w:basedOn w:val="a0"/>
    <w:uiPriority w:val="99"/>
    <w:unhideWhenUsed/>
    <w:rsid w:val="00C0132D"/>
    <w:rPr>
      <w:color w:val="467886" w:themeColor="hyperlink"/>
      <w:u w:val="single"/>
    </w:rPr>
  </w:style>
  <w:style w:type="character" w:styleId="af2">
    <w:name w:val="Unresolved Mention"/>
    <w:basedOn w:val="a0"/>
    <w:uiPriority w:val="99"/>
    <w:semiHidden/>
    <w:unhideWhenUsed/>
    <w:rsid w:val="002D09C9"/>
    <w:rPr>
      <w:color w:val="605E5C"/>
      <w:shd w:val="clear" w:color="auto" w:fill="E1DFDD"/>
    </w:rPr>
  </w:style>
  <w:style w:type="character" w:styleId="af3">
    <w:name w:val="annotation reference"/>
    <w:basedOn w:val="a0"/>
    <w:uiPriority w:val="99"/>
    <w:semiHidden/>
    <w:unhideWhenUsed/>
    <w:rsid w:val="005048EB"/>
    <w:rPr>
      <w:sz w:val="18"/>
      <w:szCs w:val="18"/>
    </w:rPr>
  </w:style>
  <w:style w:type="paragraph" w:styleId="af4">
    <w:name w:val="annotation text"/>
    <w:basedOn w:val="a"/>
    <w:link w:val="af5"/>
    <w:uiPriority w:val="99"/>
    <w:unhideWhenUsed/>
    <w:rsid w:val="005048EB"/>
    <w:pPr>
      <w:jc w:val="left"/>
    </w:pPr>
  </w:style>
  <w:style w:type="character" w:customStyle="1" w:styleId="af5">
    <w:name w:val="コメント文字列 (文字)"/>
    <w:basedOn w:val="a0"/>
    <w:link w:val="af4"/>
    <w:uiPriority w:val="99"/>
    <w:rsid w:val="005048EB"/>
    <w:rPr>
      <w:rFonts w:ascii="ＭＳ 明朝" w:eastAsia="ＭＳ 明朝" w:hAnsi="Century" w:cs="Times New Roman"/>
      <w:szCs w:val="20"/>
    </w:rPr>
  </w:style>
  <w:style w:type="paragraph" w:styleId="af6">
    <w:name w:val="annotation subject"/>
    <w:basedOn w:val="af4"/>
    <w:next w:val="af4"/>
    <w:link w:val="af7"/>
    <w:uiPriority w:val="99"/>
    <w:semiHidden/>
    <w:unhideWhenUsed/>
    <w:rsid w:val="005048EB"/>
    <w:rPr>
      <w:b/>
      <w:bCs/>
    </w:rPr>
  </w:style>
  <w:style w:type="character" w:customStyle="1" w:styleId="af7">
    <w:name w:val="コメント内容 (文字)"/>
    <w:basedOn w:val="af5"/>
    <w:link w:val="af6"/>
    <w:uiPriority w:val="99"/>
    <w:semiHidden/>
    <w:rsid w:val="005048EB"/>
    <w:rPr>
      <w:rFonts w:ascii="ＭＳ 明朝" w:eastAsia="ＭＳ 明朝" w:hAnsi="Century" w:cs="Times New Roman"/>
      <w:b/>
      <w:bCs/>
      <w:szCs w:val="20"/>
    </w:rPr>
  </w:style>
  <w:style w:type="paragraph" w:styleId="af8">
    <w:name w:val="Revision"/>
    <w:hidden/>
    <w:uiPriority w:val="99"/>
    <w:semiHidden/>
    <w:rsid w:val="00315616"/>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pa.gov/sites/default/files/2014-08/documents/cumulativ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0101-170E-4DCF-B89A-58F2D75D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5537</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2025-03-31T07:08:00Z</dcterms:created>
  <dcterms:modified xsi:type="dcterms:W3CDTF">2025-03-31T07:08:00Z</dcterms:modified>
</cp:coreProperties>
</file>