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394C2916" w:rsidR="000C3F36" w:rsidRDefault="000C3F36" w:rsidP="00117E04">
      <w:r>
        <w:rPr>
          <w:rFonts w:hint="eastAsia"/>
        </w:rPr>
        <w:t>ガイド</w:t>
      </w:r>
      <w:r w:rsidR="00117E04">
        <w:rPr>
          <w:rFonts w:hint="eastAsia"/>
        </w:rPr>
        <w:t>ライン個票</w:t>
      </w:r>
      <w:r w:rsidR="00FD574E">
        <w:rPr>
          <w:rFonts w:hint="eastAsia"/>
        </w:rPr>
        <w:t xml:space="preserve"> 英国</w:t>
      </w:r>
    </w:p>
    <w:tbl>
      <w:tblPr>
        <w:tblStyle w:val="ac"/>
        <w:tblW w:w="9776" w:type="dxa"/>
        <w:tblLook w:val="04A0" w:firstRow="1" w:lastRow="0" w:firstColumn="1" w:lastColumn="0" w:noHBand="0" w:noVBand="1"/>
      </w:tblPr>
      <w:tblGrid>
        <w:gridCol w:w="1685"/>
        <w:gridCol w:w="8091"/>
      </w:tblGrid>
      <w:tr w:rsidR="00117E04" w14:paraId="02FD2B03" w14:textId="77777777" w:rsidTr="009536E1">
        <w:tc>
          <w:tcPr>
            <w:tcW w:w="1685" w:type="dxa"/>
          </w:tcPr>
          <w:p w14:paraId="2B50C1B5" w14:textId="7A5B3E05" w:rsidR="00117E04" w:rsidRDefault="00117E04" w:rsidP="00117E04">
            <w:pPr>
              <w:snapToGrid w:val="0"/>
              <w:spacing w:line="280" w:lineRule="exact"/>
            </w:pPr>
            <w:r>
              <w:rPr>
                <w:rFonts w:hint="eastAsia"/>
              </w:rPr>
              <w:t>ガイドライン名</w:t>
            </w:r>
          </w:p>
        </w:tc>
        <w:tc>
          <w:tcPr>
            <w:tcW w:w="8091" w:type="dxa"/>
          </w:tcPr>
          <w:p w14:paraId="09CDBA32" w14:textId="32C5604E" w:rsidR="00E717E3" w:rsidRDefault="00FB4209" w:rsidP="00E717E3">
            <w:pPr>
              <w:snapToGrid w:val="0"/>
              <w:spacing w:line="280" w:lineRule="exact"/>
            </w:pPr>
            <w:r w:rsidRPr="00FB4209">
              <w:rPr>
                <w:rFonts w:hint="eastAsia"/>
              </w:rPr>
              <w:t>国家的</w:t>
            </w:r>
            <w:r w:rsidR="00E717E3">
              <w:rPr>
                <w:rFonts w:hint="eastAsia"/>
              </w:rPr>
              <w:t>重要</w:t>
            </w:r>
            <w:r w:rsidRPr="00FB4209">
              <w:rPr>
                <w:rFonts w:hint="eastAsia"/>
              </w:rPr>
              <w:t>インフラプロジェクト：累積的影響評価に関する助言</w:t>
            </w:r>
          </w:p>
          <w:p w14:paraId="5423F865" w14:textId="3334BC91" w:rsidR="00117E04" w:rsidRDefault="00FB4209" w:rsidP="00E717E3">
            <w:pPr>
              <w:snapToGrid w:val="0"/>
              <w:spacing w:line="280" w:lineRule="exact"/>
            </w:pPr>
            <w:r w:rsidRPr="00FB4209">
              <w:t>Nationally Significant Infrastructure Projects: Advice on Cumulative Effects Assessment</w:t>
            </w:r>
          </w:p>
        </w:tc>
      </w:tr>
      <w:tr w:rsidR="00117E04" w14:paraId="46AEF617" w14:textId="77777777" w:rsidTr="009536E1">
        <w:tc>
          <w:tcPr>
            <w:tcW w:w="1685" w:type="dxa"/>
          </w:tcPr>
          <w:p w14:paraId="4567D048" w14:textId="58E00967" w:rsidR="00117E04" w:rsidRDefault="00117E04" w:rsidP="00117E04">
            <w:pPr>
              <w:snapToGrid w:val="0"/>
              <w:spacing w:line="280" w:lineRule="exact"/>
            </w:pPr>
            <w:r>
              <w:rPr>
                <w:rFonts w:hint="eastAsia"/>
              </w:rPr>
              <w:t>発行者、発行年月</w:t>
            </w:r>
          </w:p>
        </w:tc>
        <w:tc>
          <w:tcPr>
            <w:tcW w:w="8091" w:type="dxa"/>
          </w:tcPr>
          <w:p w14:paraId="3AAE2ADB" w14:textId="395DE8BE" w:rsidR="00117E04" w:rsidRDefault="00104DF4" w:rsidP="003A1378">
            <w:pPr>
              <w:snapToGrid w:val="0"/>
              <w:spacing w:line="280" w:lineRule="exact"/>
            </w:pPr>
            <w:r>
              <w:rPr>
                <w:rFonts w:hint="eastAsia"/>
              </w:rPr>
              <w:t>英国計画検査局（</w:t>
            </w:r>
            <w:r w:rsidR="009439AE" w:rsidRPr="00FB4209">
              <w:t>Planning Inspectorate</w:t>
            </w:r>
            <w:r>
              <w:rPr>
                <w:rFonts w:hint="eastAsia"/>
              </w:rPr>
              <w:t>）</w:t>
            </w:r>
            <w:r w:rsidR="009439AE">
              <w:rPr>
                <w:rFonts w:hint="eastAsia"/>
              </w:rPr>
              <w:t>, 2024</w:t>
            </w:r>
            <w:r w:rsidR="00675166">
              <w:rPr>
                <w:rFonts w:hint="eastAsia"/>
              </w:rPr>
              <w:t>.</w:t>
            </w:r>
            <w:r w:rsidR="009439AE">
              <w:rPr>
                <w:rFonts w:hint="eastAsia"/>
              </w:rPr>
              <w:t>9</w:t>
            </w:r>
          </w:p>
        </w:tc>
      </w:tr>
      <w:tr w:rsidR="009536E1" w:rsidRPr="008B5111" w14:paraId="2B765A60" w14:textId="77777777" w:rsidTr="009536E1">
        <w:tc>
          <w:tcPr>
            <w:tcW w:w="1685" w:type="dxa"/>
          </w:tcPr>
          <w:p w14:paraId="3DD0159C" w14:textId="0932CB04" w:rsidR="009536E1" w:rsidRPr="00117E04" w:rsidRDefault="009536E1" w:rsidP="009536E1">
            <w:pPr>
              <w:snapToGrid w:val="0"/>
              <w:spacing w:line="280" w:lineRule="exact"/>
            </w:pPr>
            <w:r>
              <w:rPr>
                <w:rFonts w:hint="eastAsia"/>
              </w:rPr>
              <w:t>頁数</w:t>
            </w:r>
          </w:p>
        </w:tc>
        <w:tc>
          <w:tcPr>
            <w:tcW w:w="8091" w:type="dxa"/>
          </w:tcPr>
          <w:p w14:paraId="72D9E014" w14:textId="4DD0D422" w:rsidR="009536E1" w:rsidRPr="00104DF4" w:rsidRDefault="00104DF4" w:rsidP="009536E1">
            <w:pPr>
              <w:snapToGrid w:val="0"/>
              <w:spacing w:line="280" w:lineRule="exact"/>
            </w:pPr>
            <w:r>
              <w:rPr>
                <w:rFonts w:hint="eastAsia"/>
              </w:rPr>
              <w:t>ウェブページのためページ数</w:t>
            </w:r>
            <w:r w:rsidR="009536E1" w:rsidRPr="00025AB5">
              <w:rPr>
                <w:rFonts w:hint="eastAsia"/>
              </w:rPr>
              <w:t>なし</w:t>
            </w:r>
            <w:r w:rsidRPr="004B5598">
              <w:rPr>
                <w:rFonts w:hint="eastAsia"/>
                <w:color w:val="FF0000"/>
              </w:rPr>
              <w:t>（</w:t>
            </w:r>
            <w:r>
              <w:rPr>
                <w:rFonts w:hint="eastAsia"/>
                <w:color w:val="FF0000"/>
              </w:rPr>
              <w:t>日本語訳はA4で13ページ相当</w:t>
            </w:r>
            <w:r w:rsidRPr="004B5598">
              <w:rPr>
                <w:rFonts w:hint="eastAsia"/>
                <w:color w:val="FF0000"/>
              </w:rPr>
              <w:t>）</w:t>
            </w:r>
          </w:p>
        </w:tc>
      </w:tr>
      <w:tr w:rsidR="009536E1" w14:paraId="52B5E61D" w14:textId="77777777" w:rsidTr="009536E1">
        <w:tc>
          <w:tcPr>
            <w:tcW w:w="1685" w:type="dxa"/>
          </w:tcPr>
          <w:p w14:paraId="4123A4BA" w14:textId="5F67034D" w:rsidR="009536E1" w:rsidRDefault="009536E1" w:rsidP="009536E1">
            <w:pPr>
              <w:snapToGrid w:val="0"/>
              <w:spacing w:line="280" w:lineRule="exact"/>
            </w:pPr>
            <w:r>
              <w:rPr>
                <w:rFonts w:hint="eastAsia"/>
              </w:rPr>
              <w:t>法的根拠・位置づけ</w:t>
            </w:r>
          </w:p>
        </w:tc>
        <w:tc>
          <w:tcPr>
            <w:tcW w:w="8091" w:type="dxa"/>
          </w:tcPr>
          <w:p w14:paraId="5182FDD5" w14:textId="04669DC5" w:rsidR="00104DF4" w:rsidRDefault="00104DF4" w:rsidP="00E717E3">
            <w:pPr>
              <w:snapToGrid w:val="0"/>
              <w:spacing w:line="280" w:lineRule="exact"/>
            </w:pPr>
            <w:r w:rsidRPr="00025AB5">
              <w:rPr>
                <w:rFonts w:hint="eastAsia"/>
              </w:rPr>
              <w:t>本助言は、2008年計画法</w:t>
            </w:r>
            <w:r>
              <w:rPr>
                <w:rFonts w:hint="eastAsia"/>
              </w:rPr>
              <w:t>（</w:t>
            </w:r>
            <w:r w:rsidRPr="00104DF4">
              <w:t>Planning Act 2008</w:t>
            </w:r>
            <w:r>
              <w:rPr>
                <w:rFonts w:hint="eastAsia"/>
              </w:rPr>
              <w:t>）第51条</w:t>
            </w:r>
            <w:r w:rsidRPr="00025AB5">
              <w:rPr>
                <w:rFonts w:hint="eastAsia"/>
              </w:rPr>
              <w:t>に基づき</w:t>
            </w:r>
            <w:r>
              <w:rPr>
                <w:rFonts w:hint="eastAsia"/>
              </w:rPr>
              <w:t>、法、規則を補完する目的で作成されたもの。本助言は法定外（</w:t>
            </w:r>
            <w:r w:rsidRPr="00104DF4">
              <w:t>non-statutory</w:t>
            </w:r>
            <w:r>
              <w:rPr>
                <w:rFonts w:hint="eastAsia"/>
              </w:rPr>
              <w:t>）のものであるが、申請者等はこれに準じるべき（</w:t>
            </w:r>
            <w:r w:rsidRPr="00104DF4">
              <w:t>should follow</w:t>
            </w:r>
            <w:r>
              <w:rPr>
                <w:rFonts w:hint="eastAsia"/>
              </w:rPr>
              <w:t>）とされている。</w:t>
            </w:r>
          </w:p>
          <w:p w14:paraId="0F733B48" w14:textId="0DF9BA01" w:rsidR="009536E1" w:rsidRPr="00F739EB" w:rsidRDefault="00104DF4" w:rsidP="00E717E3">
            <w:pPr>
              <w:snapToGrid w:val="0"/>
              <w:spacing w:line="280" w:lineRule="exact"/>
            </w:pPr>
            <w:r>
              <w:rPr>
                <w:rFonts w:hint="eastAsia"/>
              </w:rPr>
              <w:t>内容は、</w:t>
            </w:r>
            <w:r w:rsidRPr="00800649">
              <w:rPr>
                <w:rFonts w:hint="eastAsia"/>
              </w:rPr>
              <w:t>国家的に重大なインフラプロジェクト（NSIP）における累積的影響評価を実施するためのプロセスをまとめたもの</w:t>
            </w:r>
            <w:r>
              <w:rPr>
                <w:rFonts w:hint="eastAsia"/>
              </w:rPr>
              <w:t>。</w:t>
            </w:r>
            <w:r w:rsidRPr="00025AB5">
              <w:rPr>
                <w:rFonts w:hint="eastAsia"/>
                <w:color w:val="FF0000"/>
              </w:rPr>
              <w:t>（日本語訳ｐ.2）</w:t>
            </w:r>
          </w:p>
        </w:tc>
      </w:tr>
      <w:tr w:rsidR="009536E1" w14:paraId="051A0EDA" w14:textId="77777777" w:rsidTr="009536E1">
        <w:tc>
          <w:tcPr>
            <w:tcW w:w="1685" w:type="dxa"/>
          </w:tcPr>
          <w:p w14:paraId="45AF1D5B" w14:textId="7EBE1BD7" w:rsidR="009536E1" w:rsidRPr="00117E04" w:rsidRDefault="009536E1" w:rsidP="009536E1">
            <w:pPr>
              <w:snapToGrid w:val="0"/>
              <w:spacing w:line="280" w:lineRule="exact"/>
            </w:pPr>
            <w:r w:rsidRPr="00117E04">
              <w:rPr>
                <w:rFonts w:hint="eastAsia"/>
              </w:rPr>
              <w:t>ガイドライン対象</w:t>
            </w:r>
            <w:r>
              <w:rPr>
                <w:rFonts w:hint="eastAsia"/>
              </w:rPr>
              <w:t>者</w:t>
            </w:r>
          </w:p>
        </w:tc>
        <w:tc>
          <w:tcPr>
            <w:tcW w:w="8091" w:type="dxa"/>
          </w:tcPr>
          <w:p w14:paraId="3C5F491E" w14:textId="4641B03B" w:rsidR="009536E1" w:rsidRDefault="00932F83" w:rsidP="00E717E3">
            <w:pPr>
              <w:snapToGrid w:val="0"/>
              <w:spacing w:line="280" w:lineRule="exact"/>
            </w:pPr>
            <w:r w:rsidRPr="00932F83">
              <w:t>エネルギー、輸送、水道、廃水、廃棄物の分野における国家的に重要なインフラプロジェクト(NSIP)の開発許可</w:t>
            </w:r>
            <w:r w:rsidR="00E717E3">
              <w:rPr>
                <w:rFonts w:hint="eastAsia"/>
              </w:rPr>
              <w:t>申請者</w:t>
            </w:r>
          </w:p>
          <w:p w14:paraId="272AAE29" w14:textId="6BF56538" w:rsidR="00932F83" w:rsidRDefault="00932F83" w:rsidP="00025AB5">
            <w:pPr>
              <w:snapToGrid w:val="0"/>
              <w:spacing w:line="280" w:lineRule="exact"/>
              <w:ind w:left="210" w:hangingChars="100" w:hanging="210"/>
            </w:pPr>
            <w:r>
              <w:rPr>
                <w:rFonts w:hint="eastAsia"/>
              </w:rPr>
              <w:t>※本助言には、「申請者、市民ほか関係者は国家インフラ計画に関するガイダンスを合わせて読むこと」との記載があり、上記の記載は当該ガイダンス</w:t>
            </w:r>
            <w:r w:rsidR="001C508D">
              <w:rPr>
                <w:rFonts w:hint="eastAsia"/>
              </w:rPr>
              <w:t>より</w:t>
            </w:r>
            <w:r>
              <w:rPr>
                <w:rFonts w:hint="eastAsia"/>
              </w:rPr>
              <w:t>。</w:t>
            </w:r>
          </w:p>
          <w:p w14:paraId="6A060C7D" w14:textId="58D932AB" w:rsidR="00932F83" w:rsidRPr="00932F83" w:rsidRDefault="00932F83" w:rsidP="00E717E3">
            <w:pPr>
              <w:snapToGrid w:val="0"/>
              <w:spacing w:line="280" w:lineRule="exact"/>
              <w:rPr>
                <w:color w:val="FF0000"/>
              </w:rPr>
            </w:pPr>
            <w:r w:rsidRPr="00A85990">
              <w:rPr>
                <w:rFonts w:hint="eastAsia"/>
                <w:color w:val="FF0000"/>
              </w:rPr>
              <w:t>（日本語訳ｐ.2）</w:t>
            </w:r>
          </w:p>
        </w:tc>
      </w:tr>
      <w:tr w:rsidR="009536E1" w14:paraId="12D4894D" w14:textId="77777777" w:rsidTr="009536E1">
        <w:tc>
          <w:tcPr>
            <w:tcW w:w="1685" w:type="dxa"/>
          </w:tcPr>
          <w:p w14:paraId="22A8B1F2" w14:textId="5E3EF360" w:rsidR="009536E1" w:rsidRPr="00117E04" w:rsidRDefault="009536E1" w:rsidP="009536E1">
            <w:pPr>
              <w:snapToGrid w:val="0"/>
              <w:spacing w:line="280" w:lineRule="exact"/>
            </w:pPr>
            <w:r>
              <w:rPr>
                <w:rFonts w:hint="eastAsia"/>
              </w:rPr>
              <w:t>対象とする事業・計画</w:t>
            </w:r>
          </w:p>
        </w:tc>
        <w:tc>
          <w:tcPr>
            <w:tcW w:w="8091" w:type="dxa"/>
          </w:tcPr>
          <w:p w14:paraId="3CBF52B4" w14:textId="261C1422" w:rsidR="009536E1" w:rsidRDefault="00932F83" w:rsidP="009536E1">
            <w:pPr>
              <w:snapToGrid w:val="0"/>
              <w:spacing w:line="280" w:lineRule="exact"/>
              <w:rPr>
                <w:color w:val="FF0000"/>
              </w:rPr>
            </w:pPr>
            <w:r w:rsidRPr="00932F83">
              <w:t>エネルギー、輸送、水道、廃水、廃棄物の分野における国家的に重要なインフラプロジェクト(NSIP)</w:t>
            </w:r>
          </w:p>
        </w:tc>
      </w:tr>
      <w:tr w:rsidR="009536E1" w14:paraId="17302920" w14:textId="77777777" w:rsidTr="009536E1">
        <w:tc>
          <w:tcPr>
            <w:tcW w:w="1685" w:type="dxa"/>
          </w:tcPr>
          <w:p w14:paraId="7AA4F4EF" w14:textId="77777777" w:rsidR="009536E1" w:rsidRDefault="009536E1" w:rsidP="009536E1">
            <w:pPr>
              <w:snapToGrid w:val="0"/>
              <w:spacing w:line="280" w:lineRule="exact"/>
            </w:pPr>
            <w:r w:rsidRPr="00117E04">
              <w:rPr>
                <w:rFonts w:hint="eastAsia"/>
              </w:rPr>
              <w:t>累積的影響の定義、基本的な考え方</w:t>
            </w:r>
          </w:p>
          <w:p w14:paraId="2749BFC7" w14:textId="40617761" w:rsidR="009536E1" w:rsidRDefault="009536E1" w:rsidP="009536E1">
            <w:pPr>
              <w:snapToGrid w:val="0"/>
              <w:spacing w:line="280" w:lineRule="exact"/>
            </w:pPr>
          </w:p>
        </w:tc>
        <w:tc>
          <w:tcPr>
            <w:tcW w:w="8091" w:type="dxa"/>
          </w:tcPr>
          <w:p w14:paraId="7F85984F" w14:textId="61911054" w:rsidR="006A58D4" w:rsidRDefault="006A58D4" w:rsidP="009536E1">
            <w:pPr>
              <w:ind w:left="210" w:hangingChars="100" w:hanging="210"/>
            </w:pPr>
            <w:r>
              <w:rPr>
                <w:rFonts w:hint="eastAsia"/>
              </w:rPr>
              <w:t>・EUのEIA規則2017による。「</w:t>
            </w:r>
            <w:r>
              <w:t>影響を受ける可能性のある環境上特に重要な地域や天然資源の利用に関連する既存の環境問題を考慮した上で、他の既存のプロジェクトや承認されたプロジェクトとの累積的影響</w:t>
            </w:r>
            <w:r>
              <w:rPr>
                <w:rFonts w:hint="eastAsia"/>
              </w:rPr>
              <w:t>」</w:t>
            </w:r>
          </w:p>
          <w:p w14:paraId="21DE6021" w14:textId="3A93436C" w:rsidR="006A58D4" w:rsidRDefault="006A58D4" w:rsidP="009536E1">
            <w:pPr>
              <w:ind w:left="210" w:hangingChars="100" w:hanging="210"/>
              <w:rPr>
                <w:color w:val="FF0000"/>
              </w:rPr>
            </w:pPr>
            <w:r>
              <w:rPr>
                <w:rFonts w:hint="eastAsia"/>
              </w:rPr>
              <w:t>・「その他の既存のプロジェクトや承認されたプロジェクト」はこの助言においては「合理的に予見可能（</w:t>
            </w:r>
            <w:r w:rsidRPr="006A58D4">
              <w:t>reasonably foreseeable</w:t>
            </w:r>
            <w:r>
              <w:rPr>
                <w:rFonts w:hint="eastAsia"/>
              </w:rPr>
              <w:t>）な」既存の計画やプロジェクトが含まれる。</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4～</w:t>
            </w:r>
            <w:r w:rsidRPr="004B5598">
              <w:rPr>
                <w:rFonts w:hint="eastAsia"/>
                <w:color w:val="FF0000"/>
              </w:rPr>
              <w:t>）</w:t>
            </w:r>
          </w:p>
          <w:p w14:paraId="534EF595" w14:textId="72588995" w:rsidR="009536E1" w:rsidRPr="001309FA" w:rsidRDefault="006A58D4" w:rsidP="00025AB5">
            <w:pPr>
              <w:ind w:left="210" w:hangingChars="100" w:hanging="210"/>
            </w:pPr>
            <w:r w:rsidRPr="00025AB5">
              <w:rPr>
                <w:rFonts w:hint="eastAsia"/>
              </w:rPr>
              <w:t>・</w:t>
            </w:r>
            <w:r>
              <w:t>累積的影響は、</w:t>
            </w:r>
            <w:r>
              <w:rPr>
                <w:rFonts w:hint="eastAsia"/>
              </w:rPr>
              <w:t>１つの開発</w:t>
            </w:r>
            <w:r>
              <w:t>の</w:t>
            </w:r>
            <w:r>
              <w:rPr>
                <w:rFonts w:hint="eastAsia"/>
              </w:rPr>
              <w:t>要素</w:t>
            </w:r>
            <w:r>
              <w:t>間の相互関係（生態学と水文学など）の評価とは別である。これらの要素は通常、複合影響として評価される。</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5～</w:t>
            </w:r>
            <w:r w:rsidRPr="004B5598">
              <w:rPr>
                <w:rFonts w:hint="eastAsia"/>
                <w:color w:val="FF0000"/>
              </w:rPr>
              <w:t>）</w:t>
            </w:r>
          </w:p>
        </w:tc>
      </w:tr>
      <w:tr w:rsidR="009536E1" w14:paraId="15DB9B29" w14:textId="77777777" w:rsidTr="009536E1">
        <w:tc>
          <w:tcPr>
            <w:tcW w:w="1685" w:type="dxa"/>
          </w:tcPr>
          <w:p w14:paraId="70B4B5BF" w14:textId="67CF237E" w:rsidR="009536E1" w:rsidRPr="00117E04" w:rsidRDefault="009536E1" w:rsidP="009536E1">
            <w:pPr>
              <w:snapToGrid w:val="0"/>
              <w:spacing w:line="280" w:lineRule="exact"/>
            </w:pPr>
            <w:r>
              <w:rPr>
                <w:rFonts w:hint="eastAsia"/>
              </w:rPr>
              <w:t>累積的影響評価の手順</w:t>
            </w:r>
          </w:p>
        </w:tc>
        <w:tc>
          <w:tcPr>
            <w:tcW w:w="8091" w:type="dxa"/>
          </w:tcPr>
          <w:p w14:paraId="1C64B95F" w14:textId="7CFAAD55" w:rsidR="006A58D4" w:rsidRPr="00025AB5" w:rsidRDefault="001854E6" w:rsidP="001854E6">
            <w:pPr>
              <w:ind w:left="210" w:hangingChars="100" w:hanging="210"/>
            </w:pPr>
            <w:r>
              <w:rPr>
                <w:rFonts w:hint="eastAsia"/>
              </w:rPr>
              <w:t>・</w:t>
            </w:r>
            <w:r w:rsidR="006A58D4">
              <w:rPr>
                <w:rFonts w:hint="eastAsia"/>
              </w:rPr>
              <w:t>累積的影響評価（CEA）に関する単一の基準はなく、どのようなアプローチをとるかは申請によって異なる</w:t>
            </w:r>
            <w:r>
              <w:rPr>
                <w:rFonts w:hint="eastAsia"/>
              </w:rPr>
              <w:t>。</w:t>
            </w:r>
            <w:r w:rsidRPr="003B42CC">
              <w:rPr>
                <w:rFonts w:hint="eastAsia"/>
                <w:color w:val="FF0000"/>
              </w:rPr>
              <w:t>（日本語訳ｐ.2）</w:t>
            </w:r>
            <w:r>
              <w:rPr>
                <w:rFonts w:hint="eastAsia"/>
              </w:rPr>
              <w:t>アプローチは様々あるが、この助言では以下の４つのステージを提案する</w:t>
            </w:r>
            <w:r w:rsidR="006A58D4">
              <w:rPr>
                <w:rFonts w:hint="eastAsia"/>
              </w:rPr>
              <w:t>。</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5～</w:t>
            </w:r>
            <w:r w:rsidRPr="004B5598">
              <w:rPr>
                <w:rFonts w:hint="eastAsia"/>
                <w:color w:val="FF0000"/>
              </w:rPr>
              <w:t>）</w:t>
            </w:r>
          </w:p>
          <w:p w14:paraId="24FBF658" w14:textId="38432414" w:rsidR="009536E1" w:rsidRPr="00025AB5" w:rsidRDefault="00A63688" w:rsidP="009536E1">
            <w:pPr>
              <w:snapToGrid w:val="0"/>
              <w:spacing w:line="280" w:lineRule="exact"/>
              <w:ind w:firstLineChars="100" w:firstLine="211"/>
              <w:rPr>
                <w:b/>
                <w:bCs/>
              </w:rPr>
            </w:pPr>
            <w:r w:rsidRPr="00025AB5">
              <w:rPr>
                <w:rFonts w:hint="eastAsia"/>
                <w:b/>
                <w:bCs/>
              </w:rPr>
              <w:t>１．</w:t>
            </w:r>
            <w:r w:rsidR="009536E1" w:rsidRPr="00025AB5">
              <w:rPr>
                <w:rFonts w:hint="eastAsia"/>
                <w:b/>
                <w:bCs/>
              </w:rPr>
              <w:t>ロングリストの作成（第</w:t>
            </w:r>
            <w:r w:rsidR="001854E6" w:rsidRPr="00025AB5">
              <w:rPr>
                <w:rFonts w:hint="eastAsia"/>
                <w:b/>
                <w:bCs/>
              </w:rPr>
              <w:t>１ステージ</w:t>
            </w:r>
            <w:r w:rsidR="009536E1" w:rsidRPr="00025AB5">
              <w:rPr>
                <w:rFonts w:hint="eastAsia"/>
                <w:b/>
                <w:bCs/>
              </w:rPr>
              <w:t>）</w:t>
            </w:r>
          </w:p>
          <w:p w14:paraId="1324973E" w14:textId="707752AC" w:rsidR="00A63688" w:rsidRDefault="00A63688" w:rsidP="00025AB5">
            <w:pPr>
              <w:snapToGrid w:val="0"/>
              <w:spacing w:line="280" w:lineRule="exact"/>
              <w:ind w:leftChars="200" w:left="420"/>
            </w:pPr>
            <w:r>
              <w:rPr>
                <w:rFonts w:hint="eastAsia"/>
              </w:rPr>
              <w:t>→</w:t>
            </w:r>
            <w:r w:rsidR="007A5F26">
              <w:rPr>
                <w:rFonts w:hint="eastAsia"/>
              </w:rPr>
              <w:t>各種情報源から</w:t>
            </w:r>
            <w:r>
              <w:rPr>
                <w:rFonts w:hint="eastAsia"/>
              </w:rPr>
              <w:t>、既存あるいは承認された開発事業のリストを作成する。</w:t>
            </w:r>
          </w:p>
          <w:p w14:paraId="71265DD8" w14:textId="20D7C4E0" w:rsidR="009536E1" w:rsidRPr="00025AB5" w:rsidRDefault="00A63688" w:rsidP="009536E1">
            <w:pPr>
              <w:snapToGrid w:val="0"/>
              <w:spacing w:line="280" w:lineRule="exact"/>
              <w:ind w:firstLineChars="100" w:firstLine="211"/>
              <w:rPr>
                <w:b/>
                <w:bCs/>
              </w:rPr>
            </w:pPr>
            <w:r w:rsidRPr="00025AB5">
              <w:rPr>
                <w:rFonts w:hint="eastAsia"/>
                <w:b/>
                <w:bCs/>
              </w:rPr>
              <w:t>２．</w:t>
            </w:r>
            <w:r w:rsidR="009536E1" w:rsidRPr="00025AB5">
              <w:rPr>
                <w:rFonts w:hint="eastAsia"/>
                <w:b/>
                <w:bCs/>
              </w:rPr>
              <w:t>ショートリストの作成（第</w:t>
            </w:r>
            <w:r w:rsidR="001854E6" w:rsidRPr="00025AB5">
              <w:rPr>
                <w:rFonts w:hint="eastAsia"/>
                <w:b/>
                <w:bCs/>
              </w:rPr>
              <w:t>２ステージ</w:t>
            </w:r>
            <w:r w:rsidR="009536E1" w:rsidRPr="00025AB5">
              <w:rPr>
                <w:rFonts w:hint="eastAsia"/>
                <w:b/>
                <w:bCs/>
              </w:rPr>
              <w:t>）</w:t>
            </w:r>
          </w:p>
          <w:p w14:paraId="666D5E1C" w14:textId="258AA2CD" w:rsidR="007A5F26" w:rsidRDefault="00A63688" w:rsidP="00025AB5">
            <w:pPr>
              <w:snapToGrid w:val="0"/>
              <w:spacing w:line="280" w:lineRule="exact"/>
              <w:ind w:leftChars="200" w:left="630" w:hangingChars="100" w:hanging="210"/>
            </w:pPr>
            <w:r>
              <w:rPr>
                <w:rFonts w:hint="eastAsia"/>
              </w:rPr>
              <w:t>→</w:t>
            </w:r>
            <w:r w:rsidR="007A5F26">
              <w:rPr>
                <w:rFonts w:hint="eastAsia"/>
              </w:rPr>
              <w:t>閾値を設定し、ロングリストに適用することでCEAに含めるべき事業を特定する。</w:t>
            </w:r>
          </w:p>
          <w:p w14:paraId="67EB0A13" w14:textId="4F9C1E0A" w:rsidR="009536E1" w:rsidRPr="00025AB5" w:rsidRDefault="00A63688" w:rsidP="009536E1">
            <w:pPr>
              <w:snapToGrid w:val="0"/>
              <w:spacing w:line="280" w:lineRule="exact"/>
              <w:ind w:firstLineChars="100" w:firstLine="211"/>
              <w:rPr>
                <w:b/>
                <w:bCs/>
              </w:rPr>
            </w:pPr>
            <w:r w:rsidRPr="00025AB5">
              <w:rPr>
                <w:rFonts w:hint="eastAsia"/>
                <w:b/>
                <w:bCs/>
              </w:rPr>
              <w:t>３．</w:t>
            </w:r>
            <w:r w:rsidR="009536E1" w:rsidRPr="00025AB5">
              <w:rPr>
                <w:rFonts w:hint="eastAsia"/>
                <w:b/>
                <w:bCs/>
              </w:rPr>
              <w:t>情報収集（第</w:t>
            </w:r>
            <w:r w:rsidR="001854E6" w:rsidRPr="00025AB5">
              <w:rPr>
                <w:rFonts w:hint="eastAsia"/>
                <w:b/>
                <w:bCs/>
              </w:rPr>
              <w:t>３ステージ</w:t>
            </w:r>
            <w:r w:rsidR="009536E1" w:rsidRPr="00025AB5">
              <w:rPr>
                <w:rFonts w:hint="eastAsia"/>
                <w:b/>
                <w:bCs/>
              </w:rPr>
              <w:t>）</w:t>
            </w:r>
          </w:p>
          <w:p w14:paraId="722E5BE6" w14:textId="2E95BEB2" w:rsidR="00A63688" w:rsidRDefault="00A63688" w:rsidP="00025AB5">
            <w:pPr>
              <w:snapToGrid w:val="0"/>
              <w:spacing w:line="280" w:lineRule="exact"/>
              <w:ind w:firstLineChars="200" w:firstLine="420"/>
            </w:pPr>
            <w:r>
              <w:rPr>
                <w:rFonts w:hint="eastAsia"/>
              </w:rPr>
              <w:t>→</w:t>
            </w:r>
            <w:r w:rsidR="00232886">
              <w:rPr>
                <w:rFonts w:hint="eastAsia"/>
              </w:rPr>
              <w:t>第２ステージで絞り込んだ事業</w:t>
            </w:r>
            <w:r w:rsidR="008874BB">
              <w:rPr>
                <w:rFonts w:hint="eastAsia"/>
              </w:rPr>
              <w:t>について、</w:t>
            </w:r>
            <w:r w:rsidR="00232886">
              <w:rPr>
                <w:rFonts w:hint="eastAsia"/>
              </w:rPr>
              <w:t>詳細な情報を収集する。</w:t>
            </w:r>
          </w:p>
          <w:p w14:paraId="3C983FF4" w14:textId="77777777" w:rsidR="008874BB" w:rsidRDefault="00A63688" w:rsidP="008874BB">
            <w:pPr>
              <w:snapToGrid w:val="0"/>
              <w:spacing w:line="280" w:lineRule="exact"/>
              <w:ind w:firstLineChars="100" w:firstLine="211"/>
              <w:rPr>
                <w:b/>
                <w:bCs/>
              </w:rPr>
            </w:pPr>
            <w:r w:rsidRPr="00025AB5">
              <w:rPr>
                <w:rFonts w:hint="eastAsia"/>
                <w:b/>
                <w:bCs/>
              </w:rPr>
              <w:t>４．</w:t>
            </w:r>
            <w:r w:rsidR="001854E6" w:rsidRPr="00025AB5">
              <w:rPr>
                <w:rFonts w:hint="eastAsia"/>
                <w:b/>
                <w:bCs/>
              </w:rPr>
              <w:t>評価</w:t>
            </w:r>
            <w:r w:rsidR="009536E1" w:rsidRPr="00025AB5">
              <w:rPr>
                <w:rFonts w:hint="eastAsia"/>
                <w:b/>
                <w:bCs/>
              </w:rPr>
              <w:t>（第</w:t>
            </w:r>
            <w:r w:rsidR="001854E6" w:rsidRPr="00025AB5">
              <w:rPr>
                <w:rFonts w:hint="eastAsia"/>
                <w:b/>
                <w:bCs/>
              </w:rPr>
              <w:t>４ステージ</w:t>
            </w:r>
            <w:r w:rsidR="009536E1" w:rsidRPr="00025AB5">
              <w:rPr>
                <w:rFonts w:hint="eastAsia"/>
                <w:b/>
                <w:bCs/>
              </w:rPr>
              <w:t>）</w:t>
            </w:r>
          </w:p>
          <w:p w14:paraId="5FAD4923" w14:textId="4CCD79A9" w:rsidR="00232886" w:rsidRDefault="00232886" w:rsidP="00025AB5">
            <w:pPr>
              <w:snapToGrid w:val="0"/>
              <w:spacing w:line="280" w:lineRule="exact"/>
              <w:ind w:firstLineChars="100" w:firstLine="210"/>
              <w:rPr>
                <w:color w:val="FF0000"/>
              </w:rPr>
            </w:pPr>
          </w:p>
        </w:tc>
      </w:tr>
      <w:tr w:rsidR="009536E1" w14:paraId="4526DCD5" w14:textId="77777777" w:rsidTr="009536E1">
        <w:tc>
          <w:tcPr>
            <w:tcW w:w="1685" w:type="dxa"/>
          </w:tcPr>
          <w:p w14:paraId="2F470628" w14:textId="10917C0F" w:rsidR="009536E1" w:rsidRPr="00117E04" w:rsidRDefault="009536E1" w:rsidP="009536E1">
            <w:pPr>
              <w:snapToGrid w:val="0"/>
              <w:spacing w:line="280" w:lineRule="exact"/>
            </w:pPr>
            <w:r>
              <w:rPr>
                <w:rFonts w:hint="eastAsia"/>
              </w:rPr>
              <w:t>累積的影響を受ける要素（VE、VEC等）の範囲、条件</w:t>
            </w:r>
          </w:p>
        </w:tc>
        <w:tc>
          <w:tcPr>
            <w:tcW w:w="8091" w:type="dxa"/>
          </w:tcPr>
          <w:p w14:paraId="52C405FF" w14:textId="6577B61C" w:rsidR="009536E1" w:rsidRPr="001854E6" w:rsidRDefault="003F5F7F" w:rsidP="00025AB5">
            <w:pPr>
              <w:snapToGrid w:val="0"/>
              <w:spacing w:line="280" w:lineRule="exact"/>
              <w:ind w:left="210" w:hangingChars="100" w:hanging="210"/>
              <w:rPr>
                <w:color w:val="FF0000"/>
              </w:rPr>
            </w:pPr>
            <w:r>
              <w:rPr>
                <w:rFonts w:hint="eastAsia"/>
              </w:rPr>
              <w:t>・本</w:t>
            </w:r>
            <w:r w:rsidR="00C97334">
              <w:rPr>
                <w:rFonts w:hint="eastAsia"/>
              </w:rPr>
              <w:t>助言</w:t>
            </w:r>
            <w:r>
              <w:rPr>
                <w:rFonts w:hint="eastAsia"/>
              </w:rPr>
              <w:t>には具体的記載は無いが、引用されているEIA規則に</w:t>
            </w:r>
            <w:r>
              <w:t>「影響を受ける可能性のある</w:t>
            </w:r>
            <w:r>
              <w:rPr>
                <w:rFonts w:hint="eastAsia"/>
              </w:rPr>
              <w:t>、</w:t>
            </w:r>
            <w:r>
              <w:t>特定の環境上の重要性を有する地域</w:t>
            </w:r>
            <w:r>
              <w:rPr>
                <w:rFonts w:hint="eastAsia"/>
              </w:rPr>
              <w:t>また</w:t>
            </w:r>
            <w:r>
              <w:t>は天然資源の利用に関する既存の環境問題を考慮</w:t>
            </w:r>
            <w:r w:rsidR="00C97334">
              <w:rPr>
                <w:rFonts w:hint="eastAsia"/>
              </w:rPr>
              <w:t>する</w:t>
            </w:r>
            <w:r>
              <w:t>」</w:t>
            </w:r>
            <w:r w:rsidR="00C97334">
              <w:rPr>
                <w:rFonts w:hint="eastAsia"/>
              </w:rPr>
              <w:t>との記載がある。</w:t>
            </w:r>
            <w:r w:rsidR="00C97334" w:rsidRPr="004B5598">
              <w:rPr>
                <w:rFonts w:hint="eastAsia"/>
                <w:color w:val="FF0000"/>
              </w:rPr>
              <w:t>（</w:t>
            </w:r>
            <w:r w:rsidR="00C97334">
              <w:rPr>
                <w:rFonts w:hint="eastAsia"/>
                <w:color w:val="FF0000"/>
              </w:rPr>
              <w:t>日本語訳</w:t>
            </w:r>
            <w:r w:rsidR="00C97334" w:rsidRPr="004B5598">
              <w:rPr>
                <w:rFonts w:hint="eastAsia"/>
                <w:color w:val="FF0000"/>
              </w:rPr>
              <w:t>P.</w:t>
            </w:r>
            <w:r w:rsidR="00C97334">
              <w:rPr>
                <w:rFonts w:hint="eastAsia"/>
                <w:color w:val="FF0000"/>
              </w:rPr>
              <w:t>4～</w:t>
            </w:r>
            <w:r w:rsidR="00C97334" w:rsidRPr="004B5598">
              <w:rPr>
                <w:rFonts w:hint="eastAsia"/>
                <w:color w:val="FF0000"/>
              </w:rPr>
              <w:t>）</w:t>
            </w:r>
          </w:p>
        </w:tc>
      </w:tr>
      <w:tr w:rsidR="009536E1" w14:paraId="0FA80676" w14:textId="77777777" w:rsidTr="009536E1">
        <w:tc>
          <w:tcPr>
            <w:tcW w:w="1685" w:type="dxa"/>
          </w:tcPr>
          <w:p w14:paraId="609C2C0A" w14:textId="3850F26A" w:rsidR="009536E1" w:rsidRPr="00117E04" w:rsidRDefault="009536E1" w:rsidP="009536E1">
            <w:pPr>
              <w:snapToGrid w:val="0"/>
              <w:spacing w:line="280" w:lineRule="exact"/>
            </w:pPr>
            <w:r>
              <w:rPr>
                <w:rFonts w:hint="eastAsia"/>
              </w:rPr>
              <w:t>対象とする時間的な範囲</w:t>
            </w:r>
          </w:p>
        </w:tc>
        <w:tc>
          <w:tcPr>
            <w:tcW w:w="8091" w:type="dxa"/>
          </w:tcPr>
          <w:p w14:paraId="62527038" w14:textId="3DF48470" w:rsidR="0034587C" w:rsidRPr="00A63688" w:rsidRDefault="0081155C" w:rsidP="00025AB5">
            <w:pPr>
              <w:ind w:left="210" w:hangingChars="100" w:hanging="210"/>
              <w:rPr>
                <w:color w:val="FF0000"/>
              </w:rPr>
            </w:pPr>
            <w:r>
              <w:rPr>
                <w:rFonts w:hint="eastAsia"/>
              </w:rPr>
              <w:t>・</w:t>
            </w:r>
            <w:r w:rsidR="00A63688">
              <w:rPr>
                <w:rFonts w:hint="eastAsia"/>
              </w:rPr>
              <w:t>「合理的に予見可能（</w:t>
            </w:r>
            <w:r w:rsidR="00A63688" w:rsidRPr="006A58D4">
              <w:t>reasonably foreseeable</w:t>
            </w:r>
            <w:r w:rsidR="00A63688">
              <w:rPr>
                <w:rFonts w:hint="eastAsia"/>
              </w:rPr>
              <w:t>）な」既存の計画やプロジェクトが含まれる。</w:t>
            </w:r>
            <w:r w:rsidR="00A63688" w:rsidRPr="004B5598">
              <w:rPr>
                <w:rFonts w:hint="eastAsia"/>
                <w:color w:val="FF0000"/>
              </w:rPr>
              <w:t>（</w:t>
            </w:r>
            <w:r w:rsidR="00A63688">
              <w:rPr>
                <w:rFonts w:hint="eastAsia"/>
                <w:color w:val="FF0000"/>
              </w:rPr>
              <w:t>日本語訳</w:t>
            </w:r>
            <w:r w:rsidR="00A63688" w:rsidRPr="004B5598">
              <w:rPr>
                <w:rFonts w:hint="eastAsia"/>
                <w:color w:val="FF0000"/>
              </w:rPr>
              <w:t>P.</w:t>
            </w:r>
            <w:r w:rsidR="00A63688">
              <w:rPr>
                <w:rFonts w:hint="eastAsia"/>
                <w:color w:val="FF0000"/>
              </w:rPr>
              <w:t>4～</w:t>
            </w:r>
            <w:r w:rsidR="00A63688" w:rsidRPr="004B5598">
              <w:rPr>
                <w:rFonts w:hint="eastAsia"/>
                <w:color w:val="FF0000"/>
              </w:rPr>
              <w:t>）</w:t>
            </w:r>
          </w:p>
        </w:tc>
      </w:tr>
      <w:tr w:rsidR="009536E1" w14:paraId="7F14C4BA" w14:textId="77777777" w:rsidTr="009536E1">
        <w:tc>
          <w:tcPr>
            <w:tcW w:w="1685" w:type="dxa"/>
          </w:tcPr>
          <w:p w14:paraId="155DA307" w14:textId="1470915F" w:rsidR="009536E1" w:rsidRPr="00117E04" w:rsidRDefault="009536E1" w:rsidP="009536E1">
            <w:pPr>
              <w:snapToGrid w:val="0"/>
              <w:spacing w:line="280" w:lineRule="exact"/>
            </w:pPr>
            <w:r>
              <w:rPr>
                <w:rFonts w:hint="eastAsia"/>
              </w:rPr>
              <w:lastRenderedPageBreak/>
              <w:t>対象とする空間的範囲</w:t>
            </w:r>
          </w:p>
        </w:tc>
        <w:tc>
          <w:tcPr>
            <w:tcW w:w="8091" w:type="dxa"/>
          </w:tcPr>
          <w:p w14:paraId="4443FB84" w14:textId="2780ABE8" w:rsidR="009536E1" w:rsidRPr="00025AB5" w:rsidRDefault="00A63688" w:rsidP="00025AB5">
            <w:pPr>
              <w:snapToGrid w:val="0"/>
              <w:spacing w:line="280" w:lineRule="exact"/>
              <w:ind w:left="210" w:hangingChars="100" w:hanging="210"/>
            </w:pPr>
            <w:r>
              <w:rPr>
                <w:rFonts w:hint="eastAsia"/>
              </w:rPr>
              <w:t>・</w:t>
            </w:r>
            <w:r w:rsidR="008874BB">
              <w:rPr>
                <w:rFonts w:hint="eastAsia"/>
              </w:rPr>
              <w:t>具体的記載は無いが、</w:t>
            </w:r>
            <w:r>
              <w:rPr>
                <w:rFonts w:hint="eastAsia"/>
              </w:rPr>
              <w:t>場合によっては国外（EU加盟国）も含むべきと記載されている：</w:t>
            </w:r>
            <w:r w:rsidRPr="00C97334">
              <w:rPr>
                <w:rFonts w:hint="eastAsia"/>
              </w:rPr>
              <w:t>関連性がある場合、申請者は、</w:t>
            </w:r>
            <w:r w:rsidRPr="00C97334">
              <w:t>イギリス国外の開発における累積的影響の特定をするために、EU加盟国の認可機関に</w:t>
            </w:r>
            <w:r w:rsidRPr="00C97334">
              <w:rPr>
                <w:rFonts w:hint="eastAsia"/>
              </w:rPr>
              <w:t>コンサルテーションを</w:t>
            </w:r>
            <w:r w:rsidRPr="00C97334">
              <w:t>す</w:t>
            </w:r>
            <w:r w:rsidRPr="00C97334">
              <w:rPr>
                <w:rFonts w:hint="eastAsia"/>
              </w:rPr>
              <w:t>る</w:t>
            </w:r>
            <w:r w:rsidRPr="00C97334">
              <w:t>べき</w:t>
            </w:r>
            <w:r w:rsidRPr="00C97334">
              <w:rPr>
                <w:rFonts w:hint="eastAsia"/>
              </w:rPr>
              <w:t>である。</w:t>
            </w:r>
            <w:r w:rsidRPr="00A85990">
              <w:rPr>
                <w:rFonts w:hint="eastAsia"/>
                <w:color w:val="FF0000"/>
              </w:rPr>
              <w:t>（日本語訳p.7）</w:t>
            </w:r>
          </w:p>
        </w:tc>
      </w:tr>
      <w:tr w:rsidR="009536E1" w14:paraId="3A38B5F9" w14:textId="77777777" w:rsidTr="009536E1">
        <w:tc>
          <w:tcPr>
            <w:tcW w:w="1685" w:type="dxa"/>
          </w:tcPr>
          <w:p w14:paraId="2D99EBCE" w14:textId="3D859A37" w:rsidR="009536E1" w:rsidRPr="00117E04" w:rsidRDefault="009536E1" w:rsidP="009536E1">
            <w:pPr>
              <w:snapToGrid w:val="0"/>
              <w:spacing w:line="280" w:lineRule="exact"/>
            </w:pPr>
            <w:r>
              <w:rPr>
                <w:rFonts w:hint="eastAsia"/>
              </w:rPr>
              <w:t>累積影響の解析の対象とする事業の範囲</w:t>
            </w:r>
          </w:p>
        </w:tc>
        <w:tc>
          <w:tcPr>
            <w:tcW w:w="8091" w:type="dxa"/>
          </w:tcPr>
          <w:p w14:paraId="3DD6455F" w14:textId="52564F20" w:rsidR="00A63688" w:rsidRPr="00C97334" w:rsidRDefault="00A63688" w:rsidP="00025AB5">
            <w:pPr>
              <w:snapToGrid w:val="0"/>
              <w:spacing w:line="280" w:lineRule="exact"/>
              <w:ind w:left="210" w:hangingChars="100" w:hanging="210"/>
            </w:pPr>
            <w:r>
              <w:rPr>
                <w:rFonts w:hint="eastAsia"/>
              </w:rPr>
              <w:t>・</w:t>
            </w:r>
            <w:r w:rsidRPr="00C97334">
              <w:rPr>
                <w:rFonts w:hint="eastAsia"/>
              </w:rPr>
              <w:t>同種</w:t>
            </w:r>
            <w:r w:rsidR="00EE1F18">
              <w:rPr>
                <w:rFonts w:hint="eastAsia"/>
              </w:rPr>
              <w:t>事業</w:t>
            </w:r>
            <w:r w:rsidRPr="00C97334">
              <w:rPr>
                <w:rFonts w:hint="eastAsia"/>
              </w:rPr>
              <w:t>に限定すべきではない。例として、洋上風力発電の場合、他の洋上風力発電基地を評価するだけでなく、ZOI内で認可・許可された洋上</w:t>
            </w:r>
            <w:r>
              <w:rPr>
                <w:rFonts w:hint="eastAsia"/>
              </w:rPr>
              <w:t>の</w:t>
            </w:r>
            <w:r w:rsidRPr="00C97334">
              <w:rPr>
                <w:rFonts w:hint="eastAsia"/>
              </w:rPr>
              <w:t>活動も考慮に入れるべきである。</w:t>
            </w:r>
          </w:p>
          <w:p w14:paraId="7C67B1D9" w14:textId="77777777" w:rsidR="009536E1" w:rsidRDefault="00A63688" w:rsidP="00A63688">
            <w:pPr>
              <w:snapToGrid w:val="0"/>
              <w:spacing w:line="280" w:lineRule="exact"/>
              <w:ind w:left="210" w:hangingChars="100" w:hanging="210"/>
              <w:rPr>
                <w:color w:val="FF0000"/>
              </w:rPr>
            </w:pPr>
            <w:r>
              <w:rPr>
                <w:rFonts w:hint="eastAsia"/>
              </w:rPr>
              <w:t>・</w:t>
            </w:r>
            <w:r w:rsidRPr="00C97334">
              <w:rPr>
                <w:rFonts w:hint="eastAsia"/>
              </w:rPr>
              <w:t>関連性がある場合、申請者は、</w:t>
            </w:r>
            <w:r w:rsidRPr="00C97334">
              <w:t>イギリス国外の開発における累積的影響の特定をするために、EU加盟国の認可機関に</w:t>
            </w:r>
            <w:r w:rsidRPr="00C97334">
              <w:rPr>
                <w:rFonts w:hint="eastAsia"/>
              </w:rPr>
              <w:t>コンサルテーションを</w:t>
            </w:r>
            <w:r w:rsidRPr="00C97334">
              <w:t>す</w:t>
            </w:r>
            <w:r w:rsidRPr="00C97334">
              <w:rPr>
                <w:rFonts w:hint="eastAsia"/>
              </w:rPr>
              <w:t>る</w:t>
            </w:r>
            <w:r w:rsidRPr="00C97334">
              <w:t>べき</w:t>
            </w:r>
            <w:r w:rsidRPr="00C97334">
              <w:rPr>
                <w:rFonts w:hint="eastAsia"/>
              </w:rPr>
              <w:t>である。</w:t>
            </w:r>
            <w:r w:rsidRPr="00A85990">
              <w:rPr>
                <w:rFonts w:hint="eastAsia"/>
                <w:color w:val="FF0000"/>
              </w:rPr>
              <w:t>（日本語訳p.7）</w:t>
            </w:r>
          </w:p>
          <w:p w14:paraId="154F7098" w14:textId="57E503C4" w:rsidR="008874BB" w:rsidRPr="00C97334" w:rsidRDefault="00237ADB" w:rsidP="00025AB5">
            <w:pPr>
              <w:snapToGrid w:val="0"/>
              <w:spacing w:line="280" w:lineRule="exact"/>
              <w:ind w:left="210" w:hangingChars="100" w:hanging="210"/>
            </w:pPr>
            <w:r w:rsidRPr="00025AB5">
              <w:rPr>
                <w:rFonts w:hint="eastAsia"/>
              </w:rPr>
              <w:t>・事業の確実性を、以下のようにティア１からティア３に分類し</w:t>
            </w:r>
            <w:r w:rsidR="008874BB">
              <w:rPr>
                <w:rFonts w:hint="eastAsia"/>
              </w:rPr>
              <w:t>、いずれも</w:t>
            </w:r>
            <w:r w:rsidR="00A44C49">
              <w:rPr>
                <w:rFonts w:hint="eastAsia"/>
              </w:rPr>
              <w:t>可能な限り</w:t>
            </w:r>
            <w:r w:rsidR="008874BB">
              <w:rPr>
                <w:rFonts w:hint="eastAsia"/>
              </w:rPr>
              <w:t>予測評価に含めるべきとしているが、ティア３については定性的・概略的な評価も可とし</w:t>
            </w:r>
            <w:r w:rsidRPr="00025AB5">
              <w:rPr>
                <w:rFonts w:hint="eastAsia"/>
              </w:rPr>
              <w:t>ている。</w:t>
            </w:r>
            <w:r w:rsidR="008874BB" w:rsidRPr="00A85990">
              <w:rPr>
                <w:rFonts w:hint="eastAsia"/>
                <w:color w:val="FF0000"/>
              </w:rPr>
              <w:t>（日本語訳p.</w:t>
            </w:r>
            <w:r w:rsidR="00A44C49">
              <w:rPr>
                <w:rFonts w:hint="eastAsia"/>
                <w:color w:val="FF0000"/>
              </w:rPr>
              <w:t>12，</w:t>
            </w:r>
            <w:r w:rsidR="008874BB">
              <w:rPr>
                <w:rFonts w:hint="eastAsia"/>
                <w:color w:val="FF0000"/>
              </w:rPr>
              <w:t>14</w:t>
            </w:r>
            <w:r w:rsidR="008874BB" w:rsidRPr="00A85990">
              <w:rPr>
                <w:rFonts w:hint="eastAsia"/>
                <w:color w:val="FF0000"/>
              </w:rPr>
              <w:t>）</w:t>
            </w:r>
          </w:p>
          <w:p w14:paraId="16B8F8BA" w14:textId="46CD9ED0" w:rsidR="00237ADB" w:rsidRPr="00025AB5" w:rsidRDefault="00237ADB" w:rsidP="00237ADB">
            <w:pPr>
              <w:snapToGrid w:val="0"/>
              <w:spacing w:line="280" w:lineRule="exact"/>
              <w:ind w:leftChars="100" w:left="210"/>
            </w:pPr>
            <w:r w:rsidRPr="00025AB5">
              <w:rPr>
                <w:rFonts w:hint="eastAsia"/>
              </w:rPr>
              <w:t>ティア１：建設中の事業、または法に基づき許可あるいは申請された事業</w:t>
            </w:r>
          </w:p>
          <w:p w14:paraId="3BF2CDAA" w14:textId="77777777" w:rsidR="00237ADB" w:rsidRPr="00025AB5" w:rsidRDefault="00237ADB" w:rsidP="00237ADB">
            <w:pPr>
              <w:snapToGrid w:val="0"/>
              <w:spacing w:line="280" w:lineRule="exact"/>
              <w:ind w:leftChars="100" w:left="210"/>
            </w:pPr>
            <w:r w:rsidRPr="00025AB5">
              <w:rPr>
                <w:rFonts w:hint="eastAsia"/>
              </w:rPr>
              <w:t>ティア２：計画検査局のプロジェクト計画に含まれる事業</w:t>
            </w:r>
          </w:p>
          <w:p w14:paraId="04F80732" w14:textId="7B69BACC" w:rsidR="00237ADB" w:rsidRPr="00025AB5" w:rsidRDefault="00237ADB" w:rsidP="00025AB5">
            <w:pPr>
              <w:snapToGrid w:val="0"/>
              <w:spacing w:line="280" w:lineRule="exact"/>
              <w:ind w:leftChars="100" w:left="1260" w:hangingChars="500" w:hanging="1050"/>
            </w:pPr>
            <w:r w:rsidRPr="00025AB5">
              <w:rPr>
                <w:rFonts w:hint="eastAsia"/>
              </w:rPr>
              <w:t>ティア３：計画検査局がプロジェクト計画のうちスコーピング未実施のもの、関連する計画の中で開発が進む可能性が合理的に高いもの</w:t>
            </w:r>
          </w:p>
        </w:tc>
      </w:tr>
      <w:tr w:rsidR="009536E1" w14:paraId="6860CD56" w14:textId="77777777" w:rsidTr="009536E1">
        <w:tc>
          <w:tcPr>
            <w:tcW w:w="1685" w:type="dxa"/>
          </w:tcPr>
          <w:p w14:paraId="2E1D1E32" w14:textId="5209669E" w:rsidR="009536E1" w:rsidRDefault="009536E1" w:rsidP="009536E1">
            <w:pPr>
              <w:snapToGrid w:val="0"/>
              <w:spacing w:line="280" w:lineRule="exact"/>
            </w:pPr>
            <w:r>
              <w:rPr>
                <w:rFonts w:hint="eastAsia"/>
              </w:rPr>
              <w:t>解析ツール</w:t>
            </w:r>
          </w:p>
          <w:p w14:paraId="2406A3D5" w14:textId="77777777" w:rsidR="009536E1" w:rsidRPr="00117E04" w:rsidRDefault="009536E1" w:rsidP="009536E1">
            <w:pPr>
              <w:snapToGrid w:val="0"/>
              <w:spacing w:line="280" w:lineRule="exact"/>
            </w:pPr>
          </w:p>
        </w:tc>
        <w:tc>
          <w:tcPr>
            <w:tcW w:w="8091" w:type="dxa"/>
          </w:tcPr>
          <w:p w14:paraId="2DC7E31E" w14:textId="227F6A47" w:rsidR="009536E1" w:rsidRDefault="0081155C" w:rsidP="009536E1">
            <w:pPr>
              <w:snapToGrid w:val="0"/>
              <w:spacing w:line="280" w:lineRule="exact"/>
              <w:rPr>
                <w:color w:val="FF0000"/>
              </w:rPr>
            </w:pPr>
            <w:r w:rsidRPr="00025AB5">
              <w:rPr>
                <w:rFonts w:hint="eastAsia"/>
              </w:rPr>
              <w:t>第１ステージにおいては、地理情報システム（GIS）を用いて、各環境影響のZOIをマッピングする</w:t>
            </w:r>
            <w:r w:rsidRPr="00C97334">
              <w:rPr>
                <w:rFonts w:hint="eastAsia"/>
              </w:rPr>
              <w:t>ことを推奨している。</w:t>
            </w:r>
            <w:r w:rsidRPr="00025AB5">
              <w:rPr>
                <w:rFonts w:hint="eastAsia"/>
                <w:color w:val="FF0000"/>
              </w:rPr>
              <w:t>（日本語訳p.7）</w:t>
            </w:r>
          </w:p>
        </w:tc>
      </w:tr>
      <w:tr w:rsidR="009536E1" w14:paraId="1C36926B" w14:textId="77777777" w:rsidTr="009536E1">
        <w:tc>
          <w:tcPr>
            <w:tcW w:w="1685" w:type="dxa"/>
          </w:tcPr>
          <w:p w14:paraId="078ED064" w14:textId="4800B478" w:rsidR="009536E1" w:rsidRDefault="009536E1" w:rsidP="009536E1">
            <w:pPr>
              <w:snapToGrid w:val="0"/>
              <w:spacing w:line="280" w:lineRule="exact"/>
            </w:pPr>
            <w:r>
              <w:rPr>
                <w:rFonts w:hint="eastAsia"/>
              </w:rPr>
              <w:t>評価の考え方、閾値の設定方法・設定者等</w:t>
            </w:r>
          </w:p>
        </w:tc>
        <w:tc>
          <w:tcPr>
            <w:tcW w:w="8091" w:type="dxa"/>
          </w:tcPr>
          <w:p w14:paraId="37BE94D2" w14:textId="77777777" w:rsidR="00F9568D" w:rsidRDefault="00F9568D" w:rsidP="00F9568D">
            <w:pPr>
              <w:snapToGrid w:val="0"/>
              <w:spacing w:line="280" w:lineRule="exact"/>
              <w:ind w:left="210" w:hangingChars="100" w:hanging="210"/>
              <w:rPr>
                <w:color w:val="FF0000"/>
              </w:rPr>
            </w:pPr>
            <w:r w:rsidRPr="00A85990">
              <w:rPr>
                <w:rFonts w:hint="eastAsia"/>
              </w:rPr>
              <w:t>・</w:t>
            </w:r>
            <w:r>
              <w:t>他の</w:t>
            </w:r>
            <w:r>
              <w:rPr>
                <w:rFonts w:hint="eastAsia"/>
              </w:rPr>
              <w:t>事業</w:t>
            </w:r>
            <w:r>
              <w:t>の影響がまだ完全に決</w:t>
            </w:r>
            <w:r>
              <w:rPr>
                <w:rFonts w:hint="eastAsia"/>
              </w:rPr>
              <w:t>まって</w:t>
            </w:r>
            <w:r>
              <w:t>いない場合、例えば、ミティゲーションの結果がモニタリング中であり、まだ判明していない場合、CEAにおいてこれらを検討することが適切。</w:t>
            </w:r>
            <w:r w:rsidRPr="00A85990">
              <w:rPr>
                <w:rFonts w:hint="eastAsia"/>
                <w:color w:val="FF0000"/>
              </w:rPr>
              <w:t>（日本語訳p.</w:t>
            </w:r>
            <w:r>
              <w:rPr>
                <w:rFonts w:hint="eastAsia"/>
                <w:color w:val="FF0000"/>
              </w:rPr>
              <w:t>10</w:t>
            </w:r>
            <w:r w:rsidRPr="00A85990">
              <w:rPr>
                <w:rFonts w:hint="eastAsia"/>
                <w:color w:val="FF0000"/>
              </w:rPr>
              <w:t>）</w:t>
            </w:r>
          </w:p>
          <w:p w14:paraId="1326EBEA" w14:textId="77777777" w:rsidR="00F9568D" w:rsidRDefault="00F9568D" w:rsidP="00232886">
            <w:pPr>
              <w:snapToGrid w:val="0"/>
              <w:spacing w:line="280" w:lineRule="exact"/>
              <w:ind w:left="210" w:hangingChars="100" w:hanging="210"/>
            </w:pPr>
          </w:p>
          <w:p w14:paraId="7C581394" w14:textId="7CE5B392" w:rsidR="008874BB" w:rsidRDefault="00A44C49" w:rsidP="00232886">
            <w:pPr>
              <w:snapToGrid w:val="0"/>
              <w:spacing w:line="280" w:lineRule="exact"/>
              <w:ind w:left="210" w:hangingChars="100" w:hanging="210"/>
            </w:pPr>
            <w:r>
              <w:rPr>
                <w:rFonts w:hint="eastAsia"/>
              </w:rPr>
              <w:t>【</w:t>
            </w:r>
            <w:r w:rsidR="008874BB">
              <w:rPr>
                <w:rFonts w:hint="eastAsia"/>
              </w:rPr>
              <w:t>閾値の設定</w:t>
            </w:r>
            <w:r>
              <w:rPr>
                <w:rFonts w:hint="eastAsia"/>
              </w:rPr>
              <w:t>】</w:t>
            </w:r>
          </w:p>
          <w:p w14:paraId="194B71F3" w14:textId="5DCC2945" w:rsidR="007A5F26" w:rsidRPr="00C97334" w:rsidRDefault="00232886" w:rsidP="00025AB5">
            <w:pPr>
              <w:snapToGrid w:val="0"/>
              <w:spacing w:line="280" w:lineRule="exact"/>
              <w:ind w:left="210" w:hangingChars="100" w:hanging="210"/>
            </w:pPr>
            <w:r>
              <w:rPr>
                <w:rFonts w:hint="eastAsia"/>
              </w:rPr>
              <w:t>・</w:t>
            </w:r>
            <w:r w:rsidR="007A5F26">
              <w:rPr>
                <w:rFonts w:hint="eastAsia"/>
              </w:rPr>
              <w:t>閾値は、</w:t>
            </w:r>
            <w:r w:rsidR="007A5F26" w:rsidRPr="00025AB5">
              <w:rPr>
                <w:rFonts w:hint="eastAsia"/>
              </w:rPr>
              <w:t>時間的範囲</w:t>
            </w:r>
            <w:r>
              <w:rPr>
                <w:rFonts w:hint="eastAsia"/>
              </w:rPr>
              <w:t>、</w:t>
            </w:r>
            <w:r w:rsidR="007A5F26" w:rsidRPr="00025AB5">
              <w:rPr>
                <w:rFonts w:hint="eastAsia"/>
              </w:rPr>
              <w:t>開発の規模と性質</w:t>
            </w:r>
            <w:r w:rsidRPr="00025AB5">
              <w:rPr>
                <w:rFonts w:hint="eastAsia"/>
              </w:rPr>
              <w:t>、</w:t>
            </w:r>
            <w:r w:rsidR="007A5F26" w:rsidRPr="00025AB5">
              <w:rPr>
                <w:rFonts w:hint="eastAsia"/>
              </w:rPr>
              <w:t>その他の要因</w:t>
            </w:r>
            <w:r w:rsidRPr="00025AB5">
              <w:rPr>
                <w:rFonts w:hint="eastAsia"/>
              </w:rPr>
              <w:t>（</w:t>
            </w:r>
            <w:r w:rsidR="007A5F26" w:rsidRPr="00232886">
              <w:rPr>
                <w:rFonts w:hint="eastAsia"/>
              </w:rPr>
              <w:t>受容環境の性質および許容力</w:t>
            </w:r>
            <w:r w:rsidRPr="00232886">
              <w:rPr>
                <w:rFonts w:hint="eastAsia"/>
              </w:rPr>
              <w:t>など</w:t>
            </w:r>
            <w:r>
              <w:rPr>
                <w:rFonts w:hint="eastAsia"/>
              </w:rPr>
              <w:t>）をふまえて明確に示されるべきである。</w:t>
            </w:r>
            <w:r w:rsidRPr="00A85990">
              <w:rPr>
                <w:rFonts w:hint="eastAsia"/>
                <w:color w:val="FF0000"/>
              </w:rPr>
              <w:t>（日本語訳p.</w:t>
            </w:r>
            <w:r>
              <w:rPr>
                <w:rFonts w:hint="eastAsia"/>
                <w:color w:val="FF0000"/>
              </w:rPr>
              <w:t>11</w:t>
            </w:r>
            <w:r w:rsidRPr="00A85990">
              <w:rPr>
                <w:rFonts w:hint="eastAsia"/>
                <w:color w:val="FF0000"/>
              </w:rPr>
              <w:t>）</w:t>
            </w:r>
          </w:p>
          <w:p w14:paraId="7F2172FF" w14:textId="77777777" w:rsidR="00232886" w:rsidRDefault="00232886" w:rsidP="00232886">
            <w:pPr>
              <w:snapToGrid w:val="0"/>
              <w:spacing w:line="280" w:lineRule="exact"/>
              <w:ind w:leftChars="25" w:left="263" w:hangingChars="100" w:hanging="210"/>
            </w:pPr>
            <w:r>
              <w:rPr>
                <w:rFonts w:hint="eastAsia"/>
              </w:rPr>
              <w:t>・</w:t>
            </w:r>
            <w:r w:rsidRPr="00C97334">
              <w:rPr>
                <w:rFonts w:hint="eastAsia"/>
              </w:rPr>
              <w:t>専門家の判断</w:t>
            </w:r>
            <w:r>
              <w:rPr>
                <w:rFonts w:hint="eastAsia"/>
              </w:rPr>
              <w:t>により、閾値の基準を補完することもできる（</w:t>
            </w:r>
            <w:r w:rsidRPr="00C97334">
              <w:rPr>
                <w:rFonts w:hint="eastAsia"/>
              </w:rPr>
              <w:t>閾値を下回るが重大な影響をもたらす可能性のある特性を有する</w:t>
            </w:r>
            <w:r>
              <w:rPr>
                <w:rFonts w:hint="eastAsia"/>
              </w:rPr>
              <w:t>/閾値</w:t>
            </w:r>
            <w:r w:rsidRPr="00C97334">
              <w:rPr>
                <w:rFonts w:hint="eastAsia"/>
              </w:rPr>
              <w:t>を下回るが、</w:t>
            </w:r>
            <w:r>
              <w:rPr>
                <w:rFonts w:hint="eastAsia"/>
              </w:rPr>
              <w:t>当該事業</w:t>
            </w:r>
            <w:r w:rsidRPr="00C97334">
              <w:rPr>
                <w:rFonts w:hint="eastAsia"/>
              </w:rPr>
              <w:t>に近接しているため、累積的影響をもたらす可能性がある</w:t>
            </w:r>
            <w:r>
              <w:rPr>
                <w:rFonts w:hint="eastAsia"/>
              </w:rPr>
              <w:t>）</w:t>
            </w:r>
          </w:p>
          <w:p w14:paraId="24EC5827" w14:textId="22D783DE" w:rsidR="00232886" w:rsidRDefault="00232886" w:rsidP="00232886">
            <w:pPr>
              <w:snapToGrid w:val="0"/>
              <w:spacing w:line="280" w:lineRule="exact"/>
              <w:ind w:leftChars="25" w:left="263" w:hangingChars="100" w:hanging="210"/>
            </w:pPr>
            <w:r>
              <w:rPr>
                <w:rFonts w:hint="eastAsia"/>
              </w:rPr>
              <w:t>・逆に、専門家の判断により、</w:t>
            </w:r>
            <w:r w:rsidRPr="00C97334">
              <w:rPr>
                <w:rFonts w:hint="eastAsia"/>
              </w:rPr>
              <w:t>閾値を超えるが、</w:t>
            </w:r>
            <w:r w:rsidR="00EE1F18">
              <w:rPr>
                <w:rFonts w:hint="eastAsia"/>
              </w:rPr>
              <w:t>明確</w:t>
            </w:r>
            <w:r w:rsidRPr="00C97334">
              <w:rPr>
                <w:rFonts w:hint="eastAsia"/>
              </w:rPr>
              <w:t>な影響を生じさせない可能性のある他の既存及び承認された開発の除外する</w:t>
            </w:r>
            <w:r>
              <w:rPr>
                <w:rFonts w:hint="eastAsia"/>
              </w:rPr>
              <w:t>こともありえる</w:t>
            </w:r>
            <w:r w:rsidRPr="00C97334">
              <w:rPr>
                <w:rFonts w:hint="eastAsia"/>
              </w:rPr>
              <w:t>。</w:t>
            </w:r>
            <w:r w:rsidRPr="00A85990">
              <w:rPr>
                <w:rFonts w:hint="eastAsia"/>
                <w:color w:val="FF0000"/>
              </w:rPr>
              <w:t>（日本語訳p.</w:t>
            </w:r>
            <w:r>
              <w:rPr>
                <w:rFonts w:hint="eastAsia"/>
                <w:color w:val="FF0000"/>
              </w:rPr>
              <w:t>12</w:t>
            </w:r>
            <w:r w:rsidRPr="00A85990">
              <w:rPr>
                <w:rFonts w:hint="eastAsia"/>
                <w:color w:val="FF0000"/>
              </w:rPr>
              <w:t>）</w:t>
            </w:r>
          </w:p>
          <w:p w14:paraId="57E71641" w14:textId="3F00DD19" w:rsidR="00232886" w:rsidRDefault="00232886" w:rsidP="00232886">
            <w:pPr>
              <w:snapToGrid w:val="0"/>
              <w:spacing w:line="280" w:lineRule="exact"/>
            </w:pPr>
          </w:p>
          <w:p w14:paraId="0A70A3F4" w14:textId="0E17CEA1" w:rsidR="008874BB" w:rsidRDefault="00A44C49" w:rsidP="00232886">
            <w:pPr>
              <w:snapToGrid w:val="0"/>
              <w:spacing w:line="280" w:lineRule="exact"/>
            </w:pPr>
            <w:r>
              <w:rPr>
                <w:rFonts w:hint="eastAsia"/>
              </w:rPr>
              <w:t>【</w:t>
            </w:r>
            <w:r w:rsidR="008874BB">
              <w:rPr>
                <w:rFonts w:hint="eastAsia"/>
              </w:rPr>
              <w:t>評価の考え方</w:t>
            </w:r>
            <w:r>
              <w:rPr>
                <w:rFonts w:hint="eastAsia"/>
              </w:rPr>
              <w:t>】</w:t>
            </w:r>
          </w:p>
          <w:p w14:paraId="257203AF" w14:textId="2E04B5FB" w:rsidR="008874BB" w:rsidRPr="00025AB5" w:rsidRDefault="008874BB">
            <w:pPr>
              <w:snapToGrid w:val="0"/>
              <w:spacing w:line="280" w:lineRule="exact"/>
              <w:rPr>
                <w:sz w:val="22"/>
                <w:szCs w:val="21"/>
              </w:rPr>
            </w:pPr>
            <w:r w:rsidRPr="00C97334">
              <w:rPr>
                <w:rFonts w:hint="eastAsia"/>
              </w:rPr>
              <w:t>・</w:t>
            </w:r>
            <w:r w:rsidRPr="00C97334">
              <w:t>入手可能な情報に応じた適切な詳細</w:t>
            </w:r>
            <w:r>
              <w:rPr>
                <w:rFonts w:hint="eastAsia"/>
              </w:rPr>
              <w:t>度</w:t>
            </w:r>
            <w:r w:rsidRPr="00C97334">
              <w:t>で実施すること</w:t>
            </w:r>
          </w:p>
          <w:p w14:paraId="22041117" w14:textId="57ED7642" w:rsidR="008874BB" w:rsidRPr="00C97334" w:rsidRDefault="008874BB" w:rsidP="008874BB">
            <w:pPr>
              <w:snapToGrid w:val="0"/>
              <w:spacing w:line="280" w:lineRule="exact"/>
            </w:pPr>
            <w:r w:rsidRPr="00C97334">
              <w:rPr>
                <w:rFonts w:hint="eastAsia"/>
              </w:rPr>
              <w:t>・</w:t>
            </w:r>
            <w:r w:rsidRPr="00C97334">
              <w:t>情報</w:t>
            </w:r>
            <w:r>
              <w:rPr>
                <w:rFonts w:hint="eastAsia"/>
              </w:rPr>
              <w:t>入手</w:t>
            </w:r>
            <w:r w:rsidRPr="00C97334">
              <w:t>の</w:t>
            </w:r>
            <w:r>
              <w:rPr>
                <w:rFonts w:hint="eastAsia"/>
              </w:rPr>
              <w:t>限界</w:t>
            </w:r>
            <w:r w:rsidRPr="00C97334">
              <w:t>や不足を説明し記録すること</w:t>
            </w:r>
          </w:p>
          <w:p w14:paraId="111061E5" w14:textId="2FB85726" w:rsidR="008874BB" w:rsidRPr="00C97334" w:rsidRDefault="008874BB" w:rsidP="00025AB5">
            <w:pPr>
              <w:snapToGrid w:val="0"/>
              <w:spacing w:line="280" w:lineRule="exact"/>
              <w:ind w:left="210" w:hangingChars="100" w:hanging="210"/>
            </w:pPr>
            <w:r w:rsidRPr="00C97334">
              <w:rPr>
                <w:rFonts w:hint="eastAsia"/>
              </w:rPr>
              <w:t>・</w:t>
            </w:r>
            <w:r w:rsidRPr="00C97334">
              <w:t>可能な限り、全ての</w:t>
            </w:r>
            <w:r>
              <w:rPr>
                <w:rFonts w:hint="eastAsia"/>
              </w:rPr>
              <w:t>ティア１</w:t>
            </w:r>
            <w:r w:rsidRPr="00C97334">
              <w:t>と</w:t>
            </w:r>
            <w:r>
              <w:rPr>
                <w:rFonts w:hint="eastAsia"/>
              </w:rPr>
              <w:t>ティア２</w:t>
            </w:r>
            <w:r w:rsidRPr="00C97334">
              <w:t>の案件を考慮すること</w:t>
            </w:r>
          </w:p>
          <w:p w14:paraId="3C884D0F" w14:textId="79C4FA05" w:rsidR="008874BB" w:rsidRPr="00C97334" w:rsidRDefault="008874BB" w:rsidP="00025AB5">
            <w:pPr>
              <w:snapToGrid w:val="0"/>
              <w:spacing w:line="280" w:lineRule="exact"/>
              <w:ind w:left="210" w:hangingChars="100" w:hanging="210"/>
            </w:pPr>
            <w:r w:rsidRPr="00C97334">
              <w:rPr>
                <w:rFonts w:hint="eastAsia"/>
              </w:rPr>
              <w:t>・</w:t>
            </w:r>
            <w:r w:rsidRPr="00C97334">
              <w:t>可能な限り、全ての</w:t>
            </w:r>
            <w:r>
              <w:rPr>
                <w:rFonts w:hint="eastAsia"/>
              </w:rPr>
              <w:t>ティア３</w:t>
            </w:r>
            <w:r w:rsidRPr="00C97334">
              <w:t>の案件を考慮すること</w:t>
            </w:r>
            <w:r>
              <w:rPr>
                <w:rFonts w:hint="eastAsia"/>
              </w:rPr>
              <w:t>。</w:t>
            </w:r>
            <w:r w:rsidRPr="00C97334">
              <w:t>ただし、定性的かつ概略的な評価でも可</w:t>
            </w:r>
          </w:p>
          <w:p w14:paraId="5400FB22" w14:textId="2E8E8414" w:rsidR="008874BB" w:rsidRDefault="008874BB" w:rsidP="008874BB">
            <w:pPr>
              <w:snapToGrid w:val="0"/>
              <w:spacing w:line="280" w:lineRule="exact"/>
              <w:rPr>
                <w:color w:val="FF0000"/>
              </w:rPr>
            </w:pPr>
            <w:r w:rsidRPr="00C97334">
              <w:rPr>
                <w:rFonts w:hint="eastAsia"/>
              </w:rPr>
              <w:t>・</w:t>
            </w:r>
            <w:r w:rsidRPr="00C97334">
              <w:t>環境影響評価書に文書化すること</w:t>
            </w:r>
            <w:r w:rsidRPr="00A85990">
              <w:rPr>
                <w:rFonts w:hint="eastAsia"/>
                <w:color w:val="FF0000"/>
              </w:rPr>
              <w:t>（日本語訳p.</w:t>
            </w:r>
            <w:r>
              <w:rPr>
                <w:rFonts w:hint="eastAsia"/>
                <w:color w:val="FF0000"/>
              </w:rPr>
              <w:t>14</w:t>
            </w:r>
            <w:r w:rsidRPr="00A85990">
              <w:rPr>
                <w:rFonts w:hint="eastAsia"/>
                <w:color w:val="FF0000"/>
              </w:rPr>
              <w:t>）</w:t>
            </w:r>
          </w:p>
          <w:p w14:paraId="7998F0F7" w14:textId="77777777" w:rsidR="00A44C49" w:rsidRDefault="00A44C49" w:rsidP="008874BB">
            <w:pPr>
              <w:snapToGrid w:val="0"/>
              <w:spacing w:line="280" w:lineRule="exact"/>
              <w:rPr>
                <w:color w:val="FF0000"/>
              </w:rPr>
            </w:pPr>
          </w:p>
          <w:p w14:paraId="07BB6B5D" w14:textId="0D3B5106" w:rsidR="009536E1" w:rsidRPr="004E0744" w:rsidRDefault="000405DC" w:rsidP="009536E1">
            <w:pPr>
              <w:snapToGrid w:val="0"/>
              <w:spacing w:line="280" w:lineRule="exact"/>
            </w:pPr>
            <w:r>
              <w:rPr>
                <w:rFonts w:hint="eastAsia"/>
              </w:rPr>
              <w:t>【影響の大きさ</w:t>
            </w:r>
            <w:r w:rsidR="009536E1">
              <w:rPr>
                <w:rFonts w:hint="eastAsia"/>
              </w:rPr>
              <w:t>の基準</w:t>
            </w:r>
            <w:r w:rsidR="009536E1" w:rsidRPr="004E0744">
              <w:rPr>
                <w:rFonts w:hint="eastAsia"/>
              </w:rPr>
              <w:t>】</w:t>
            </w:r>
          </w:p>
          <w:p w14:paraId="65B3FBCE" w14:textId="60D286E7" w:rsidR="009536E1" w:rsidRPr="00431374" w:rsidRDefault="009536E1" w:rsidP="00025AB5">
            <w:pPr>
              <w:snapToGrid w:val="0"/>
              <w:spacing w:line="280" w:lineRule="exact"/>
              <w:rPr>
                <w:color w:val="231F20"/>
              </w:rPr>
            </w:pPr>
            <w:r>
              <w:rPr>
                <w:rFonts w:hint="eastAsia"/>
              </w:rPr>
              <w:t>・</w:t>
            </w:r>
            <w:r w:rsidRPr="00431374">
              <w:rPr>
                <w:color w:val="231F20"/>
              </w:rPr>
              <w:t>独自の重要性判断基準を</w:t>
            </w:r>
            <w:r w:rsidR="00A44C49">
              <w:rPr>
                <w:rFonts w:hint="eastAsia"/>
                <w:color w:val="231F20"/>
              </w:rPr>
              <w:t>設ける</w:t>
            </w:r>
            <w:r w:rsidRPr="00431374">
              <w:rPr>
                <w:color w:val="231F20"/>
              </w:rPr>
              <w:t>場合、以下の項目を考慮す</w:t>
            </w:r>
            <w:r>
              <w:rPr>
                <w:rFonts w:hint="eastAsia"/>
                <w:color w:val="231F20"/>
              </w:rPr>
              <w:t>る</w:t>
            </w:r>
            <w:r w:rsidRPr="00431374">
              <w:rPr>
                <w:color w:val="231F20"/>
              </w:rPr>
              <w:t>べき</w:t>
            </w:r>
            <w:r>
              <w:rPr>
                <w:rFonts w:hint="eastAsia"/>
                <w:color w:val="231F20"/>
              </w:rPr>
              <w:t>である。</w:t>
            </w:r>
          </w:p>
          <w:p w14:paraId="44CFEC05" w14:textId="0B265562" w:rsidR="009536E1" w:rsidRPr="00A44C49" w:rsidRDefault="009536E1" w:rsidP="009536E1">
            <w:pPr>
              <w:snapToGrid w:val="0"/>
              <w:spacing w:line="280" w:lineRule="exact"/>
              <w:ind w:firstLineChars="100" w:firstLine="210"/>
              <w:rPr>
                <w:color w:val="231F20"/>
              </w:rPr>
            </w:pPr>
            <w:r>
              <w:rPr>
                <w:rFonts w:hint="eastAsia"/>
                <w:color w:val="231F20"/>
              </w:rPr>
              <w:t>・</w:t>
            </w:r>
            <w:r w:rsidRPr="00431374">
              <w:rPr>
                <w:color w:val="231F20"/>
              </w:rPr>
              <w:t>影響の</w:t>
            </w:r>
            <w:r w:rsidRPr="00025AB5">
              <w:rPr>
                <w:rFonts w:hint="eastAsia"/>
                <w:color w:val="231F20"/>
              </w:rPr>
              <w:t>継続期間</w:t>
            </w:r>
            <w:r w:rsidRPr="00A44C49">
              <w:rPr>
                <w:color w:val="231F20"/>
              </w:rPr>
              <w:t>（一時的か永続的か）</w:t>
            </w:r>
          </w:p>
          <w:p w14:paraId="779E6204" w14:textId="4FBC1288" w:rsidR="009536E1" w:rsidRPr="00A44C49" w:rsidRDefault="009536E1" w:rsidP="009536E1">
            <w:pPr>
              <w:snapToGrid w:val="0"/>
              <w:spacing w:line="280" w:lineRule="exact"/>
              <w:ind w:firstLineChars="100" w:firstLine="210"/>
              <w:rPr>
                <w:color w:val="231F20"/>
              </w:rPr>
            </w:pPr>
            <w:r w:rsidRPr="00A44C49">
              <w:rPr>
                <w:rFonts w:hint="eastAsia"/>
                <w:color w:val="231F20"/>
              </w:rPr>
              <w:t>・</w:t>
            </w:r>
            <w:r w:rsidRPr="00A44C49">
              <w:rPr>
                <w:color w:val="231F20"/>
              </w:rPr>
              <w:t>影響の</w:t>
            </w:r>
            <w:r w:rsidRPr="00025AB5">
              <w:rPr>
                <w:rFonts w:hint="eastAsia"/>
                <w:color w:val="231F20"/>
              </w:rPr>
              <w:t>範囲</w:t>
            </w:r>
            <w:r w:rsidRPr="00A44C49">
              <w:rPr>
                <w:color w:val="231F20"/>
              </w:rPr>
              <w:t>（地理的な区域）</w:t>
            </w:r>
          </w:p>
          <w:p w14:paraId="12232A5E" w14:textId="36342AFE" w:rsidR="009536E1" w:rsidRPr="00A44C49" w:rsidRDefault="009536E1" w:rsidP="009536E1">
            <w:pPr>
              <w:snapToGrid w:val="0"/>
              <w:spacing w:line="280" w:lineRule="exact"/>
              <w:ind w:firstLineChars="100" w:firstLine="210"/>
              <w:rPr>
                <w:color w:val="231F20"/>
              </w:rPr>
            </w:pPr>
            <w:r w:rsidRPr="00A44C49">
              <w:rPr>
                <w:rFonts w:hint="eastAsia"/>
                <w:color w:val="231F20"/>
              </w:rPr>
              <w:t>・</w:t>
            </w:r>
            <w:r w:rsidRPr="00A44C49">
              <w:rPr>
                <w:color w:val="231F20"/>
              </w:rPr>
              <w:t>影響の</w:t>
            </w:r>
            <w:r w:rsidRPr="00025AB5">
              <w:rPr>
                <w:rFonts w:hint="eastAsia"/>
                <w:color w:val="231F20"/>
              </w:rPr>
              <w:t>種類</w:t>
            </w:r>
            <w:r w:rsidRPr="00A44C49">
              <w:rPr>
                <w:color w:val="231F20"/>
              </w:rPr>
              <w:t>（加算的か相乗的か）</w:t>
            </w:r>
          </w:p>
          <w:p w14:paraId="6A1D15D0" w14:textId="2BD2D1BE" w:rsidR="009536E1" w:rsidRPr="00A44C49" w:rsidRDefault="009536E1" w:rsidP="009536E1">
            <w:pPr>
              <w:snapToGrid w:val="0"/>
              <w:spacing w:line="280" w:lineRule="exact"/>
              <w:ind w:firstLineChars="100" w:firstLine="210"/>
              <w:rPr>
                <w:color w:val="231F20"/>
              </w:rPr>
            </w:pPr>
            <w:r w:rsidRPr="00A44C49">
              <w:rPr>
                <w:rFonts w:hint="eastAsia"/>
                <w:color w:val="231F20"/>
              </w:rPr>
              <w:t>・</w:t>
            </w:r>
            <w:r w:rsidRPr="00A44C49">
              <w:rPr>
                <w:color w:val="231F20"/>
              </w:rPr>
              <w:t>影響の</w:t>
            </w:r>
            <w:r w:rsidRPr="00025AB5">
              <w:rPr>
                <w:rFonts w:hint="eastAsia"/>
                <w:color w:val="231F20"/>
              </w:rPr>
              <w:t>頻度</w:t>
            </w:r>
          </w:p>
          <w:p w14:paraId="1BCC6FF4" w14:textId="7506013B" w:rsidR="00A44C49" w:rsidRDefault="009536E1" w:rsidP="00025AB5">
            <w:pPr>
              <w:snapToGrid w:val="0"/>
              <w:spacing w:line="280" w:lineRule="exact"/>
              <w:ind w:firstLineChars="100" w:firstLine="210"/>
              <w:rPr>
                <w:color w:val="231F20"/>
              </w:rPr>
            </w:pPr>
            <w:r w:rsidRPr="00A44C49">
              <w:rPr>
                <w:rFonts w:hint="eastAsia"/>
                <w:color w:val="231F20"/>
              </w:rPr>
              <w:t>・</w:t>
            </w:r>
            <w:r w:rsidRPr="00A44C49">
              <w:rPr>
                <w:color w:val="231F20"/>
              </w:rPr>
              <w:t>影響を受ける</w:t>
            </w:r>
            <w:r w:rsidR="00EE1F18">
              <w:rPr>
                <w:rFonts w:hint="eastAsia"/>
                <w:color w:val="231F20"/>
              </w:rPr>
              <w:t>側</w:t>
            </w:r>
            <w:r w:rsidRPr="00025AB5">
              <w:rPr>
                <w:rFonts w:hint="eastAsia"/>
                <w:color w:val="231F20"/>
              </w:rPr>
              <w:t>の価値と回復力</w:t>
            </w:r>
          </w:p>
          <w:p w14:paraId="0CDD2DE6" w14:textId="54DD1F52" w:rsidR="009536E1" w:rsidRPr="00F11F1D" w:rsidRDefault="009536E1" w:rsidP="00025AB5">
            <w:pPr>
              <w:snapToGrid w:val="0"/>
              <w:spacing w:line="280" w:lineRule="exact"/>
              <w:ind w:firstLineChars="100" w:firstLine="210"/>
              <w:rPr>
                <w:sz w:val="18"/>
                <w:szCs w:val="18"/>
              </w:rPr>
            </w:pPr>
            <w:r w:rsidRPr="00A44C49">
              <w:rPr>
                <w:rFonts w:hint="eastAsia"/>
                <w:color w:val="231F20"/>
              </w:rPr>
              <w:t>・</w:t>
            </w:r>
            <w:r w:rsidR="00EE1F18">
              <w:rPr>
                <w:rFonts w:hint="eastAsia"/>
                <w:color w:val="231F20"/>
              </w:rPr>
              <w:t>ミティゲーション</w:t>
            </w:r>
            <w:r w:rsidRPr="00025AB5">
              <w:rPr>
                <w:rFonts w:hint="eastAsia"/>
                <w:color w:val="231F20"/>
              </w:rPr>
              <w:t>の成功の可能性</w:t>
            </w:r>
            <w:r w:rsidR="00EE1F18">
              <w:rPr>
                <w:rFonts w:hint="eastAsia"/>
                <w:color w:val="231F20"/>
              </w:rPr>
              <w:t>（効果）</w:t>
            </w:r>
          </w:p>
        </w:tc>
      </w:tr>
      <w:tr w:rsidR="009536E1" w14:paraId="7F56712C" w14:textId="77777777" w:rsidTr="009536E1">
        <w:tc>
          <w:tcPr>
            <w:tcW w:w="1685" w:type="dxa"/>
          </w:tcPr>
          <w:p w14:paraId="55832E52" w14:textId="733FBF67" w:rsidR="009536E1" w:rsidRDefault="009536E1" w:rsidP="009536E1">
            <w:pPr>
              <w:snapToGrid w:val="0"/>
              <w:spacing w:line="280" w:lineRule="exact"/>
            </w:pPr>
            <w:r>
              <w:rPr>
                <w:rFonts w:hint="eastAsia"/>
              </w:rPr>
              <w:t>ミティゲーシ</w:t>
            </w:r>
            <w:r>
              <w:rPr>
                <w:rFonts w:hint="eastAsia"/>
              </w:rPr>
              <w:lastRenderedPageBreak/>
              <w:t>ョンの責務（誰が責任を負うか）</w:t>
            </w:r>
          </w:p>
        </w:tc>
        <w:tc>
          <w:tcPr>
            <w:tcW w:w="8091" w:type="dxa"/>
          </w:tcPr>
          <w:p w14:paraId="6A1A7297" w14:textId="0FE30E09" w:rsidR="00FC0786" w:rsidRDefault="00A44C49" w:rsidP="00A44C49">
            <w:pPr>
              <w:snapToGrid w:val="0"/>
              <w:spacing w:line="280" w:lineRule="exact"/>
              <w:ind w:left="210" w:hangingChars="100" w:hanging="210"/>
            </w:pPr>
            <w:r>
              <w:rPr>
                <w:rFonts w:hint="eastAsia"/>
              </w:rPr>
              <w:lastRenderedPageBreak/>
              <w:t>・</w:t>
            </w:r>
            <w:r w:rsidRPr="00586106">
              <w:t>最低限、</w:t>
            </w:r>
            <w:r w:rsidRPr="00025AB5">
              <w:rPr>
                <w:rFonts w:hint="eastAsia"/>
              </w:rPr>
              <w:t>申請者は</w:t>
            </w:r>
            <w:r>
              <w:rPr>
                <w:rFonts w:hint="eastAsia"/>
              </w:rPr>
              <w:t>「</w:t>
            </w:r>
            <w:r w:rsidRPr="00025AB5">
              <w:rPr>
                <w:rFonts w:hint="eastAsia"/>
              </w:rPr>
              <w:t>提案する</w:t>
            </w:r>
            <w:r>
              <w:rPr>
                <w:rFonts w:hint="eastAsia"/>
              </w:rPr>
              <w:t>事業</w:t>
            </w:r>
            <w:r w:rsidRPr="00025AB5">
              <w:rPr>
                <w:rFonts w:hint="eastAsia"/>
              </w:rPr>
              <w:t>に関連する影響に対処するために必要な</w:t>
            </w:r>
            <w:r w:rsidR="00EE1F18">
              <w:rPr>
                <w:rFonts w:hint="eastAsia"/>
              </w:rPr>
              <w:t>ミティゲ</w:t>
            </w:r>
            <w:r w:rsidR="00EE1F18">
              <w:rPr>
                <w:rFonts w:hint="eastAsia"/>
              </w:rPr>
              <w:lastRenderedPageBreak/>
              <w:t>ーション</w:t>
            </w:r>
            <w:r w:rsidRPr="00025AB5">
              <w:rPr>
                <w:rFonts w:hint="eastAsia"/>
              </w:rPr>
              <w:t>を含める</w:t>
            </w:r>
            <w:r w:rsidR="00EE1F18">
              <w:rPr>
                <w:rFonts w:hint="eastAsia"/>
              </w:rPr>
              <w:t>」</w:t>
            </w:r>
            <w:r w:rsidRPr="00025AB5">
              <w:rPr>
                <w:rFonts w:hint="eastAsia"/>
              </w:rPr>
              <w:t>ことが</w:t>
            </w:r>
            <w:r>
              <w:rPr>
                <w:rFonts w:hint="eastAsia"/>
              </w:rPr>
              <w:t>期待される</w:t>
            </w:r>
            <w:r w:rsidRPr="00A44C49">
              <w:t>。</w:t>
            </w:r>
          </w:p>
          <w:p w14:paraId="22C54F89" w14:textId="755C062A" w:rsidR="00A44C49" w:rsidRDefault="00FC0786" w:rsidP="00025AB5">
            <w:pPr>
              <w:snapToGrid w:val="0"/>
              <w:spacing w:line="280" w:lineRule="exact"/>
              <w:ind w:left="210" w:hangingChars="100" w:hanging="210"/>
            </w:pPr>
            <w:r>
              <w:rPr>
                <w:rFonts w:hint="eastAsia"/>
              </w:rPr>
              <w:t>・</w:t>
            </w:r>
            <w:r w:rsidR="00A44C49" w:rsidRPr="00586106">
              <w:t>正当な理由があり、関連する協議機関との合意がある場合に</w:t>
            </w:r>
            <w:r>
              <w:rPr>
                <w:rFonts w:hint="eastAsia"/>
              </w:rPr>
              <w:t>は、</w:t>
            </w:r>
            <w:r w:rsidRPr="00586106">
              <w:t>プロジェクト間での影響と緩和措置の配分について</w:t>
            </w:r>
            <w:r w:rsidR="00A44C49" w:rsidRPr="00586106">
              <w:t>認められる可能性があ</w:t>
            </w:r>
            <w:r w:rsidR="00A44C49">
              <w:rPr>
                <w:rFonts w:hint="eastAsia"/>
              </w:rPr>
              <w:t>る。</w:t>
            </w:r>
            <w:r w:rsidR="00A44C49" w:rsidRPr="00586106">
              <w:t>これは</w:t>
            </w:r>
            <w:r>
              <w:rPr>
                <w:rFonts w:hint="eastAsia"/>
              </w:rPr>
              <w:t>アセス図書</w:t>
            </w:r>
            <w:r w:rsidR="00A44C49" w:rsidRPr="00586106">
              <w:t>において証明される必要があ</w:t>
            </w:r>
            <w:r w:rsidR="00A44C49">
              <w:rPr>
                <w:rFonts w:hint="eastAsia"/>
              </w:rPr>
              <w:t>る。</w:t>
            </w:r>
          </w:p>
          <w:p w14:paraId="76EC0026" w14:textId="77777777" w:rsidR="009536E1" w:rsidRDefault="00FC0786" w:rsidP="00FC0786">
            <w:pPr>
              <w:snapToGrid w:val="0"/>
              <w:spacing w:line="280" w:lineRule="exact"/>
              <w:ind w:left="210" w:hangingChars="100" w:hanging="210"/>
              <w:rPr>
                <w:color w:val="231F20"/>
              </w:rPr>
            </w:pPr>
            <w:r>
              <w:rPr>
                <w:rFonts w:hint="eastAsia"/>
                <w:color w:val="231F20"/>
              </w:rPr>
              <w:t>・</w:t>
            </w:r>
            <w:r w:rsidRPr="00586106">
              <w:rPr>
                <w:color w:val="231F20"/>
              </w:rPr>
              <w:t>可能な場合、</w:t>
            </w:r>
            <w:r w:rsidRPr="00DB1B72">
              <w:rPr>
                <w:color w:val="231F20"/>
              </w:rPr>
              <w:t>申請者はCEAで特定された他の関連機関と協力して、包括的な</w:t>
            </w:r>
            <w:r>
              <w:rPr>
                <w:rFonts w:hint="eastAsia"/>
                <w:color w:val="231F20"/>
              </w:rPr>
              <w:t>ミティゲーション</w:t>
            </w:r>
            <w:r w:rsidRPr="00DB1B72">
              <w:rPr>
                <w:color w:val="231F20"/>
              </w:rPr>
              <w:t>戦略を策定する機会を検討す</w:t>
            </w:r>
            <w:r w:rsidRPr="00DB1B72">
              <w:rPr>
                <w:rFonts w:hint="eastAsia"/>
                <w:color w:val="231F20"/>
              </w:rPr>
              <w:t>る</w:t>
            </w:r>
            <w:r w:rsidRPr="00DB1B72">
              <w:rPr>
                <w:color w:val="231F20"/>
              </w:rPr>
              <w:t>べき</w:t>
            </w:r>
            <w:r>
              <w:rPr>
                <w:rFonts w:hint="eastAsia"/>
                <w:color w:val="231F20"/>
              </w:rPr>
              <w:t>である</w:t>
            </w:r>
            <w:r w:rsidRPr="00586106">
              <w:rPr>
                <w:color w:val="231F20"/>
              </w:rPr>
              <w:t>。</w:t>
            </w:r>
          </w:p>
          <w:p w14:paraId="2494E65E" w14:textId="04C1D2F5" w:rsidR="00990287" w:rsidRPr="00025AB5" w:rsidRDefault="00990287" w:rsidP="00025AB5">
            <w:pPr>
              <w:snapToGrid w:val="0"/>
              <w:spacing w:line="280" w:lineRule="exact"/>
              <w:ind w:left="210" w:hangingChars="100" w:hanging="210"/>
              <w:rPr>
                <w:color w:val="231F20"/>
              </w:rPr>
            </w:pPr>
            <w:r w:rsidRPr="00A85990">
              <w:rPr>
                <w:rFonts w:hint="eastAsia"/>
                <w:color w:val="FF0000"/>
              </w:rPr>
              <w:t>（日本語訳p.</w:t>
            </w:r>
            <w:r>
              <w:rPr>
                <w:rFonts w:hint="eastAsia"/>
                <w:color w:val="FF0000"/>
              </w:rPr>
              <w:t>16</w:t>
            </w:r>
            <w:r w:rsidRPr="00A85990">
              <w:rPr>
                <w:rFonts w:hint="eastAsia"/>
                <w:color w:val="FF0000"/>
              </w:rPr>
              <w:t>）</w:t>
            </w:r>
          </w:p>
        </w:tc>
      </w:tr>
      <w:tr w:rsidR="009536E1" w14:paraId="7E384903" w14:textId="77777777" w:rsidTr="009536E1">
        <w:tc>
          <w:tcPr>
            <w:tcW w:w="1685" w:type="dxa"/>
          </w:tcPr>
          <w:p w14:paraId="09AE353F" w14:textId="6F9ED6F7" w:rsidR="009536E1" w:rsidRDefault="009536E1" w:rsidP="009536E1">
            <w:pPr>
              <w:snapToGrid w:val="0"/>
              <w:spacing w:line="280" w:lineRule="exact"/>
            </w:pPr>
            <w:r>
              <w:rPr>
                <w:rFonts w:hint="eastAsia"/>
              </w:rPr>
              <w:lastRenderedPageBreak/>
              <w:t>モニタリングの責務、範囲</w:t>
            </w:r>
          </w:p>
        </w:tc>
        <w:tc>
          <w:tcPr>
            <w:tcW w:w="8091" w:type="dxa"/>
          </w:tcPr>
          <w:p w14:paraId="7B3D6AD4" w14:textId="2ABD3166" w:rsidR="009536E1" w:rsidRDefault="00FC0786" w:rsidP="00025AB5">
            <w:pPr>
              <w:snapToGrid w:val="0"/>
              <w:spacing w:line="280" w:lineRule="exact"/>
              <w:ind w:left="210" w:hangingChars="100" w:hanging="210"/>
              <w:rPr>
                <w:szCs w:val="21"/>
              </w:rPr>
            </w:pPr>
            <w:r>
              <w:rPr>
                <w:rFonts w:hint="eastAsia"/>
                <w:szCs w:val="21"/>
              </w:rPr>
              <w:t>（特段記載は無いが、上記ミティゲーションの記載は、「ミティゲーションとモニタリング」の項目に記載されているため、モニタリングについても同様の考え方が適用できると考えられる。）</w:t>
            </w:r>
          </w:p>
        </w:tc>
      </w:tr>
      <w:tr w:rsidR="009536E1" w14:paraId="7DF78F15" w14:textId="77777777" w:rsidTr="009536E1">
        <w:tc>
          <w:tcPr>
            <w:tcW w:w="1685" w:type="dxa"/>
          </w:tcPr>
          <w:p w14:paraId="55F47F28" w14:textId="3BA9A802" w:rsidR="009536E1" w:rsidRDefault="009536E1" w:rsidP="009536E1">
            <w:pPr>
              <w:snapToGrid w:val="0"/>
              <w:spacing w:line="280" w:lineRule="exact"/>
            </w:pPr>
            <w:r>
              <w:rPr>
                <w:rFonts w:hint="eastAsia"/>
              </w:rPr>
              <w:t>累積的影響評価における住民参加</w:t>
            </w:r>
          </w:p>
        </w:tc>
        <w:tc>
          <w:tcPr>
            <w:tcW w:w="8091" w:type="dxa"/>
          </w:tcPr>
          <w:p w14:paraId="1FBF038A" w14:textId="730E0031" w:rsidR="009536E1" w:rsidRDefault="00FC0786" w:rsidP="009536E1">
            <w:pPr>
              <w:snapToGrid w:val="0"/>
              <w:spacing w:line="280" w:lineRule="exact"/>
              <w:rPr>
                <w:szCs w:val="21"/>
              </w:rPr>
            </w:pPr>
            <w:r>
              <w:rPr>
                <w:rFonts w:hint="eastAsia"/>
                <w:szCs w:val="21"/>
              </w:rPr>
              <w:t>特段記載は無い</w:t>
            </w:r>
          </w:p>
        </w:tc>
      </w:tr>
      <w:tr w:rsidR="009536E1" w14:paraId="2A9BF75F" w14:textId="77777777" w:rsidTr="009536E1">
        <w:tc>
          <w:tcPr>
            <w:tcW w:w="1685" w:type="dxa"/>
          </w:tcPr>
          <w:p w14:paraId="3B7F126A" w14:textId="769F2C51" w:rsidR="009536E1" w:rsidRDefault="009536E1" w:rsidP="009536E1">
            <w:pPr>
              <w:snapToGrid w:val="0"/>
              <w:spacing w:line="280" w:lineRule="exact"/>
            </w:pPr>
            <w:r>
              <w:rPr>
                <w:rFonts w:hint="eastAsia"/>
              </w:rPr>
              <w:t>データベース等支援システムの有無</w:t>
            </w:r>
          </w:p>
        </w:tc>
        <w:tc>
          <w:tcPr>
            <w:tcW w:w="8091" w:type="dxa"/>
          </w:tcPr>
          <w:p w14:paraId="14F23305" w14:textId="709C130F" w:rsidR="009536E1" w:rsidRDefault="00FC0786" w:rsidP="009536E1">
            <w:pPr>
              <w:snapToGrid w:val="0"/>
              <w:spacing w:line="280" w:lineRule="exact"/>
              <w:rPr>
                <w:szCs w:val="21"/>
              </w:rPr>
            </w:pPr>
            <w:r>
              <w:rPr>
                <w:rFonts w:hint="eastAsia"/>
                <w:szCs w:val="21"/>
              </w:rPr>
              <w:t>特段記載は無い</w:t>
            </w:r>
          </w:p>
        </w:tc>
      </w:tr>
      <w:tr w:rsidR="009536E1" w14:paraId="263836C4" w14:textId="77777777" w:rsidTr="009536E1">
        <w:tc>
          <w:tcPr>
            <w:tcW w:w="1685" w:type="dxa"/>
          </w:tcPr>
          <w:p w14:paraId="749BDFBF" w14:textId="7BF746C9" w:rsidR="009536E1" w:rsidRDefault="009536E1" w:rsidP="009536E1">
            <w:pPr>
              <w:snapToGrid w:val="0"/>
              <w:spacing w:line="280" w:lineRule="exact"/>
            </w:pPr>
            <w:r w:rsidRPr="00117E04">
              <w:rPr>
                <w:rFonts w:hint="eastAsia"/>
              </w:rPr>
              <w:t>推奨されている優良事例とそのポイント</w:t>
            </w:r>
          </w:p>
        </w:tc>
        <w:tc>
          <w:tcPr>
            <w:tcW w:w="8091" w:type="dxa"/>
          </w:tcPr>
          <w:p w14:paraId="1AE38A2A" w14:textId="10037C4D" w:rsidR="009536E1" w:rsidRPr="007C0E6C" w:rsidRDefault="00FC0786" w:rsidP="009536E1">
            <w:pPr>
              <w:snapToGrid w:val="0"/>
              <w:spacing w:line="280" w:lineRule="exact"/>
            </w:pPr>
            <w:r>
              <w:rPr>
                <w:rFonts w:hint="eastAsia"/>
                <w:szCs w:val="21"/>
              </w:rPr>
              <w:t>特段記載は無い</w:t>
            </w:r>
          </w:p>
        </w:tc>
      </w:tr>
      <w:tr w:rsidR="009536E1" w14:paraId="4BEE6F8C" w14:textId="77777777" w:rsidTr="009536E1">
        <w:tc>
          <w:tcPr>
            <w:tcW w:w="1685" w:type="dxa"/>
          </w:tcPr>
          <w:p w14:paraId="72E48C18" w14:textId="1655F573" w:rsidR="009536E1" w:rsidRPr="00117E04" w:rsidRDefault="009536E1" w:rsidP="009536E1">
            <w:pPr>
              <w:snapToGrid w:val="0"/>
              <w:spacing w:line="280" w:lineRule="exact"/>
            </w:pPr>
            <w:r>
              <w:rPr>
                <w:rFonts w:hint="eastAsia"/>
              </w:rPr>
              <w:t>累積的影響評価を実施する上での課題等</w:t>
            </w:r>
          </w:p>
        </w:tc>
        <w:tc>
          <w:tcPr>
            <w:tcW w:w="8091" w:type="dxa"/>
          </w:tcPr>
          <w:p w14:paraId="44DF773E" w14:textId="2BC394D0" w:rsidR="009536E1" w:rsidRDefault="00990287" w:rsidP="009536E1">
            <w:pPr>
              <w:snapToGrid w:val="0"/>
              <w:spacing w:line="280" w:lineRule="exact"/>
              <w:rPr>
                <w:color w:val="FF0000"/>
              </w:rPr>
            </w:pPr>
            <w:r>
              <w:rPr>
                <w:rFonts w:hint="eastAsia"/>
                <w:szCs w:val="21"/>
              </w:rPr>
              <w:t>特段記載は無い</w:t>
            </w:r>
          </w:p>
        </w:tc>
      </w:tr>
      <w:tr w:rsidR="009536E1" w14:paraId="0370DAE4" w14:textId="77777777" w:rsidTr="009536E1">
        <w:tc>
          <w:tcPr>
            <w:tcW w:w="1685" w:type="dxa"/>
          </w:tcPr>
          <w:p w14:paraId="5599B7F2" w14:textId="5F7D381F" w:rsidR="009536E1" w:rsidRDefault="009536E1" w:rsidP="009536E1">
            <w:pPr>
              <w:snapToGrid w:val="0"/>
              <w:spacing w:line="280" w:lineRule="exact"/>
            </w:pPr>
            <w:r>
              <w:rPr>
                <w:rFonts w:hint="eastAsia"/>
              </w:rPr>
              <w:t>その他特記事項</w:t>
            </w:r>
          </w:p>
        </w:tc>
        <w:tc>
          <w:tcPr>
            <w:tcW w:w="8091" w:type="dxa"/>
          </w:tcPr>
          <w:p w14:paraId="46F6098B" w14:textId="03731077" w:rsidR="00990287" w:rsidRPr="00C97334" w:rsidRDefault="00990287" w:rsidP="00990287">
            <w:pPr>
              <w:snapToGrid w:val="0"/>
              <w:spacing w:line="280" w:lineRule="exact"/>
              <w:ind w:left="210" w:hangingChars="100" w:hanging="210"/>
            </w:pPr>
            <w:r>
              <w:rPr>
                <w:rFonts w:hint="eastAsia"/>
              </w:rPr>
              <w:t>・ハビタット規制アセスメント（</w:t>
            </w:r>
            <w:r w:rsidRPr="00A44C49">
              <w:t>Habitats Regulations Assessment</w:t>
            </w:r>
            <w:r>
              <w:rPr>
                <w:rFonts w:hint="eastAsia"/>
              </w:rPr>
              <w:t>）が行われる場合は、共通のデータを使用し、アセス図書のセクションやパラグラフ番号を相互参照するよう推奨されている。</w:t>
            </w:r>
          </w:p>
          <w:p w14:paraId="537C804F" w14:textId="77777777" w:rsidR="00990287" w:rsidRDefault="00990287" w:rsidP="009536E1">
            <w:pPr>
              <w:snapToGrid w:val="0"/>
              <w:spacing w:line="280" w:lineRule="exact"/>
              <w:jc w:val="left"/>
            </w:pPr>
          </w:p>
          <w:p w14:paraId="1F8926F6" w14:textId="587630B8" w:rsidR="00FC0786" w:rsidRDefault="00990287" w:rsidP="009536E1">
            <w:pPr>
              <w:snapToGrid w:val="0"/>
              <w:spacing w:line="280" w:lineRule="exact"/>
              <w:jc w:val="left"/>
            </w:pPr>
            <w:r>
              <w:rPr>
                <w:rFonts w:hint="eastAsia"/>
              </w:rPr>
              <w:t>・</w:t>
            </w:r>
            <w:r w:rsidR="00FC0786">
              <w:rPr>
                <w:rFonts w:hint="eastAsia"/>
              </w:rPr>
              <w:t>関連する法的要件やガイダンスとして以下が記載されている。</w:t>
            </w:r>
          </w:p>
          <w:p w14:paraId="4C764BAE" w14:textId="32BF2BBA" w:rsidR="00FC0786" w:rsidRDefault="00990287" w:rsidP="009536E1">
            <w:pPr>
              <w:snapToGrid w:val="0"/>
              <w:spacing w:line="280" w:lineRule="exact"/>
              <w:jc w:val="left"/>
            </w:pPr>
            <w:r>
              <w:rPr>
                <w:rFonts w:hint="eastAsia"/>
              </w:rPr>
              <w:t>○</w:t>
            </w:r>
            <w:r w:rsidR="009536E1" w:rsidRPr="007C5E7B">
              <w:rPr>
                <w:rFonts w:hint="eastAsia"/>
              </w:rPr>
              <w:t>インフラ計画（環境影響評価）</w:t>
            </w:r>
            <w:r w:rsidR="009536E1">
              <w:rPr>
                <w:rFonts w:hint="eastAsia"/>
              </w:rPr>
              <w:t>（EIA規則2017）</w:t>
            </w:r>
          </w:p>
          <w:p w14:paraId="60B36644" w14:textId="144C84C9" w:rsidR="009536E1" w:rsidRDefault="009536E1" w:rsidP="00FC0786">
            <w:pPr>
              <w:snapToGrid w:val="0"/>
              <w:spacing w:line="280" w:lineRule="exact"/>
              <w:ind w:leftChars="100" w:left="210"/>
              <w:jc w:val="left"/>
            </w:pPr>
            <w:r w:rsidRPr="008502DD">
              <w:t>The Infrastructure Planning (Environmental Impact Assessment) Regulations 2017 (the EIA Regulations 2017)</w:t>
            </w:r>
            <w:r w:rsidRPr="007C5E7B">
              <w:rPr>
                <w:rFonts w:hint="eastAsia"/>
              </w:rPr>
              <w:t>（</w:t>
            </w:r>
            <w:hyperlink r:id="rId8" w:history="1">
              <w:r w:rsidRPr="00A33F8C">
                <w:rPr>
                  <w:rStyle w:val="af3"/>
                </w:rPr>
                <w:t>https://www.legislation.gov.uk/uksi/2017/572/contents/made</w:t>
              </w:r>
            </w:hyperlink>
            <w:r w:rsidRPr="007C5E7B">
              <w:rPr>
                <w:rFonts w:hint="eastAsia"/>
              </w:rPr>
              <w:t>）</w:t>
            </w:r>
          </w:p>
          <w:p w14:paraId="23C6FCCA" w14:textId="77777777" w:rsidR="00990287" w:rsidRDefault="00990287" w:rsidP="00025AB5">
            <w:pPr>
              <w:snapToGrid w:val="0"/>
              <w:spacing w:line="280" w:lineRule="exact"/>
              <w:ind w:leftChars="100" w:left="210"/>
              <w:jc w:val="left"/>
            </w:pPr>
          </w:p>
          <w:p w14:paraId="58DAFE48" w14:textId="568ECB97" w:rsidR="00990287" w:rsidRDefault="00990287" w:rsidP="009536E1">
            <w:pPr>
              <w:snapToGrid w:val="0"/>
              <w:spacing w:line="280" w:lineRule="exact"/>
            </w:pPr>
            <w:r>
              <w:rPr>
                <w:rFonts w:hint="eastAsia"/>
              </w:rPr>
              <w:t>○関連機関のガイダンス</w:t>
            </w:r>
          </w:p>
          <w:p w14:paraId="6E30BA0A" w14:textId="12EF4A28" w:rsidR="00FC0786" w:rsidRDefault="009536E1" w:rsidP="00025AB5">
            <w:pPr>
              <w:snapToGrid w:val="0"/>
              <w:spacing w:line="280" w:lineRule="exact"/>
              <w:ind w:left="210" w:hangingChars="100" w:hanging="210"/>
            </w:pPr>
            <w:r>
              <w:rPr>
                <w:rFonts w:hint="eastAsia"/>
              </w:rPr>
              <w:t>・</w:t>
            </w:r>
            <w:r w:rsidRPr="008502DD">
              <w:t xml:space="preserve">『累積的影響のスコーピングに関する戦略的枠組み（MMO 1055）』（海洋管理機構（Marine Management </w:t>
            </w:r>
            <w:proofErr w:type="spellStart"/>
            <w:r w:rsidRPr="008502DD">
              <w:t>Organisation</w:t>
            </w:r>
            <w:proofErr w:type="spellEnd"/>
            <w:r w:rsidRPr="008502DD">
              <w:t>）</w:t>
            </w:r>
            <w:r>
              <w:rPr>
                <w:rFonts w:hint="eastAsia"/>
              </w:rPr>
              <w:t>,</w:t>
            </w:r>
            <w:r w:rsidRPr="008502DD">
              <w:t>2014年</w:t>
            </w:r>
            <w:r>
              <w:rPr>
                <w:rFonts w:hint="eastAsia"/>
              </w:rPr>
              <w:t>）</w:t>
            </w:r>
          </w:p>
          <w:p w14:paraId="74FECE59" w14:textId="00FCA1DF" w:rsidR="00FC0786" w:rsidRDefault="009536E1" w:rsidP="00025AB5">
            <w:pPr>
              <w:snapToGrid w:val="0"/>
              <w:spacing w:line="280" w:lineRule="exact"/>
              <w:ind w:leftChars="100" w:left="210"/>
            </w:pPr>
            <w:r w:rsidRPr="00813B32">
              <w:t>A strategic framework for scoping cumulative effects (</w:t>
            </w:r>
            <w:r>
              <w:t xml:space="preserve">Marine Management </w:t>
            </w:r>
            <w:proofErr w:type="spellStart"/>
            <w:r>
              <w:t>Organisation</w:t>
            </w:r>
            <w:proofErr w:type="spellEnd"/>
            <w:r w:rsidRPr="00813B32">
              <w:t xml:space="preserve"> 1055) (2014),</w:t>
            </w:r>
          </w:p>
          <w:p w14:paraId="64ECE61F" w14:textId="505B8953" w:rsidR="009536E1" w:rsidRDefault="009536E1" w:rsidP="00025AB5">
            <w:pPr>
              <w:snapToGrid w:val="0"/>
              <w:spacing w:line="280" w:lineRule="exact"/>
              <w:ind w:leftChars="100" w:left="210"/>
            </w:pPr>
            <w:r>
              <w:rPr>
                <w:rFonts w:hint="eastAsia"/>
              </w:rPr>
              <w:t>(</w:t>
            </w:r>
            <w:hyperlink r:id="rId9" w:history="1">
              <w:r w:rsidRPr="00DB3B5D">
                <w:rPr>
                  <w:rStyle w:val="af3"/>
                </w:rPr>
                <w:t>https://assets.publishing.service.gov.uk/media/5a7d6db6e5274a7b50cceeb2</w:t>
              </w:r>
            </w:hyperlink>
          </w:p>
          <w:p w14:paraId="4A9BFD03" w14:textId="4A550C34" w:rsidR="009536E1" w:rsidRDefault="009536E1" w:rsidP="009536E1">
            <w:pPr>
              <w:snapToGrid w:val="0"/>
              <w:spacing w:line="280" w:lineRule="exact"/>
            </w:pPr>
            <w:r w:rsidRPr="007C5E7B">
              <w:t>/MMO1055_Report_Final.pdf</w:t>
            </w:r>
            <w:r>
              <w:rPr>
                <w:rFonts w:hint="eastAsia"/>
              </w:rPr>
              <w:t>)</w:t>
            </w:r>
          </w:p>
          <w:p w14:paraId="1B8FF5FA" w14:textId="76DAAA78" w:rsidR="009536E1" w:rsidRDefault="009536E1" w:rsidP="00025AB5">
            <w:pPr>
              <w:snapToGrid w:val="0"/>
              <w:spacing w:line="280" w:lineRule="exact"/>
              <w:ind w:left="210" w:hangingChars="100" w:hanging="210"/>
            </w:pPr>
            <w:r>
              <w:rPr>
                <w:rFonts w:hint="eastAsia"/>
              </w:rPr>
              <w:t>・</w:t>
            </w:r>
            <w:r w:rsidRPr="00813B32">
              <w:t>『海洋保護区（Marine Protected Areas）に関連する累積影響評価（Cumulative Impact Assessments, CIA）の情報提供のための一般的な枠組みの開発</w:t>
            </w:r>
            <w:r>
              <w:rPr>
                <w:rFonts w:hint="eastAsia"/>
              </w:rPr>
              <w:t>』</w:t>
            </w:r>
            <w:r w:rsidRPr="00813B32">
              <w:t>（Natural England</w:t>
            </w:r>
            <w:r>
              <w:rPr>
                <w:rFonts w:hint="eastAsia"/>
              </w:rPr>
              <w:t xml:space="preserve">, </w:t>
            </w:r>
            <w:r w:rsidRPr="00813B32">
              <w:t>2014年）Development of a generic framework for informing Cumulative Impact Assessments (CIA) related to Marine Protected Areas through evaluation of best practice (Natural England</w:t>
            </w:r>
            <w:r>
              <w:rPr>
                <w:rFonts w:hint="eastAsia"/>
              </w:rPr>
              <w:t xml:space="preserve">, </w:t>
            </w:r>
            <w:r w:rsidRPr="00813B32">
              <w:t>2014年）</w:t>
            </w:r>
          </w:p>
          <w:p w14:paraId="5EF4B5D7" w14:textId="05A76CEB" w:rsidR="009536E1" w:rsidRDefault="009536E1" w:rsidP="009536E1">
            <w:pPr>
              <w:snapToGrid w:val="0"/>
              <w:spacing w:line="280" w:lineRule="exact"/>
            </w:pPr>
            <w:r>
              <w:rPr>
                <w:rFonts w:hint="eastAsia"/>
              </w:rPr>
              <w:t>（</w:t>
            </w:r>
            <w:hyperlink r:id="rId10" w:history="1">
              <w:r w:rsidRPr="00DB3B5D">
                <w:rPr>
                  <w:rStyle w:val="af3"/>
                </w:rPr>
                <w:t>https://publications.naturalengland.org.uk/publication/6341085840277504</w:t>
              </w:r>
            </w:hyperlink>
            <w:r>
              <w:rPr>
                <w:rFonts w:hint="eastAsia"/>
              </w:rPr>
              <w:t>）</w:t>
            </w:r>
          </w:p>
          <w:p w14:paraId="3ACEF111" w14:textId="72A4B6B3" w:rsidR="009536E1" w:rsidRDefault="009536E1" w:rsidP="009536E1">
            <w:pPr>
              <w:snapToGrid w:val="0"/>
              <w:spacing w:line="280" w:lineRule="exact"/>
            </w:pPr>
            <w:r>
              <w:rPr>
                <w:rFonts w:hint="eastAsia"/>
              </w:rPr>
              <w:t>・『</w:t>
            </w:r>
            <w:r w:rsidRPr="00813B32">
              <w:t>道路および橋梁の設計マニュアル』</w:t>
            </w:r>
            <w:r>
              <w:rPr>
                <w:rFonts w:hint="eastAsia"/>
              </w:rPr>
              <w:t>(DMRB)(</w:t>
            </w:r>
            <w:r w:rsidRPr="00813B32">
              <w:t>Highway Agency</w:t>
            </w:r>
            <w:r>
              <w:rPr>
                <w:rFonts w:hint="eastAsia"/>
              </w:rPr>
              <w:t>)</w:t>
            </w:r>
          </w:p>
          <w:p w14:paraId="06CAB0BF" w14:textId="3DCAC238" w:rsidR="00FC0786" w:rsidRDefault="009536E1" w:rsidP="00FC0786">
            <w:pPr>
              <w:snapToGrid w:val="0"/>
              <w:spacing w:line="280" w:lineRule="exact"/>
              <w:ind w:firstLineChars="200" w:firstLine="420"/>
            </w:pPr>
            <w:hyperlink r:id="rId11" w:history="1">
              <w:r w:rsidRPr="00813B32">
                <w:rPr>
                  <w:rStyle w:val="af3"/>
                </w:rPr>
                <w:t>Design Manual for Roads and Bridges (DMRB)</w:t>
              </w:r>
            </w:hyperlink>
            <w:r w:rsidRPr="00813B32">
              <w:t> </w:t>
            </w:r>
          </w:p>
          <w:p w14:paraId="23E156FE" w14:textId="08D8F8BA" w:rsidR="009536E1" w:rsidRDefault="009536E1" w:rsidP="00025AB5">
            <w:pPr>
              <w:snapToGrid w:val="0"/>
              <w:spacing w:line="280" w:lineRule="exact"/>
              <w:ind w:firstLineChars="200" w:firstLine="420"/>
            </w:pPr>
            <w:r>
              <w:rPr>
                <w:rFonts w:hint="eastAsia"/>
              </w:rPr>
              <w:t>(</w:t>
            </w:r>
            <w:r w:rsidRPr="00813B32">
              <w:t>https://www.standardsforhighways.co.uk/dmrb/</w:t>
            </w:r>
            <w:r>
              <w:rPr>
                <w:rFonts w:hint="eastAsia"/>
              </w:rPr>
              <w:t>)</w:t>
            </w:r>
          </w:p>
          <w:p w14:paraId="384D1421" w14:textId="2689B0B1" w:rsidR="00FC0786" w:rsidRDefault="009536E1" w:rsidP="00025AB5">
            <w:pPr>
              <w:snapToGrid w:val="0"/>
              <w:spacing w:line="280" w:lineRule="exact"/>
              <w:ind w:left="210" w:hangingChars="100" w:hanging="210"/>
            </w:pPr>
            <w:r>
              <w:rPr>
                <w:rFonts w:hint="eastAsia"/>
              </w:rPr>
              <w:t>・</w:t>
            </w:r>
            <w:r w:rsidRPr="00813B32">
              <w:t>『間接的および累積的影響、影響相互作用の評価に関するガイドライン』（</w:t>
            </w:r>
            <w:r>
              <w:rPr>
                <w:rFonts w:hint="eastAsia"/>
              </w:rPr>
              <w:t>欧州委員</w:t>
            </w:r>
            <w:r>
              <w:rPr>
                <w:rFonts w:hint="eastAsia"/>
              </w:rPr>
              <w:lastRenderedPageBreak/>
              <w:t>会,</w:t>
            </w:r>
            <w:r w:rsidRPr="00813B32">
              <w:t>1999年）Guidelines for the Assessment of Indirect and Cumulative Impacts, Impact Interactions (</w:t>
            </w:r>
            <w:r>
              <w:rPr>
                <w:rFonts w:hint="eastAsia"/>
              </w:rPr>
              <w:t xml:space="preserve">European </w:t>
            </w:r>
            <w:proofErr w:type="spellStart"/>
            <w:r>
              <w:rPr>
                <w:rFonts w:hint="eastAsia"/>
              </w:rPr>
              <w:t>Commision</w:t>
            </w:r>
            <w:proofErr w:type="spellEnd"/>
            <w:r>
              <w:rPr>
                <w:rFonts w:hint="eastAsia"/>
              </w:rPr>
              <w:t xml:space="preserve"> </w:t>
            </w:r>
            <w:r w:rsidRPr="00813B32">
              <w:t>1999),</w:t>
            </w:r>
          </w:p>
          <w:p w14:paraId="56FB7AD7" w14:textId="2E39AA22" w:rsidR="009536E1" w:rsidRDefault="009536E1" w:rsidP="00FC0786">
            <w:pPr>
              <w:snapToGrid w:val="0"/>
              <w:spacing w:line="280" w:lineRule="exact"/>
              <w:ind w:leftChars="100" w:left="210"/>
            </w:pPr>
            <w:r>
              <w:rPr>
                <w:rFonts w:hint="eastAsia"/>
              </w:rPr>
              <w:t>(</w:t>
            </w:r>
            <w:hyperlink r:id="rId12" w:history="1">
              <w:r w:rsidR="00990287" w:rsidRPr="00A23E44">
                <w:rPr>
                  <w:rStyle w:val="af3"/>
                </w:rPr>
                <w:t>https://tethys.pnnl.gov/sites/default/files/publications/European-Commission-1999.pdf</w:t>
              </w:r>
            </w:hyperlink>
            <w:r>
              <w:rPr>
                <w:rFonts w:hint="eastAsia"/>
              </w:rPr>
              <w:t>)</w:t>
            </w:r>
          </w:p>
          <w:p w14:paraId="6B56839B" w14:textId="77777777" w:rsidR="00990287" w:rsidRPr="00990287" w:rsidRDefault="00990287" w:rsidP="00025AB5">
            <w:pPr>
              <w:snapToGrid w:val="0"/>
              <w:spacing w:line="280" w:lineRule="exact"/>
              <w:ind w:leftChars="100" w:left="210"/>
            </w:pPr>
          </w:p>
          <w:p w14:paraId="48FDE098" w14:textId="0B4C41AF" w:rsidR="00990287" w:rsidRDefault="00990287" w:rsidP="00FC0786">
            <w:pPr>
              <w:snapToGrid w:val="0"/>
              <w:spacing w:line="280" w:lineRule="exact"/>
              <w:ind w:left="210" w:hangingChars="100" w:hanging="210"/>
            </w:pPr>
            <w:r>
              <w:rPr>
                <w:rFonts w:hint="eastAsia"/>
              </w:rPr>
              <w:t>○</w:t>
            </w:r>
            <w:r w:rsidR="00FC0786">
              <w:rPr>
                <w:rFonts w:hint="eastAsia"/>
              </w:rPr>
              <w:t>欧州委員会ガイダンス</w:t>
            </w:r>
          </w:p>
          <w:p w14:paraId="23FC9D13" w14:textId="6E6A752B" w:rsidR="00FC0786" w:rsidRDefault="00990287" w:rsidP="00FC0786">
            <w:pPr>
              <w:snapToGrid w:val="0"/>
              <w:spacing w:line="280" w:lineRule="exact"/>
              <w:ind w:left="210" w:hangingChars="100" w:hanging="210"/>
            </w:pPr>
            <w:r>
              <w:rPr>
                <w:rFonts w:hint="eastAsia"/>
              </w:rPr>
              <w:t>・</w:t>
            </w:r>
            <w:r w:rsidR="009536E1" w:rsidRPr="00813B32">
              <w:t>プロジェクトの環境影響評価に関するガイダンス 環境影響評価報告書の作成に関する指針（</w:t>
            </w:r>
            <w:r w:rsidR="009536E1">
              <w:rPr>
                <w:rFonts w:hint="eastAsia"/>
              </w:rPr>
              <w:t xml:space="preserve">EU, </w:t>
            </w:r>
            <w:r w:rsidR="009536E1" w:rsidRPr="00813B32">
              <w:t>2017年）</w:t>
            </w:r>
          </w:p>
          <w:p w14:paraId="5DB80D7A" w14:textId="051DD9E0" w:rsidR="00FC0786" w:rsidRDefault="009536E1" w:rsidP="00025AB5">
            <w:pPr>
              <w:snapToGrid w:val="0"/>
              <w:spacing w:line="280" w:lineRule="exact"/>
              <w:ind w:leftChars="100" w:left="210"/>
            </w:pPr>
            <w:r w:rsidRPr="00813B32">
              <w:t>Environmental Impact Assessment of Projects Guidance on the preparation of the Environmental Impact Assessment Report (</w:t>
            </w:r>
            <w:r>
              <w:rPr>
                <w:rFonts w:hint="eastAsia"/>
              </w:rPr>
              <w:t xml:space="preserve">European Union, </w:t>
            </w:r>
            <w:r w:rsidRPr="00813B32">
              <w:t>2017)</w:t>
            </w:r>
            <w:r w:rsidRPr="00813B32">
              <w:t> </w:t>
            </w:r>
          </w:p>
          <w:p w14:paraId="0532A858" w14:textId="4F78FDB1" w:rsidR="00FC0786" w:rsidRPr="00727178" w:rsidRDefault="009536E1" w:rsidP="009536E1">
            <w:pPr>
              <w:snapToGrid w:val="0"/>
              <w:spacing w:line="280" w:lineRule="exact"/>
            </w:pPr>
            <w:r>
              <w:rPr>
                <w:rFonts w:hint="eastAsia"/>
              </w:rPr>
              <w:t>(</w:t>
            </w:r>
            <w:r w:rsidRPr="0027337D">
              <w:t>https://ppp.worldbank.org/public-private-partnership/sites/default/files/2021-04/EIA_guidance_EIA_report_final.pdf</w:t>
            </w:r>
            <w:r>
              <w:rPr>
                <w:rFonts w:hint="eastAsia"/>
              </w:rPr>
              <w:t>)</w:t>
            </w:r>
          </w:p>
        </w:tc>
      </w:tr>
      <w:tr w:rsidR="009536E1" w14:paraId="525032FA" w14:textId="77777777" w:rsidTr="00025AB5">
        <w:trPr>
          <w:trHeight w:val="361"/>
        </w:trPr>
        <w:tc>
          <w:tcPr>
            <w:tcW w:w="1685" w:type="dxa"/>
          </w:tcPr>
          <w:p w14:paraId="704437AF" w14:textId="2C3977DC" w:rsidR="009536E1" w:rsidRDefault="009536E1" w:rsidP="009536E1">
            <w:pPr>
              <w:snapToGrid w:val="0"/>
              <w:spacing w:line="280" w:lineRule="exact"/>
            </w:pPr>
            <w:r>
              <w:rPr>
                <w:rFonts w:hint="eastAsia"/>
              </w:rPr>
              <w:lastRenderedPageBreak/>
              <w:t>URL</w:t>
            </w:r>
          </w:p>
        </w:tc>
        <w:tc>
          <w:tcPr>
            <w:tcW w:w="8091" w:type="dxa"/>
          </w:tcPr>
          <w:p w14:paraId="04191BE8" w14:textId="6FA951FB" w:rsidR="009536E1" w:rsidRDefault="00A7385A" w:rsidP="009536E1">
            <w:pPr>
              <w:snapToGrid w:val="0"/>
              <w:spacing w:line="280" w:lineRule="exact"/>
            </w:pPr>
            <w:r w:rsidRPr="00A7385A">
              <w:t>https://www.gov.uk/guidance/nationally-significant-infrastructure-projects-advice-on-cumulative-effects-assessment</w:t>
            </w:r>
          </w:p>
        </w:tc>
      </w:tr>
    </w:tbl>
    <w:p w14:paraId="5EDFF910" w14:textId="77777777" w:rsidR="00117E04" w:rsidRDefault="00117E04" w:rsidP="0075118B"/>
    <w:sectPr w:rsidR="00117E04" w:rsidSect="00117E0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D5A6C" w14:textId="77777777" w:rsidR="00C92F54" w:rsidRDefault="00C92F54" w:rsidP="006C7019">
      <w:r>
        <w:separator/>
      </w:r>
    </w:p>
  </w:endnote>
  <w:endnote w:type="continuationSeparator" w:id="0">
    <w:p w14:paraId="65D51719" w14:textId="77777777" w:rsidR="00C92F54" w:rsidRDefault="00C92F54" w:rsidP="006C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Myriad Pro">
    <w:altName w:val="Segoe UI"/>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DCEC1" w14:textId="77777777" w:rsidR="00C92F54" w:rsidRDefault="00C92F54" w:rsidP="006C7019">
      <w:r>
        <w:separator/>
      </w:r>
    </w:p>
  </w:footnote>
  <w:footnote w:type="continuationSeparator" w:id="0">
    <w:p w14:paraId="0BE6E529" w14:textId="77777777" w:rsidR="00C92F54" w:rsidRDefault="00C92F54" w:rsidP="006C7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6321"/>
    <w:multiLevelType w:val="multilevel"/>
    <w:tmpl w:val="46A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557AA"/>
    <w:multiLevelType w:val="hybridMultilevel"/>
    <w:tmpl w:val="CDB2CF8A"/>
    <w:lvl w:ilvl="0" w:tplc="75EEB4A4">
      <w:numFmt w:val="bullet"/>
      <w:lvlText w:val="•"/>
      <w:lvlJc w:val="left"/>
      <w:pPr>
        <w:ind w:left="283" w:hanging="284"/>
      </w:pPr>
      <w:rPr>
        <w:rFonts w:ascii="Calibri" w:eastAsia="Calibri" w:hAnsi="Calibri" w:cs="Calibri" w:hint="default"/>
        <w:b w:val="0"/>
        <w:bCs w:val="0"/>
        <w:i w:val="0"/>
        <w:iCs w:val="0"/>
        <w:spacing w:val="0"/>
        <w:w w:val="99"/>
        <w:sz w:val="27"/>
        <w:szCs w:val="27"/>
        <w:lang w:val="en-US" w:eastAsia="en-US" w:bidi="ar-SA"/>
      </w:rPr>
    </w:lvl>
    <w:lvl w:ilvl="1" w:tplc="8A184AF0">
      <w:numFmt w:val="bullet"/>
      <w:lvlText w:val="•"/>
      <w:lvlJc w:val="left"/>
      <w:pPr>
        <w:ind w:left="966" w:hanging="284"/>
      </w:pPr>
      <w:rPr>
        <w:rFonts w:hint="default"/>
        <w:lang w:val="en-US" w:eastAsia="en-US" w:bidi="ar-SA"/>
      </w:rPr>
    </w:lvl>
    <w:lvl w:ilvl="2" w:tplc="4BAA1708">
      <w:numFmt w:val="bullet"/>
      <w:lvlText w:val="•"/>
      <w:lvlJc w:val="left"/>
      <w:pPr>
        <w:ind w:left="1653" w:hanging="284"/>
      </w:pPr>
      <w:rPr>
        <w:rFonts w:hint="default"/>
        <w:lang w:val="en-US" w:eastAsia="en-US" w:bidi="ar-SA"/>
      </w:rPr>
    </w:lvl>
    <w:lvl w:ilvl="3" w:tplc="0E38C3A8">
      <w:numFmt w:val="bullet"/>
      <w:lvlText w:val="•"/>
      <w:lvlJc w:val="left"/>
      <w:pPr>
        <w:ind w:left="2340" w:hanging="284"/>
      </w:pPr>
      <w:rPr>
        <w:rFonts w:hint="default"/>
        <w:lang w:val="en-US" w:eastAsia="en-US" w:bidi="ar-SA"/>
      </w:rPr>
    </w:lvl>
    <w:lvl w:ilvl="4" w:tplc="A9744AD0">
      <w:numFmt w:val="bullet"/>
      <w:lvlText w:val="•"/>
      <w:lvlJc w:val="left"/>
      <w:pPr>
        <w:ind w:left="3027" w:hanging="284"/>
      </w:pPr>
      <w:rPr>
        <w:rFonts w:hint="default"/>
        <w:lang w:val="en-US" w:eastAsia="en-US" w:bidi="ar-SA"/>
      </w:rPr>
    </w:lvl>
    <w:lvl w:ilvl="5" w:tplc="632894E0">
      <w:numFmt w:val="bullet"/>
      <w:lvlText w:val="•"/>
      <w:lvlJc w:val="left"/>
      <w:pPr>
        <w:ind w:left="3714" w:hanging="284"/>
      </w:pPr>
      <w:rPr>
        <w:rFonts w:hint="default"/>
        <w:lang w:val="en-US" w:eastAsia="en-US" w:bidi="ar-SA"/>
      </w:rPr>
    </w:lvl>
    <w:lvl w:ilvl="6" w:tplc="C5A4AAF4">
      <w:numFmt w:val="bullet"/>
      <w:lvlText w:val="•"/>
      <w:lvlJc w:val="left"/>
      <w:pPr>
        <w:ind w:left="4400" w:hanging="284"/>
      </w:pPr>
      <w:rPr>
        <w:rFonts w:hint="default"/>
        <w:lang w:val="en-US" w:eastAsia="en-US" w:bidi="ar-SA"/>
      </w:rPr>
    </w:lvl>
    <w:lvl w:ilvl="7" w:tplc="FD7C3B26">
      <w:numFmt w:val="bullet"/>
      <w:lvlText w:val="•"/>
      <w:lvlJc w:val="left"/>
      <w:pPr>
        <w:ind w:left="5087" w:hanging="284"/>
      </w:pPr>
      <w:rPr>
        <w:rFonts w:hint="default"/>
        <w:lang w:val="en-US" w:eastAsia="en-US" w:bidi="ar-SA"/>
      </w:rPr>
    </w:lvl>
    <w:lvl w:ilvl="8" w:tplc="7F681F14">
      <w:numFmt w:val="bullet"/>
      <w:lvlText w:val="•"/>
      <w:lvlJc w:val="left"/>
      <w:pPr>
        <w:ind w:left="5774" w:hanging="284"/>
      </w:pPr>
      <w:rPr>
        <w:rFonts w:hint="default"/>
        <w:lang w:val="en-US" w:eastAsia="en-US" w:bidi="ar-SA"/>
      </w:rPr>
    </w:lvl>
  </w:abstractNum>
  <w:abstractNum w:abstractNumId="2" w15:restartNumberingAfterBreak="0">
    <w:nsid w:val="1EAB2FBC"/>
    <w:multiLevelType w:val="multilevel"/>
    <w:tmpl w:val="028A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A60E8"/>
    <w:multiLevelType w:val="multilevel"/>
    <w:tmpl w:val="FEAA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07172"/>
    <w:multiLevelType w:val="multilevel"/>
    <w:tmpl w:val="FC3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70A0F"/>
    <w:multiLevelType w:val="multilevel"/>
    <w:tmpl w:val="474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52A13"/>
    <w:multiLevelType w:val="multilevel"/>
    <w:tmpl w:val="953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46AEF"/>
    <w:multiLevelType w:val="multilevel"/>
    <w:tmpl w:val="2C8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C54F9"/>
    <w:multiLevelType w:val="hybridMultilevel"/>
    <w:tmpl w:val="1C5C4596"/>
    <w:lvl w:ilvl="0" w:tplc="E8D017C4">
      <w:numFmt w:val="bullet"/>
      <w:lvlText w:val="•"/>
      <w:lvlJc w:val="left"/>
      <w:pPr>
        <w:ind w:left="1556" w:hanging="284"/>
      </w:pPr>
      <w:rPr>
        <w:rFonts w:ascii="Calibri" w:eastAsia="Calibri" w:hAnsi="Calibri" w:cs="Calibri" w:hint="default"/>
        <w:b w:val="0"/>
        <w:bCs w:val="0"/>
        <w:i w:val="0"/>
        <w:iCs w:val="0"/>
        <w:spacing w:val="0"/>
        <w:w w:val="99"/>
        <w:sz w:val="27"/>
        <w:szCs w:val="27"/>
        <w:lang w:val="en-US" w:eastAsia="en-US" w:bidi="ar-SA"/>
      </w:rPr>
    </w:lvl>
    <w:lvl w:ilvl="1" w:tplc="0E30BFC8">
      <w:numFmt w:val="bullet"/>
      <w:lvlText w:val="•"/>
      <w:lvlJc w:val="left"/>
      <w:pPr>
        <w:ind w:left="2438" w:hanging="284"/>
      </w:pPr>
      <w:rPr>
        <w:rFonts w:hint="default"/>
        <w:lang w:val="en-US" w:eastAsia="en-US" w:bidi="ar-SA"/>
      </w:rPr>
    </w:lvl>
    <w:lvl w:ilvl="2" w:tplc="1374875E">
      <w:numFmt w:val="bullet"/>
      <w:lvlText w:val="•"/>
      <w:lvlJc w:val="left"/>
      <w:pPr>
        <w:ind w:left="3316" w:hanging="284"/>
      </w:pPr>
      <w:rPr>
        <w:rFonts w:hint="default"/>
        <w:lang w:val="en-US" w:eastAsia="en-US" w:bidi="ar-SA"/>
      </w:rPr>
    </w:lvl>
    <w:lvl w:ilvl="3" w:tplc="C5165E6A">
      <w:numFmt w:val="bullet"/>
      <w:lvlText w:val="•"/>
      <w:lvlJc w:val="left"/>
      <w:pPr>
        <w:ind w:left="4194" w:hanging="284"/>
      </w:pPr>
      <w:rPr>
        <w:rFonts w:hint="default"/>
        <w:lang w:val="en-US" w:eastAsia="en-US" w:bidi="ar-SA"/>
      </w:rPr>
    </w:lvl>
    <w:lvl w:ilvl="4" w:tplc="96DAA6C8">
      <w:numFmt w:val="bullet"/>
      <w:lvlText w:val="•"/>
      <w:lvlJc w:val="left"/>
      <w:pPr>
        <w:ind w:left="5072" w:hanging="284"/>
      </w:pPr>
      <w:rPr>
        <w:rFonts w:hint="default"/>
        <w:lang w:val="en-US" w:eastAsia="en-US" w:bidi="ar-SA"/>
      </w:rPr>
    </w:lvl>
    <w:lvl w:ilvl="5" w:tplc="FA621BCA">
      <w:numFmt w:val="bullet"/>
      <w:lvlText w:val="•"/>
      <w:lvlJc w:val="left"/>
      <w:pPr>
        <w:ind w:left="5951" w:hanging="284"/>
      </w:pPr>
      <w:rPr>
        <w:rFonts w:hint="default"/>
        <w:lang w:val="en-US" w:eastAsia="en-US" w:bidi="ar-SA"/>
      </w:rPr>
    </w:lvl>
    <w:lvl w:ilvl="6" w:tplc="8C3205F6">
      <w:numFmt w:val="bullet"/>
      <w:lvlText w:val="•"/>
      <w:lvlJc w:val="left"/>
      <w:pPr>
        <w:ind w:left="6829" w:hanging="284"/>
      </w:pPr>
      <w:rPr>
        <w:rFonts w:hint="default"/>
        <w:lang w:val="en-US" w:eastAsia="en-US" w:bidi="ar-SA"/>
      </w:rPr>
    </w:lvl>
    <w:lvl w:ilvl="7" w:tplc="13ECCB74">
      <w:numFmt w:val="bullet"/>
      <w:lvlText w:val="•"/>
      <w:lvlJc w:val="left"/>
      <w:pPr>
        <w:ind w:left="7707" w:hanging="284"/>
      </w:pPr>
      <w:rPr>
        <w:rFonts w:hint="default"/>
        <w:lang w:val="en-US" w:eastAsia="en-US" w:bidi="ar-SA"/>
      </w:rPr>
    </w:lvl>
    <w:lvl w:ilvl="8" w:tplc="98BCEB9C">
      <w:numFmt w:val="bullet"/>
      <w:lvlText w:val="•"/>
      <w:lvlJc w:val="left"/>
      <w:pPr>
        <w:ind w:left="8585" w:hanging="284"/>
      </w:pPr>
      <w:rPr>
        <w:rFonts w:hint="default"/>
        <w:lang w:val="en-US" w:eastAsia="en-US" w:bidi="ar-SA"/>
      </w:rPr>
    </w:lvl>
  </w:abstractNum>
  <w:abstractNum w:abstractNumId="9" w15:restartNumberingAfterBreak="0">
    <w:nsid w:val="7E4D2A05"/>
    <w:multiLevelType w:val="hybridMultilevel"/>
    <w:tmpl w:val="4F5CCCFA"/>
    <w:lvl w:ilvl="0" w:tplc="684CA31E">
      <w:start w:val="3"/>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122995523">
    <w:abstractNumId w:val="1"/>
  </w:num>
  <w:num w:numId="2" w16cid:durableId="716590777">
    <w:abstractNumId w:val="8"/>
  </w:num>
  <w:num w:numId="3" w16cid:durableId="412241927">
    <w:abstractNumId w:val="4"/>
  </w:num>
  <w:num w:numId="4" w16cid:durableId="125589106">
    <w:abstractNumId w:val="3"/>
  </w:num>
  <w:num w:numId="5" w16cid:durableId="1584603309">
    <w:abstractNumId w:val="9"/>
  </w:num>
  <w:num w:numId="6" w16cid:durableId="2142074487">
    <w:abstractNumId w:val="2"/>
  </w:num>
  <w:num w:numId="7" w16cid:durableId="1098718067">
    <w:abstractNumId w:val="0"/>
  </w:num>
  <w:num w:numId="8" w16cid:durableId="599989113">
    <w:abstractNumId w:val="7"/>
  </w:num>
  <w:num w:numId="9" w16cid:durableId="1299796908">
    <w:abstractNumId w:val="6"/>
  </w:num>
  <w:num w:numId="10" w16cid:durableId="1682852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06E86"/>
    <w:rsid w:val="000077F8"/>
    <w:rsid w:val="00014F90"/>
    <w:rsid w:val="000212B0"/>
    <w:rsid w:val="00022955"/>
    <w:rsid w:val="00022FFA"/>
    <w:rsid w:val="00025AB5"/>
    <w:rsid w:val="00035CA5"/>
    <w:rsid w:val="000405DC"/>
    <w:rsid w:val="00041776"/>
    <w:rsid w:val="00052890"/>
    <w:rsid w:val="000552D2"/>
    <w:rsid w:val="00055BA3"/>
    <w:rsid w:val="00063624"/>
    <w:rsid w:val="00065621"/>
    <w:rsid w:val="00065DF3"/>
    <w:rsid w:val="000715F7"/>
    <w:rsid w:val="00073CB4"/>
    <w:rsid w:val="00090D92"/>
    <w:rsid w:val="00092AE5"/>
    <w:rsid w:val="0009545B"/>
    <w:rsid w:val="00097C22"/>
    <w:rsid w:val="000A2263"/>
    <w:rsid w:val="000B17D8"/>
    <w:rsid w:val="000B7C1E"/>
    <w:rsid w:val="000C3F36"/>
    <w:rsid w:val="000C4016"/>
    <w:rsid w:val="000F3070"/>
    <w:rsid w:val="00104DF4"/>
    <w:rsid w:val="00111AD1"/>
    <w:rsid w:val="00116217"/>
    <w:rsid w:val="00117E04"/>
    <w:rsid w:val="0012404F"/>
    <w:rsid w:val="001309FA"/>
    <w:rsid w:val="0013546F"/>
    <w:rsid w:val="0014673A"/>
    <w:rsid w:val="00146AB3"/>
    <w:rsid w:val="00146CDB"/>
    <w:rsid w:val="00152FE3"/>
    <w:rsid w:val="001536ED"/>
    <w:rsid w:val="001546DB"/>
    <w:rsid w:val="00162700"/>
    <w:rsid w:val="001755FE"/>
    <w:rsid w:val="001854E6"/>
    <w:rsid w:val="001873A6"/>
    <w:rsid w:val="0019343C"/>
    <w:rsid w:val="001956FB"/>
    <w:rsid w:val="001B588E"/>
    <w:rsid w:val="001C508D"/>
    <w:rsid w:val="001D2474"/>
    <w:rsid w:val="001D65C5"/>
    <w:rsid w:val="001E6F17"/>
    <w:rsid w:val="00206262"/>
    <w:rsid w:val="00212B8F"/>
    <w:rsid w:val="00216F99"/>
    <w:rsid w:val="00226BBF"/>
    <w:rsid w:val="00232886"/>
    <w:rsid w:val="00237ADB"/>
    <w:rsid w:val="00264D7E"/>
    <w:rsid w:val="00266C2A"/>
    <w:rsid w:val="0027337D"/>
    <w:rsid w:val="00283A7B"/>
    <w:rsid w:val="0028608C"/>
    <w:rsid w:val="0029476A"/>
    <w:rsid w:val="002A158E"/>
    <w:rsid w:val="002A6A60"/>
    <w:rsid w:val="002A6B7F"/>
    <w:rsid w:val="002B3FDF"/>
    <w:rsid w:val="002B7281"/>
    <w:rsid w:val="002D5C0A"/>
    <w:rsid w:val="002E2112"/>
    <w:rsid w:val="002F02DC"/>
    <w:rsid w:val="002F22B5"/>
    <w:rsid w:val="002F4315"/>
    <w:rsid w:val="003231F3"/>
    <w:rsid w:val="00344156"/>
    <w:rsid w:val="0034587C"/>
    <w:rsid w:val="00346F42"/>
    <w:rsid w:val="00370A05"/>
    <w:rsid w:val="00374295"/>
    <w:rsid w:val="00385B64"/>
    <w:rsid w:val="00390890"/>
    <w:rsid w:val="00390E43"/>
    <w:rsid w:val="003A1378"/>
    <w:rsid w:val="003A1F9A"/>
    <w:rsid w:val="003C5E7D"/>
    <w:rsid w:val="003D4805"/>
    <w:rsid w:val="003D51A4"/>
    <w:rsid w:val="003F5F7F"/>
    <w:rsid w:val="003F7CF6"/>
    <w:rsid w:val="00400C0E"/>
    <w:rsid w:val="00401D0B"/>
    <w:rsid w:val="00404795"/>
    <w:rsid w:val="00414D26"/>
    <w:rsid w:val="00421467"/>
    <w:rsid w:val="00431374"/>
    <w:rsid w:val="00436F8E"/>
    <w:rsid w:val="00450E78"/>
    <w:rsid w:val="00454521"/>
    <w:rsid w:val="004619E3"/>
    <w:rsid w:val="00486654"/>
    <w:rsid w:val="00490F88"/>
    <w:rsid w:val="00495E7B"/>
    <w:rsid w:val="004B3F63"/>
    <w:rsid w:val="004B5598"/>
    <w:rsid w:val="004B719D"/>
    <w:rsid w:val="004C33FE"/>
    <w:rsid w:val="004C37B6"/>
    <w:rsid w:val="004D291C"/>
    <w:rsid w:val="004E0744"/>
    <w:rsid w:val="004E4D47"/>
    <w:rsid w:val="004E79A7"/>
    <w:rsid w:val="004F11EE"/>
    <w:rsid w:val="005022B7"/>
    <w:rsid w:val="00504B5A"/>
    <w:rsid w:val="00505073"/>
    <w:rsid w:val="00533C03"/>
    <w:rsid w:val="00535A3C"/>
    <w:rsid w:val="0053669E"/>
    <w:rsid w:val="00536710"/>
    <w:rsid w:val="00552EB6"/>
    <w:rsid w:val="00557BA0"/>
    <w:rsid w:val="00565291"/>
    <w:rsid w:val="00567364"/>
    <w:rsid w:val="005721C7"/>
    <w:rsid w:val="005825F2"/>
    <w:rsid w:val="00586106"/>
    <w:rsid w:val="005868BF"/>
    <w:rsid w:val="00597B6D"/>
    <w:rsid w:val="005D6242"/>
    <w:rsid w:val="005E254E"/>
    <w:rsid w:val="005E26DD"/>
    <w:rsid w:val="005F4F71"/>
    <w:rsid w:val="00601338"/>
    <w:rsid w:val="00610809"/>
    <w:rsid w:val="00633B51"/>
    <w:rsid w:val="006426AB"/>
    <w:rsid w:val="006701BF"/>
    <w:rsid w:val="006722F2"/>
    <w:rsid w:val="00675166"/>
    <w:rsid w:val="0068222E"/>
    <w:rsid w:val="006A45C2"/>
    <w:rsid w:val="006A58D4"/>
    <w:rsid w:val="006B1DFC"/>
    <w:rsid w:val="006C0DCC"/>
    <w:rsid w:val="006C7019"/>
    <w:rsid w:val="006D6830"/>
    <w:rsid w:val="006D6A78"/>
    <w:rsid w:val="006E2E1D"/>
    <w:rsid w:val="006E644E"/>
    <w:rsid w:val="00701101"/>
    <w:rsid w:val="00724D7B"/>
    <w:rsid w:val="00727150"/>
    <w:rsid w:val="00727178"/>
    <w:rsid w:val="0073117E"/>
    <w:rsid w:val="00734683"/>
    <w:rsid w:val="0075118B"/>
    <w:rsid w:val="00752050"/>
    <w:rsid w:val="00753524"/>
    <w:rsid w:val="00757F6E"/>
    <w:rsid w:val="00761C10"/>
    <w:rsid w:val="00761E2E"/>
    <w:rsid w:val="0078517C"/>
    <w:rsid w:val="00786723"/>
    <w:rsid w:val="00794223"/>
    <w:rsid w:val="007A00F3"/>
    <w:rsid w:val="007A5C62"/>
    <w:rsid w:val="007A5F26"/>
    <w:rsid w:val="007A6C4A"/>
    <w:rsid w:val="007A752F"/>
    <w:rsid w:val="007C0E6C"/>
    <w:rsid w:val="007C138B"/>
    <w:rsid w:val="007C5E7B"/>
    <w:rsid w:val="007D00F3"/>
    <w:rsid w:val="007D5074"/>
    <w:rsid w:val="008049DA"/>
    <w:rsid w:val="0081155C"/>
    <w:rsid w:val="00813B32"/>
    <w:rsid w:val="00814DCA"/>
    <w:rsid w:val="00822107"/>
    <w:rsid w:val="00840623"/>
    <w:rsid w:val="008502DD"/>
    <w:rsid w:val="008533D9"/>
    <w:rsid w:val="0085417B"/>
    <w:rsid w:val="00870179"/>
    <w:rsid w:val="00875C18"/>
    <w:rsid w:val="00887087"/>
    <w:rsid w:val="008874BB"/>
    <w:rsid w:val="008A2355"/>
    <w:rsid w:val="008B5111"/>
    <w:rsid w:val="008B5A6A"/>
    <w:rsid w:val="008C074C"/>
    <w:rsid w:val="008C259D"/>
    <w:rsid w:val="008D1BEC"/>
    <w:rsid w:val="008E0DF1"/>
    <w:rsid w:val="009013CF"/>
    <w:rsid w:val="00902F1C"/>
    <w:rsid w:val="0090610B"/>
    <w:rsid w:val="00911772"/>
    <w:rsid w:val="0091217D"/>
    <w:rsid w:val="00931799"/>
    <w:rsid w:val="00932F83"/>
    <w:rsid w:val="009439AE"/>
    <w:rsid w:val="00944470"/>
    <w:rsid w:val="0094675F"/>
    <w:rsid w:val="009536E1"/>
    <w:rsid w:val="00965128"/>
    <w:rsid w:val="0098202B"/>
    <w:rsid w:val="00985548"/>
    <w:rsid w:val="0098568F"/>
    <w:rsid w:val="0098747F"/>
    <w:rsid w:val="00990287"/>
    <w:rsid w:val="009A5999"/>
    <w:rsid w:val="009A70B6"/>
    <w:rsid w:val="009B79A7"/>
    <w:rsid w:val="009C43F4"/>
    <w:rsid w:val="009D1BFC"/>
    <w:rsid w:val="009D2A7A"/>
    <w:rsid w:val="009D7B68"/>
    <w:rsid w:val="009F7E66"/>
    <w:rsid w:val="00A04046"/>
    <w:rsid w:val="00A25675"/>
    <w:rsid w:val="00A30AC8"/>
    <w:rsid w:val="00A44C49"/>
    <w:rsid w:val="00A5297F"/>
    <w:rsid w:val="00A63688"/>
    <w:rsid w:val="00A7385A"/>
    <w:rsid w:val="00A761D7"/>
    <w:rsid w:val="00A87883"/>
    <w:rsid w:val="00A92A97"/>
    <w:rsid w:val="00A97988"/>
    <w:rsid w:val="00A97FDB"/>
    <w:rsid w:val="00AA106E"/>
    <w:rsid w:val="00AA7584"/>
    <w:rsid w:val="00AB7D65"/>
    <w:rsid w:val="00AD1A57"/>
    <w:rsid w:val="00AD68AB"/>
    <w:rsid w:val="00AE31E7"/>
    <w:rsid w:val="00AF6EEF"/>
    <w:rsid w:val="00B20FED"/>
    <w:rsid w:val="00B36527"/>
    <w:rsid w:val="00B569F7"/>
    <w:rsid w:val="00B60980"/>
    <w:rsid w:val="00B60E53"/>
    <w:rsid w:val="00B80C0A"/>
    <w:rsid w:val="00B85978"/>
    <w:rsid w:val="00B950DF"/>
    <w:rsid w:val="00BA73C1"/>
    <w:rsid w:val="00BB4443"/>
    <w:rsid w:val="00BC1605"/>
    <w:rsid w:val="00BC34B3"/>
    <w:rsid w:val="00BF3237"/>
    <w:rsid w:val="00BF75F4"/>
    <w:rsid w:val="00C0280A"/>
    <w:rsid w:val="00C02A6F"/>
    <w:rsid w:val="00C46065"/>
    <w:rsid w:val="00C5465F"/>
    <w:rsid w:val="00C742E9"/>
    <w:rsid w:val="00C806C5"/>
    <w:rsid w:val="00C92F54"/>
    <w:rsid w:val="00C97334"/>
    <w:rsid w:val="00C97FC6"/>
    <w:rsid w:val="00CA22BA"/>
    <w:rsid w:val="00CA55C9"/>
    <w:rsid w:val="00CB1089"/>
    <w:rsid w:val="00CC3C2A"/>
    <w:rsid w:val="00CC6311"/>
    <w:rsid w:val="00CD1C1D"/>
    <w:rsid w:val="00CE4313"/>
    <w:rsid w:val="00CF32BD"/>
    <w:rsid w:val="00D12006"/>
    <w:rsid w:val="00D128D4"/>
    <w:rsid w:val="00D14E3C"/>
    <w:rsid w:val="00D222F0"/>
    <w:rsid w:val="00D6106C"/>
    <w:rsid w:val="00D73DB7"/>
    <w:rsid w:val="00D81EED"/>
    <w:rsid w:val="00DA25D3"/>
    <w:rsid w:val="00DB6B95"/>
    <w:rsid w:val="00DC01CD"/>
    <w:rsid w:val="00DC42C7"/>
    <w:rsid w:val="00DD058E"/>
    <w:rsid w:val="00DF6CEB"/>
    <w:rsid w:val="00E230EB"/>
    <w:rsid w:val="00E2550F"/>
    <w:rsid w:val="00E4481F"/>
    <w:rsid w:val="00E44840"/>
    <w:rsid w:val="00E53604"/>
    <w:rsid w:val="00E54B24"/>
    <w:rsid w:val="00E67559"/>
    <w:rsid w:val="00E717E3"/>
    <w:rsid w:val="00E73703"/>
    <w:rsid w:val="00E87B45"/>
    <w:rsid w:val="00E966E7"/>
    <w:rsid w:val="00E96E49"/>
    <w:rsid w:val="00EB7835"/>
    <w:rsid w:val="00ED71EF"/>
    <w:rsid w:val="00EE1F18"/>
    <w:rsid w:val="00EE78FE"/>
    <w:rsid w:val="00F00D27"/>
    <w:rsid w:val="00F0420D"/>
    <w:rsid w:val="00F047CD"/>
    <w:rsid w:val="00F06067"/>
    <w:rsid w:val="00F11F1D"/>
    <w:rsid w:val="00F23A93"/>
    <w:rsid w:val="00F349C7"/>
    <w:rsid w:val="00F44D6D"/>
    <w:rsid w:val="00F474DC"/>
    <w:rsid w:val="00F73408"/>
    <w:rsid w:val="00F739EB"/>
    <w:rsid w:val="00F77F29"/>
    <w:rsid w:val="00F931A1"/>
    <w:rsid w:val="00F9568D"/>
    <w:rsid w:val="00F960FB"/>
    <w:rsid w:val="00F965D0"/>
    <w:rsid w:val="00F96609"/>
    <w:rsid w:val="00FB0C59"/>
    <w:rsid w:val="00FB4209"/>
    <w:rsid w:val="00FC0786"/>
    <w:rsid w:val="00FD04E5"/>
    <w:rsid w:val="00FD32C3"/>
    <w:rsid w:val="00FD5192"/>
    <w:rsid w:val="00FD574E"/>
    <w:rsid w:val="00FF3E12"/>
    <w:rsid w:val="00FF44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AFA8F763-9559-4A2B-81F0-628ABF20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E43"/>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1"/>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6C7019"/>
    <w:pPr>
      <w:tabs>
        <w:tab w:val="center" w:pos="4252"/>
        <w:tab w:val="right" w:pos="8504"/>
      </w:tabs>
      <w:snapToGrid w:val="0"/>
    </w:pPr>
  </w:style>
  <w:style w:type="character" w:customStyle="1" w:styleId="ae">
    <w:name w:val="ヘッダー (文字)"/>
    <w:basedOn w:val="a0"/>
    <w:link w:val="ad"/>
    <w:uiPriority w:val="99"/>
    <w:rsid w:val="006C7019"/>
    <w:rPr>
      <w:rFonts w:ascii="ＭＳ 明朝" w:eastAsia="ＭＳ 明朝" w:hAnsi="Century" w:cs="Times New Roman"/>
      <w:szCs w:val="20"/>
    </w:rPr>
  </w:style>
  <w:style w:type="paragraph" w:styleId="af">
    <w:name w:val="footer"/>
    <w:basedOn w:val="a"/>
    <w:link w:val="af0"/>
    <w:uiPriority w:val="99"/>
    <w:unhideWhenUsed/>
    <w:rsid w:val="006C7019"/>
    <w:pPr>
      <w:tabs>
        <w:tab w:val="center" w:pos="4252"/>
        <w:tab w:val="right" w:pos="8504"/>
      </w:tabs>
      <w:snapToGrid w:val="0"/>
    </w:pPr>
  </w:style>
  <w:style w:type="character" w:customStyle="1" w:styleId="af0">
    <w:name w:val="フッター (文字)"/>
    <w:basedOn w:val="a0"/>
    <w:link w:val="af"/>
    <w:uiPriority w:val="99"/>
    <w:rsid w:val="006C7019"/>
    <w:rPr>
      <w:rFonts w:ascii="ＭＳ 明朝" w:eastAsia="ＭＳ 明朝" w:hAnsi="Century" w:cs="Times New Roman"/>
      <w:szCs w:val="20"/>
    </w:rPr>
  </w:style>
  <w:style w:type="paragraph" w:styleId="af1">
    <w:name w:val="Body Text"/>
    <w:basedOn w:val="a"/>
    <w:link w:val="af2"/>
    <w:uiPriority w:val="1"/>
    <w:qFormat/>
    <w:rsid w:val="000212B0"/>
    <w:pPr>
      <w:autoSpaceDE w:val="0"/>
      <w:autoSpaceDN w:val="0"/>
      <w:jc w:val="left"/>
    </w:pPr>
    <w:rPr>
      <w:rFonts w:ascii="Arial" w:eastAsia="Arial" w:hAnsi="Arial" w:cs="Arial"/>
      <w:kern w:val="0"/>
      <w:sz w:val="27"/>
      <w:szCs w:val="27"/>
      <w:lang w:eastAsia="en-US"/>
    </w:rPr>
  </w:style>
  <w:style w:type="character" w:customStyle="1" w:styleId="af2">
    <w:name w:val="本文 (文字)"/>
    <w:basedOn w:val="a0"/>
    <w:link w:val="af1"/>
    <w:uiPriority w:val="1"/>
    <w:rsid w:val="000212B0"/>
    <w:rPr>
      <w:rFonts w:ascii="Arial" w:eastAsia="Arial" w:hAnsi="Arial" w:cs="Arial"/>
      <w:kern w:val="0"/>
      <w:sz w:val="27"/>
      <w:szCs w:val="27"/>
      <w:lang w:eastAsia="en-US"/>
    </w:rPr>
  </w:style>
  <w:style w:type="character" w:styleId="af3">
    <w:name w:val="Hyperlink"/>
    <w:basedOn w:val="a0"/>
    <w:uiPriority w:val="99"/>
    <w:unhideWhenUsed/>
    <w:rsid w:val="00454521"/>
    <w:rPr>
      <w:color w:val="467886" w:themeColor="hyperlink"/>
      <w:u w:val="single"/>
    </w:rPr>
  </w:style>
  <w:style w:type="character" w:styleId="af4">
    <w:name w:val="Unresolved Mention"/>
    <w:basedOn w:val="a0"/>
    <w:uiPriority w:val="99"/>
    <w:semiHidden/>
    <w:unhideWhenUsed/>
    <w:rsid w:val="00454521"/>
    <w:rPr>
      <w:color w:val="605E5C"/>
      <w:shd w:val="clear" w:color="auto" w:fill="E1DFDD"/>
    </w:rPr>
  </w:style>
  <w:style w:type="paragraph" w:customStyle="1" w:styleId="TableParagraph">
    <w:name w:val="Table Paragraph"/>
    <w:basedOn w:val="a"/>
    <w:uiPriority w:val="1"/>
    <w:qFormat/>
    <w:rsid w:val="005825F2"/>
    <w:pPr>
      <w:autoSpaceDE w:val="0"/>
      <w:autoSpaceDN w:val="0"/>
      <w:spacing w:before="10"/>
      <w:ind w:left="80"/>
      <w:jc w:val="left"/>
    </w:pPr>
    <w:rPr>
      <w:rFonts w:ascii="Myriad Pro" w:eastAsia="Myriad Pro" w:hAnsi="Myriad Pro" w:cs="Myriad Pro"/>
      <w:kern w:val="0"/>
      <w:sz w:val="24"/>
      <w:szCs w:val="24"/>
      <w:lang w:eastAsia="en-US"/>
    </w:rPr>
  </w:style>
  <w:style w:type="paragraph" w:styleId="Web">
    <w:name w:val="Normal (Web)"/>
    <w:basedOn w:val="a"/>
    <w:uiPriority w:val="99"/>
    <w:semiHidden/>
    <w:unhideWhenUsed/>
    <w:rsid w:val="00374295"/>
    <w:rPr>
      <w:rFonts w:ascii="Times New Roman" w:hAnsi="Times New Roman"/>
      <w:sz w:val="24"/>
      <w:szCs w:val="24"/>
    </w:rPr>
  </w:style>
  <w:style w:type="paragraph" w:styleId="af5">
    <w:name w:val="Revision"/>
    <w:hidden/>
    <w:uiPriority w:val="99"/>
    <w:semiHidden/>
    <w:rsid w:val="00146AB3"/>
    <w:rPr>
      <w:rFonts w:ascii="ＭＳ 明朝" w:eastAsia="ＭＳ 明朝" w:hAnsi="Century" w:cs="Times New Roman"/>
      <w:szCs w:val="20"/>
    </w:rPr>
  </w:style>
  <w:style w:type="character" w:styleId="af6">
    <w:name w:val="annotation reference"/>
    <w:basedOn w:val="a0"/>
    <w:uiPriority w:val="99"/>
    <w:semiHidden/>
    <w:unhideWhenUsed/>
    <w:rsid w:val="00436F8E"/>
    <w:rPr>
      <w:sz w:val="18"/>
      <w:szCs w:val="18"/>
    </w:rPr>
  </w:style>
  <w:style w:type="paragraph" w:styleId="af7">
    <w:name w:val="annotation text"/>
    <w:basedOn w:val="a"/>
    <w:link w:val="af8"/>
    <w:uiPriority w:val="99"/>
    <w:unhideWhenUsed/>
    <w:rsid w:val="00436F8E"/>
    <w:pPr>
      <w:jc w:val="left"/>
    </w:pPr>
  </w:style>
  <w:style w:type="character" w:customStyle="1" w:styleId="af8">
    <w:name w:val="コメント文字列 (文字)"/>
    <w:basedOn w:val="a0"/>
    <w:link w:val="af7"/>
    <w:uiPriority w:val="99"/>
    <w:rsid w:val="00436F8E"/>
    <w:rPr>
      <w:rFonts w:ascii="ＭＳ 明朝" w:eastAsia="ＭＳ 明朝" w:hAnsi="Century" w:cs="Times New Roman"/>
      <w:szCs w:val="20"/>
    </w:rPr>
  </w:style>
  <w:style w:type="paragraph" w:styleId="af9">
    <w:name w:val="annotation subject"/>
    <w:basedOn w:val="af7"/>
    <w:next w:val="af7"/>
    <w:link w:val="afa"/>
    <w:uiPriority w:val="99"/>
    <w:semiHidden/>
    <w:unhideWhenUsed/>
    <w:rsid w:val="00436F8E"/>
    <w:rPr>
      <w:b/>
      <w:bCs/>
    </w:rPr>
  </w:style>
  <w:style w:type="character" w:customStyle="1" w:styleId="afa">
    <w:name w:val="コメント内容 (文字)"/>
    <w:basedOn w:val="af8"/>
    <w:link w:val="af9"/>
    <w:uiPriority w:val="99"/>
    <w:semiHidden/>
    <w:rsid w:val="00436F8E"/>
    <w:rPr>
      <w:rFonts w:ascii="ＭＳ 明朝" w:eastAsia="ＭＳ 明朝" w:hAnsi="Century" w:cs="Times New Roman"/>
      <w:b/>
      <w:bCs/>
      <w:szCs w:val="20"/>
    </w:rPr>
  </w:style>
  <w:style w:type="table" w:customStyle="1" w:styleId="TableNormal">
    <w:name w:val="Table Normal"/>
    <w:uiPriority w:val="2"/>
    <w:semiHidden/>
    <w:unhideWhenUsed/>
    <w:qFormat/>
    <w:rsid w:val="00761E2E"/>
    <w:pPr>
      <w:widowControl w:val="0"/>
      <w:autoSpaceDE w:val="0"/>
      <w:autoSpaceDN w:val="0"/>
    </w:pPr>
    <w:rPr>
      <w:kern w:val="0"/>
      <w:sz w:val="24"/>
      <w:szCs w:val="24"/>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025">
      <w:bodyDiv w:val="1"/>
      <w:marLeft w:val="0"/>
      <w:marRight w:val="0"/>
      <w:marTop w:val="0"/>
      <w:marBottom w:val="0"/>
      <w:divBdr>
        <w:top w:val="none" w:sz="0" w:space="0" w:color="auto"/>
        <w:left w:val="none" w:sz="0" w:space="0" w:color="auto"/>
        <w:bottom w:val="none" w:sz="0" w:space="0" w:color="auto"/>
        <w:right w:val="none" w:sz="0" w:space="0" w:color="auto"/>
      </w:divBdr>
      <w:divsChild>
        <w:div w:id="1851674196">
          <w:marLeft w:val="0"/>
          <w:marRight w:val="0"/>
          <w:marTop w:val="0"/>
          <w:marBottom w:val="0"/>
          <w:divBdr>
            <w:top w:val="none" w:sz="0" w:space="0" w:color="auto"/>
            <w:left w:val="none" w:sz="0" w:space="0" w:color="auto"/>
            <w:bottom w:val="none" w:sz="0" w:space="0" w:color="auto"/>
            <w:right w:val="none" w:sz="0" w:space="0" w:color="auto"/>
          </w:divBdr>
          <w:divsChild>
            <w:div w:id="1480882030">
              <w:marLeft w:val="0"/>
              <w:marRight w:val="0"/>
              <w:marTop w:val="0"/>
              <w:marBottom w:val="0"/>
              <w:divBdr>
                <w:top w:val="none" w:sz="0" w:space="0" w:color="auto"/>
                <w:left w:val="none" w:sz="0" w:space="0" w:color="auto"/>
                <w:bottom w:val="none" w:sz="0" w:space="0" w:color="auto"/>
                <w:right w:val="none" w:sz="0" w:space="0" w:color="auto"/>
              </w:divBdr>
              <w:divsChild>
                <w:div w:id="1998530461">
                  <w:marLeft w:val="0"/>
                  <w:marRight w:val="0"/>
                  <w:marTop w:val="0"/>
                  <w:marBottom w:val="0"/>
                  <w:divBdr>
                    <w:top w:val="none" w:sz="0" w:space="0" w:color="auto"/>
                    <w:left w:val="none" w:sz="0" w:space="0" w:color="auto"/>
                    <w:bottom w:val="none" w:sz="0" w:space="0" w:color="auto"/>
                    <w:right w:val="none" w:sz="0" w:space="0" w:color="auto"/>
                  </w:divBdr>
                  <w:divsChild>
                    <w:div w:id="16766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22">
      <w:bodyDiv w:val="1"/>
      <w:marLeft w:val="0"/>
      <w:marRight w:val="0"/>
      <w:marTop w:val="0"/>
      <w:marBottom w:val="0"/>
      <w:divBdr>
        <w:top w:val="none" w:sz="0" w:space="0" w:color="auto"/>
        <w:left w:val="none" w:sz="0" w:space="0" w:color="auto"/>
        <w:bottom w:val="none" w:sz="0" w:space="0" w:color="auto"/>
        <w:right w:val="none" w:sz="0" w:space="0" w:color="auto"/>
      </w:divBdr>
    </w:div>
    <w:div w:id="68039911">
      <w:bodyDiv w:val="1"/>
      <w:marLeft w:val="0"/>
      <w:marRight w:val="0"/>
      <w:marTop w:val="0"/>
      <w:marBottom w:val="0"/>
      <w:divBdr>
        <w:top w:val="none" w:sz="0" w:space="0" w:color="auto"/>
        <w:left w:val="none" w:sz="0" w:space="0" w:color="auto"/>
        <w:bottom w:val="none" w:sz="0" w:space="0" w:color="auto"/>
        <w:right w:val="none" w:sz="0" w:space="0" w:color="auto"/>
      </w:divBdr>
    </w:div>
    <w:div w:id="134757522">
      <w:bodyDiv w:val="1"/>
      <w:marLeft w:val="0"/>
      <w:marRight w:val="0"/>
      <w:marTop w:val="0"/>
      <w:marBottom w:val="0"/>
      <w:divBdr>
        <w:top w:val="none" w:sz="0" w:space="0" w:color="auto"/>
        <w:left w:val="none" w:sz="0" w:space="0" w:color="auto"/>
        <w:bottom w:val="none" w:sz="0" w:space="0" w:color="auto"/>
        <w:right w:val="none" w:sz="0" w:space="0" w:color="auto"/>
      </w:divBdr>
      <w:divsChild>
        <w:div w:id="983894510">
          <w:marLeft w:val="0"/>
          <w:marRight w:val="0"/>
          <w:marTop w:val="0"/>
          <w:marBottom w:val="0"/>
          <w:divBdr>
            <w:top w:val="none" w:sz="0" w:space="0" w:color="auto"/>
            <w:left w:val="none" w:sz="0" w:space="0" w:color="auto"/>
            <w:bottom w:val="none" w:sz="0" w:space="0" w:color="auto"/>
            <w:right w:val="none" w:sz="0" w:space="0" w:color="auto"/>
          </w:divBdr>
          <w:divsChild>
            <w:div w:id="1393846644">
              <w:marLeft w:val="0"/>
              <w:marRight w:val="0"/>
              <w:marTop w:val="0"/>
              <w:marBottom w:val="0"/>
              <w:divBdr>
                <w:top w:val="none" w:sz="0" w:space="0" w:color="auto"/>
                <w:left w:val="none" w:sz="0" w:space="0" w:color="auto"/>
                <w:bottom w:val="none" w:sz="0" w:space="0" w:color="auto"/>
                <w:right w:val="none" w:sz="0" w:space="0" w:color="auto"/>
              </w:divBdr>
              <w:divsChild>
                <w:div w:id="1241136555">
                  <w:marLeft w:val="0"/>
                  <w:marRight w:val="0"/>
                  <w:marTop w:val="0"/>
                  <w:marBottom w:val="0"/>
                  <w:divBdr>
                    <w:top w:val="none" w:sz="0" w:space="0" w:color="auto"/>
                    <w:left w:val="none" w:sz="0" w:space="0" w:color="auto"/>
                    <w:bottom w:val="none" w:sz="0" w:space="0" w:color="auto"/>
                    <w:right w:val="none" w:sz="0" w:space="0" w:color="auto"/>
                  </w:divBdr>
                  <w:divsChild>
                    <w:div w:id="36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9404">
      <w:bodyDiv w:val="1"/>
      <w:marLeft w:val="0"/>
      <w:marRight w:val="0"/>
      <w:marTop w:val="0"/>
      <w:marBottom w:val="0"/>
      <w:divBdr>
        <w:top w:val="none" w:sz="0" w:space="0" w:color="auto"/>
        <w:left w:val="none" w:sz="0" w:space="0" w:color="auto"/>
        <w:bottom w:val="none" w:sz="0" w:space="0" w:color="auto"/>
        <w:right w:val="none" w:sz="0" w:space="0" w:color="auto"/>
      </w:divBdr>
    </w:div>
    <w:div w:id="139807580">
      <w:bodyDiv w:val="1"/>
      <w:marLeft w:val="0"/>
      <w:marRight w:val="0"/>
      <w:marTop w:val="0"/>
      <w:marBottom w:val="0"/>
      <w:divBdr>
        <w:top w:val="none" w:sz="0" w:space="0" w:color="auto"/>
        <w:left w:val="none" w:sz="0" w:space="0" w:color="auto"/>
        <w:bottom w:val="none" w:sz="0" w:space="0" w:color="auto"/>
        <w:right w:val="none" w:sz="0" w:space="0" w:color="auto"/>
      </w:divBdr>
    </w:div>
    <w:div w:id="152334450">
      <w:bodyDiv w:val="1"/>
      <w:marLeft w:val="0"/>
      <w:marRight w:val="0"/>
      <w:marTop w:val="0"/>
      <w:marBottom w:val="0"/>
      <w:divBdr>
        <w:top w:val="none" w:sz="0" w:space="0" w:color="auto"/>
        <w:left w:val="none" w:sz="0" w:space="0" w:color="auto"/>
        <w:bottom w:val="none" w:sz="0" w:space="0" w:color="auto"/>
        <w:right w:val="none" w:sz="0" w:space="0" w:color="auto"/>
      </w:divBdr>
    </w:div>
    <w:div w:id="159735064">
      <w:bodyDiv w:val="1"/>
      <w:marLeft w:val="0"/>
      <w:marRight w:val="0"/>
      <w:marTop w:val="0"/>
      <w:marBottom w:val="0"/>
      <w:divBdr>
        <w:top w:val="none" w:sz="0" w:space="0" w:color="auto"/>
        <w:left w:val="none" w:sz="0" w:space="0" w:color="auto"/>
        <w:bottom w:val="none" w:sz="0" w:space="0" w:color="auto"/>
        <w:right w:val="none" w:sz="0" w:space="0" w:color="auto"/>
      </w:divBdr>
    </w:div>
    <w:div w:id="189536770">
      <w:bodyDiv w:val="1"/>
      <w:marLeft w:val="0"/>
      <w:marRight w:val="0"/>
      <w:marTop w:val="0"/>
      <w:marBottom w:val="0"/>
      <w:divBdr>
        <w:top w:val="none" w:sz="0" w:space="0" w:color="auto"/>
        <w:left w:val="none" w:sz="0" w:space="0" w:color="auto"/>
        <w:bottom w:val="none" w:sz="0" w:space="0" w:color="auto"/>
        <w:right w:val="none" w:sz="0" w:space="0" w:color="auto"/>
      </w:divBdr>
    </w:div>
    <w:div w:id="202793506">
      <w:bodyDiv w:val="1"/>
      <w:marLeft w:val="0"/>
      <w:marRight w:val="0"/>
      <w:marTop w:val="0"/>
      <w:marBottom w:val="0"/>
      <w:divBdr>
        <w:top w:val="none" w:sz="0" w:space="0" w:color="auto"/>
        <w:left w:val="none" w:sz="0" w:space="0" w:color="auto"/>
        <w:bottom w:val="none" w:sz="0" w:space="0" w:color="auto"/>
        <w:right w:val="none" w:sz="0" w:space="0" w:color="auto"/>
      </w:divBdr>
    </w:div>
    <w:div w:id="203911133">
      <w:bodyDiv w:val="1"/>
      <w:marLeft w:val="0"/>
      <w:marRight w:val="0"/>
      <w:marTop w:val="0"/>
      <w:marBottom w:val="0"/>
      <w:divBdr>
        <w:top w:val="none" w:sz="0" w:space="0" w:color="auto"/>
        <w:left w:val="none" w:sz="0" w:space="0" w:color="auto"/>
        <w:bottom w:val="none" w:sz="0" w:space="0" w:color="auto"/>
        <w:right w:val="none" w:sz="0" w:space="0" w:color="auto"/>
      </w:divBdr>
      <w:divsChild>
        <w:div w:id="409501595">
          <w:marLeft w:val="0"/>
          <w:marRight w:val="0"/>
          <w:marTop w:val="0"/>
          <w:marBottom w:val="0"/>
          <w:divBdr>
            <w:top w:val="none" w:sz="0" w:space="0" w:color="auto"/>
            <w:left w:val="none" w:sz="0" w:space="0" w:color="auto"/>
            <w:bottom w:val="none" w:sz="0" w:space="0" w:color="auto"/>
            <w:right w:val="none" w:sz="0" w:space="0" w:color="auto"/>
          </w:divBdr>
          <w:divsChild>
            <w:div w:id="2026132420">
              <w:marLeft w:val="0"/>
              <w:marRight w:val="0"/>
              <w:marTop w:val="0"/>
              <w:marBottom w:val="0"/>
              <w:divBdr>
                <w:top w:val="none" w:sz="0" w:space="0" w:color="auto"/>
                <w:left w:val="none" w:sz="0" w:space="0" w:color="auto"/>
                <w:bottom w:val="none" w:sz="0" w:space="0" w:color="auto"/>
                <w:right w:val="none" w:sz="0" w:space="0" w:color="auto"/>
              </w:divBdr>
              <w:divsChild>
                <w:div w:id="453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312">
          <w:marLeft w:val="0"/>
          <w:marRight w:val="0"/>
          <w:marTop w:val="0"/>
          <w:marBottom w:val="0"/>
          <w:divBdr>
            <w:top w:val="none" w:sz="0" w:space="0" w:color="auto"/>
            <w:left w:val="none" w:sz="0" w:space="0" w:color="auto"/>
            <w:bottom w:val="none" w:sz="0" w:space="0" w:color="auto"/>
            <w:right w:val="none" w:sz="0" w:space="0" w:color="auto"/>
          </w:divBdr>
          <w:divsChild>
            <w:div w:id="533998944">
              <w:marLeft w:val="0"/>
              <w:marRight w:val="0"/>
              <w:marTop w:val="0"/>
              <w:marBottom w:val="0"/>
              <w:divBdr>
                <w:top w:val="none" w:sz="0" w:space="0" w:color="auto"/>
                <w:left w:val="none" w:sz="0" w:space="0" w:color="auto"/>
                <w:bottom w:val="none" w:sz="0" w:space="0" w:color="auto"/>
                <w:right w:val="none" w:sz="0" w:space="0" w:color="auto"/>
              </w:divBdr>
              <w:divsChild>
                <w:div w:id="180629695">
                  <w:marLeft w:val="0"/>
                  <w:marRight w:val="0"/>
                  <w:marTop w:val="0"/>
                  <w:marBottom w:val="0"/>
                  <w:divBdr>
                    <w:top w:val="none" w:sz="0" w:space="0" w:color="auto"/>
                    <w:left w:val="none" w:sz="0" w:space="0" w:color="auto"/>
                    <w:bottom w:val="none" w:sz="0" w:space="0" w:color="auto"/>
                    <w:right w:val="none" w:sz="0" w:space="0" w:color="auto"/>
                  </w:divBdr>
                  <w:divsChild>
                    <w:div w:id="333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7551">
          <w:marLeft w:val="0"/>
          <w:marRight w:val="0"/>
          <w:marTop w:val="0"/>
          <w:marBottom w:val="0"/>
          <w:divBdr>
            <w:top w:val="none" w:sz="0" w:space="0" w:color="auto"/>
            <w:left w:val="none" w:sz="0" w:space="0" w:color="auto"/>
            <w:bottom w:val="none" w:sz="0" w:space="0" w:color="auto"/>
            <w:right w:val="none" w:sz="0" w:space="0" w:color="auto"/>
          </w:divBdr>
          <w:divsChild>
            <w:div w:id="451050257">
              <w:marLeft w:val="0"/>
              <w:marRight w:val="0"/>
              <w:marTop w:val="0"/>
              <w:marBottom w:val="0"/>
              <w:divBdr>
                <w:top w:val="none" w:sz="0" w:space="0" w:color="auto"/>
                <w:left w:val="none" w:sz="0" w:space="0" w:color="auto"/>
                <w:bottom w:val="none" w:sz="0" w:space="0" w:color="auto"/>
                <w:right w:val="none" w:sz="0" w:space="0" w:color="auto"/>
              </w:divBdr>
              <w:divsChild>
                <w:div w:id="216864870">
                  <w:marLeft w:val="0"/>
                  <w:marRight w:val="0"/>
                  <w:marTop w:val="0"/>
                  <w:marBottom w:val="0"/>
                  <w:divBdr>
                    <w:top w:val="none" w:sz="0" w:space="0" w:color="auto"/>
                    <w:left w:val="none" w:sz="0" w:space="0" w:color="auto"/>
                    <w:bottom w:val="none" w:sz="0" w:space="0" w:color="auto"/>
                    <w:right w:val="none" w:sz="0" w:space="0" w:color="auto"/>
                  </w:divBdr>
                  <w:divsChild>
                    <w:div w:id="1976794314">
                      <w:marLeft w:val="0"/>
                      <w:marRight w:val="0"/>
                      <w:marTop w:val="0"/>
                      <w:marBottom w:val="0"/>
                      <w:divBdr>
                        <w:top w:val="none" w:sz="0" w:space="0" w:color="auto"/>
                        <w:left w:val="none" w:sz="0" w:space="0" w:color="auto"/>
                        <w:bottom w:val="none" w:sz="0" w:space="0" w:color="auto"/>
                        <w:right w:val="none" w:sz="0" w:space="0" w:color="auto"/>
                      </w:divBdr>
                      <w:divsChild>
                        <w:div w:id="359015813">
                          <w:marLeft w:val="0"/>
                          <w:marRight w:val="0"/>
                          <w:marTop w:val="0"/>
                          <w:marBottom w:val="0"/>
                          <w:divBdr>
                            <w:top w:val="none" w:sz="0" w:space="0" w:color="auto"/>
                            <w:left w:val="none" w:sz="0" w:space="0" w:color="auto"/>
                            <w:bottom w:val="none" w:sz="0" w:space="0" w:color="auto"/>
                            <w:right w:val="none" w:sz="0" w:space="0" w:color="auto"/>
                          </w:divBdr>
                          <w:divsChild>
                            <w:div w:id="19726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150372">
      <w:bodyDiv w:val="1"/>
      <w:marLeft w:val="0"/>
      <w:marRight w:val="0"/>
      <w:marTop w:val="0"/>
      <w:marBottom w:val="0"/>
      <w:divBdr>
        <w:top w:val="none" w:sz="0" w:space="0" w:color="auto"/>
        <w:left w:val="none" w:sz="0" w:space="0" w:color="auto"/>
        <w:bottom w:val="none" w:sz="0" w:space="0" w:color="auto"/>
        <w:right w:val="none" w:sz="0" w:space="0" w:color="auto"/>
      </w:divBdr>
    </w:div>
    <w:div w:id="274413817">
      <w:bodyDiv w:val="1"/>
      <w:marLeft w:val="0"/>
      <w:marRight w:val="0"/>
      <w:marTop w:val="0"/>
      <w:marBottom w:val="0"/>
      <w:divBdr>
        <w:top w:val="none" w:sz="0" w:space="0" w:color="auto"/>
        <w:left w:val="none" w:sz="0" w:space="0" w:color="auto"/>
        <w:bottom w:val="none" w:sz="0" w:space="0" w:color="auto"/>
        <w:right w:val="none" w:sz="0" w:space="0" w:color="auto"/>
      </w:divBdr>
    </w:div>
    <w:div w:id="274796643">
      <w:bodyDiv w:val="1"/>
      <w:marLeft w:val="0"/>
      <w:marRight w:val="0"/>
      <w:marTop w:val="0"/>
      <w:marBottom w:val="0"/>
      <w:divBdr>
        <w:top w:val="none" w:sz="0" w:space="0" w:color="auto"/>
        <w:left w:val="none" w:sz="0" w:space="0" w:color="auto"/>
        <w:bottom w:val="none" w:sz="0" w:space="0" w:color="auto"/>
        <w:right w:val="none" w:sz="0" w:space="0" w:color="auto"/>
      </w:divBdr>
    </w:div>
    <w:div w:id="277572134">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530723">
      <w:bodyDiv w:val="1"/>
      <w:marLeft w:val="0"/>
      <w:marRight w:val="0"/>
      <w:marTop w:val="0"/>
      <w:marBottom w:val="0"/>
      <w:divBdr>
        <w:top w:val="none" w:sz="0" w:space="0" w:color="auto"/>
        <w:left w:val="none" w:sz="0" w:space="0" w:color="auto"/>
        <w:bottom w:val="none" w:sz="0" w:space="0" w:color="auto"/>
        <w:right w:val="none" w:sz="0" w:space="0" w:color="auto"/>
      </w:divBdr>
    </w:div>
    <w:div w:id="395710698">
      <w:bodyDiv w:val="1"/>
      <w:marLeft w:val="0"/>
      <w:marRight w:val="0"/>
      <w:marTop w:val="0"/>
      <w:marBottom w:val="0"/>
      <w:divBdr>
        <w:top w:val="none" w:sz="0" w:space="0" w:color="auto"/>
        <w:left w:val="none" w:sz="0" w:space="0" w:color="auto"/>
        <w:bottom w:val="none" w:sz="0" w:space="0" w:color="auto"/>
        <w:right w:val="none" w:sz="0" w:space="0" w:color="auto"/>
      </w:divBdr>
    </w:div>
    <w:div w:id="418479741">
      <w:bodyDiv w:val="1"/>
      <w:marLeft w:val="0"/>
      <w:marRight w:val="0"/>
      <w:marTop w:val="0"/>
      <w:marBottom w:val="0"/>
      <w:divBdr>
        <w:top w:val="none" w:sz="0" w:space="0" w:color="auto"/>
        <w:left w:val="none" w:sz="0" w:space="0" w:color="auto"/>
        <w:bottom w:val="none" w:sz="0" w:space="0" w:color="auto"/>
        <w:right w:val="none" w:sz="0" w:space="0" w:color="auto"/>
      </w:divBdr>
    </w:div>
    <w:div w:id="454252909">
      <w:bodyDiv w:val="1"/>
      <w:marLeft w:val="0"/>
      <w:marRight w:val="0"/>
      <w:marTop w:val="0"/>
      <w:marBottom w:val="0"/>
      <w:divBdr>
        <w:top w:val="none" w:sz="0" w:space="0" w:color="auto"/>
        <w:left w:val="none" w:sz="0" w:space="0" w:color="auto"/>
        <w:bottom w:val="none" w:sz="0" w:space="0" w:color="auto"/>
        <w:right w:val="none" w:sz="0" w:space="0" w:color="auto"/>
      </w:divBdr>
      <w:divsChild>
        <w:div w:id="339770678">
          <w:marLeft w:val="0"/>
          <w:marRight w:val="0"/>
          <w:marTop w:val="0"/>
          <w:marBottom w:val="0"/>
          <w:divBdr>
            <w:top w:val="none" w:sz="0" w:space="0" w:color="auto"/>
            <w:left w:val="none" w:sz="0" w:space="0" w:color="auto"/>
            <w:bottom w:val="none" w:sz="0" w:space="0" w:color="auto"/>
            <w:right w:val="none" w:sz="0" w:space="0" w:color="auto"/>
          </w:divBdr>
          <w:divsChild>
            <w:div w:id="1939681677">
              <w:marLeft w:val="0"/>
              <w:marRight w:val="0"/>
              <w:marTop w:val="0"/>
              <w:marBottom w:val="0"/>
              <w:divBdr>
                <w:top w:val="none" w:sz="0" w:space="0" w:color="auto"/>
                <w:left w:val="none" w:sz="0" w:space="0" w:color="auto"/>
                <w:bottom w:val="none" w:sz="0" w:space="0" w:color="auto"/>
                <w:right w:val="none" w:sz="0" w:space="0" w:color="auto"/>
              </w:divBdr>
              <w:divsChild>
                <w:div w:id="11784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526">
          <w:marLeft w:val="0"/>
          <w:marRight w:val="0"/>
          <w:marTop w:val="0"/>
          <w:marBottom w:val="0"/>
          <w:divBdr>
            <w:top w:val="none" w:sz="0" w:space="0" w:color="auto"/>
            <w:left w:val="none" w:sz="0" w:space="0" w:color="auto"/>
            <w:bottom w:val="none" w:sz="0" w:space="0" w:color="auto"/>
            <w:right w:val="none" w:sz="0" w:space="0" w:color="auto"/>
          </w:divBdr>
          <w:divsChild>
            <w:div w:id="1877234446">
              <w:marLeft w:val="0"/>
              <w:marRight w:val="0"/>
              <w:marTop w:val="0"/>
              <w:marBottom w:val="0"/>
              <w:divBdr>
                <w:top w:val="none" w:sz="0" w:space="0" w:color="auto"/>
                <w:left w:val="none" w:sz="0" w:space="0" w:color="auto"/>
                <w:bottom w:val="none" w:sz="0" w:space="0" w:color="auto"/>
                <w:right w:val="none" w:sz="0" w:space="0" w:color="auto"/>
              </w:divBdr>
              <w:divsChild>
                <w:div w:id="954673408">
                  <w:marLeft w:val="0"/>
                  <w:marRight w:val="0"/>
                  <w:marTop w:val="0"/>
                  <w:marBottom w:val="0"/>
                  <w:divBdr>
                    <w:top w:val="none" w:sz="0" w:space="0" w:color="auto"/>
                    <w:left w:val="none" w:sz="0" w:space="0" w:color="auto"/>
                    <w:bottom w:val="none" w:sz="0" w:space="0" w:color="auto"/>
                    <w:right w:val="none" w:sz="0" w:space="0" w:color="auto"/>
                  </w:divBdr>
                  <w:divsChild>
                    <w:div w:id="9500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5696">
          <w:marLeft w:val="0"/>
          <w:marRight w:val="0"/>
          <w:marTop w:val="0"/>
          <w:marBottom w:val="0"/>
          <w:divBdr>
            <w:top w:val="none" w:sz="0" w:space="0" w:color="auto"/>
            <w:left w:val="none" w:sz="0" w:space="0" w:color="auto"/>
            <w:bottom w:val="none" w:sz="0" w:space="0" w:color="auto"/>
            <w:right w:val="none" w:sz="0" w:space="0" w:color="auto"/>
          </w:divBdr>
          <w:divsChild>
            <w:div w:id="1448424653">
              <w:marLeft w:val="0"/>
              <w:marRight w:val="0"/>
              <w:marTop w:val="0"/>
              <w:marBottom w:val="0"/>
              <w:divBdr>
                <w:top w:val="none" w:sz="0" w:space="0" w:color="auto"/>
                <w:left w:val="none" w:sz="0" w:space="0" w:color="auto"/>
                <w:bottom w:val="none" w:sz="0" w:space="0" w:color="auto"/>
                <w:right w:val="none" w:sz="0" w:space="0" w:color="auto"/>
              </w:divBdr>
              <w:divsChild>
                <w:div w:id="723875170">
                  <w:marLeft w:val="0"/>
                  <w:marRight w:val="0"/>
                  <w:marTop w:val="0"/>
                  <w:marBottom w:val="0"/>
                  <w:divBdr>
                    <w:top w:val="none" w:sz="0" w:space="0" w:color="auto"/>
                    <w:left w:val="none" w:sz="0" w:space="0" w:color="auto"/>
                    <w:bottom w:val="none" w:sz="0" w:space="0" w:color="auto"/>
                    <w:right w:val="none" w:sz="0" w:space="0" w:color="auto"/>
                  </w:divBdr>
                  <w:divsChild>
                    <w:div w:id="1408461252">
                      <w:marLeft w:val="0"/>
                      <w:marRight w:val="0"/>
                      <w:marTop w:val="0"/>
                      <w:marBottom w:val="0"/>
                      <w:divBdr>
                        <w:top w:val="none" w:sz="0" w:space="0" w:color="auto"/>
                        <w:left w:val="none" w:sz="0" w:space="0" w:color="auto"/>
                        <w:bottom w:val="none" w:sz="0" w:space="0" w:color="auto"/>
                        <w:right w:val="none" w:sz="0" w:space="0" w:color="auto"/>
                      </w:divBdr>
                      <w:divsChild>
                        <w:div w:id="1691879283">
                          <w:marLeft w:val="0"/>
                          <w:marRight w:val="0"/>
                          <w:marTop w:val="0"/>
                          <w:marBottom w:val="0"/>
                          <w:divBdr>
                            <w:top w:val="none" w:sz="0" w:space="0" w:color="auto"/>
                            <w:left w:val="none" w:sz="0" w:space="0" w:color="auto"/>
                            <w:bottom w:val="none" w:sz="0" w:space="0" w:color="auto"/>
                            <w:right w:val="none" w:sz="0" w:space="0" w:color="auto"/>
                          </w:divBdr>
                          <w:divsChild>
                            <w:div w:id="8637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25059">
      <w:bodyDiv w:val="1"/>
      <w:marLeft w:val="0"/>
      <w:marRight w:val="0"/>
      <w:marTop w:val="0"/>
      <w:marBottom w:val="0"/>
      <w:divBdr>
        <w:top w:val="none" w:sz="0" w:space="0" w:color="auto"/>
        <w:left w:val="none" w:sz="0" w:space="0" w:color="auto"/>
        <w:bottom w:val="none" w:sz="0" w:space="0" w:color="auto"/>
        <w:right w:val="none" w:sz="0" w:space="0" w:color="auto"/>
      </w:divBdr>
    </w:div>
    <w:div w:id="538129968">
      <w:bodyDiv w:val="1"/>
      <w:marLeft w:val="0"/>
      <w:marRight w:val="0"/>
      <w:marTop w:val="0"/>
      <w:marBottom w:val="0"/>
      <w:divBdr>
        <w:top w:val="none" w:sz="0" w:space="0" w:color="auto"/>
        <w:left w:val="none" w:sz="0" w:space="0" w:color="auto"/>
        <w:bottom w:val="none" w:sz="0" w:space="0" w:color="auto"/>
        <w:right w:val="none" w:sz="0" w:space="0" w:color="auto"/>
      </w:divBdr>
    </w:div>
    <w:div w:id="565262193">
      <w:bodyDiv w:val="1"/>
      <w:marLeft w:val="0"/>
      <w:marRight w:val="0"/>
      <w:marTop w:val="0"/>
      <w:marBottom w:val="0"/>
      <w:divBdr>
        <w:top w:val="none" w:sz="0" w:space="0" w:color="auto"/>
        <w:left w:val="none" w:sz="0" w:space="0" w:color="auto"/>
        <w:bottom w:val="none" w:sz="0" w:space="0" w:color="auto"/>
        <w:right w:val="none" w:sz="0" w:space="0" w:color="auto"/>
      </w:divBdr>
    </w:div>
    <w:div w:id="567616679">
      <w:bodyDiv w:val="1"/>
      <w:marLeft w:val="0"/>
      <w:marRight w:val="0"/>
      <w:marTop w:val="0"/>
      <w:marBottom w:val="0"/>
      <w:divBdr>
        <w:top w:val="none" w:sz="0" w:space="0" w:color="auto"/>
        <w:left w:val="none" w:sz="0" w:space="0" w:color="auto"/>
        <w:bottom w:val="none" w:sz="0" w:space="0" w:color="auto"/>
        <w:right w:val="none" w:sz="0" w:space="0" w:color="auto"/>
      </w:divBdr>
      <w:divsChild>
        <w:div w:id="1566070254">
          <w:marLeft w:val="0"/>
          <w:marRight w:val="0"/>
          <w:marTop w:val="0"/>
          <w:marBottom w:val="0"/>
          <w:divBdr>
            <w:top w:val="none" w:sz="0" w:space="0" w:color="auto"/>
            <w:left w:val="none" w:sz="0" w:space="0" w:color="auto"/>
            <w:bottom w:val="none" w:sz="0" w:space="0" w:color="auto"/>
            <w:right w:val="none" w:sz="0" w:space="0" w:color="auto"/>
          </w:divBdr>
          <w:divsChild>
            <w:div w:id="1555002365">
              <w:marLeft w:val="0"/>
              <w:marRight w:val="0"/>
              <w:marTop w:val="0"/>
              <w:marBottom w:val="0"/>
              <w:divBdr>
                <w:top w:val="none" w:sz="0" w:space="0" w:color="auto"/>
                <w:left w:val="none" w:sz="0" w:space="0" w:color="auto"/>
                <w:bottom w:val="none" w:sz="0" w:space="0" w:color="auto"/>
                <w:right w:val="none" w:sz="0" w:space="0" w:color="auto"/>
              </w:divBdr>
              <w:divsChild>
                <w:div w:id="19710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525">
          <w:marLeft w:val="0"/>
          <w:marRight w:val="0"/>
          <w:marTop w:val="0"/>
          <w:marBottom w:val="0"/>
          <w:divBdr>
            <w:top w:val="none" w:sz="0" w:space="0" w:color="auto"/>
            <w:left w:val="none" w:sz="0" w:space="0" w:color="auto"/>
            <w:bottom w:val="none" w:sz="0" w:space="0" w:color="auto"/>
            <w:right w:val="none" w:sz="0" w:space="0" w:color="auto"/>
          </w:divBdr>
          <w:divsChild>
            <w:div w:id="877665373">
              <w:marLeft w:val="0"/>
              <w:marRight w:val="0"/>
              <w:marTop w:val="0"/>
              <w:marBottom w:val="0"/>
              <w:divBdr>
                <w:top w:val="none" w:sz="0" w:space="0" w:color="auto"/>
                <w:left w:val="none" w:sz="0" w:space="0" w:color="auto"/>
                <w:bottom w:val="none" w:sz="0" w:space="0" w:color="auto"/>
                <w:right w:val="none" w:sz="0" w:space="0" w:color="auto"/>
              </w:divBdr>
              <w:divsChild>
                <w:div w:id="1300651783">
                  <w:marLeft w:val="0"/>
                  <w:marRight w:val="0"/>
                  <w:marTop w:val="0"/>
                  <w:marBottom w:val="0"/>
                  <w:divBdr>
                    <w:top w:val="none" w:sz="0" w:space="0" w:color="auto"/>
                    <w:left w:val="none" w:sz="0" w:space="0" w:color="auto"/>
                    <w:bottom w:val="none" w:sz="0" w:space="0" w:color="auto"/>
                    <w:right w:val="none" w:sz="0" w:space="0" w:color="auto"/>
                  </w:divBdr>
                  <w:divsChild>
                    <w:div w:id="1028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8019">
          <w:marLeft w:val="0"/>
          <w:marRight w:val="0"/>
          <w:marTop w:val="0"/>
          <w:marBottom w:val="0"/>
          <w:divBdr>
            <w:top w:val="none" w:sz="0" w:space="0" w:color="auto"/>
            <w:left w:val="none" w:sz="0" w:space="0" w:color="auto"/>
            <w:bottom w:val="none" w:sz="0" w:space="0" w:color="auto"/>
            <w:right w:val="none" w:sz="0" w:space="0" w:color="auto"/>
          </w:divBdr>
          <w:divsChild>
            <w:div w:id="652836110">
              <w:marLeft w:val="0"/>
              <w:marRight w:val="0"/>
              <w:marTop w:val="0"/>
              <w:marBottom w:val="0"/>
              <w:divBdr>
                <w:top w:val="none" w:sz="0" w:space="0" w:color="auto"/>
                <w:left w:val="none" w:sz="0" w:space="0" w:color="auto"/>
                <w:bottom w:val="none" w:sz="0" w:space="0" w:color="auto"/>
                <w:right w:val="none" w:sz="0" w:space="0" w:color="auto"/>
              </w:divBdr>
              <w:divsChild>
                <w:div w:id="1084450674">
                  <w:marLeft w:val="0"/>
                  <w:marRight w:val="0"/>
                  <w:marTop w:val="0"/>
                  <w:marBottom w:val="0"/>
                  <w:divBdr>
                    <w:top w:val="none" w:sz="0" w:space="0" w:color="auto"/>
                    <w:left w:val="none" w:sz="0" w:space="0" w:color="auto"/>
                    <w:bottom w:val="none" w:sz="0" w:space="0" w:color="auto"/>
                    <w:right w:val="none" w:sz="0" w:space="0" w:color="auto"/>
                  </w:divBdr>
                  <w:divsChild>
                    <w:div w:id="1901943749">
                      <w:marLeft w:val="0"/>
                      <w:marRight w:val="0"/>
                      <w:marTop w:val="0"/>
                      <w:marBottom w:val="0"/>
                      <w:divBdr>
                        <w:top w:val="none" w:sz="0" w:space="0" w:color="auto"/>
                        <w:left w:val="none" w:sz="0" w:space="0" w:color="auto"/>
                        <w:bottom w:val="none" w:sz="0" w:space="0" w:color="auto"/>
                        <w:right w:val="none" w:sz="0" w:space="0" w:color="auto"/>
                      </w:divBdr>
                      <w:divsChild>
                        <w:div w:id="1391923414">
                          <w:marLeft w:val="0"/>
                          <w:marRight w:val="0"/>
                          <w:marTop w:val="0"/>
                          <w:marBottom w:val="0"/>
                          <w:divBdr>
                            <w:top w:val="none" w:sz="0" w:space="0" w:color="auto"/>
                            <w:left w:val="none" w:sz="0" w:space="0" w:color="auto"/>
                            <w:bottom w:val="none" w:sz="0" w:space="0" w:color="auto"/>
                            <w:right w:val="none" w:sz="0" w:space="0" w:color="auto"/>
                          </w:divBdr>
                          <w:divsChild>
                            <w:div w:id="675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27280">
      <w:bodyDiv w:val="1"/>
      <w:marLeft w:val="0"/>
      <w:marRight w:val="0"/>
      <w:marTop w:val="0"/>
      <w:marBottom w:val="0"/>
      <w:divBdr>
        <w:top w:val="none" w:sz="0" w:space="0" w:color="auto"/>
        <w:left w:val="none" w:sz="0" w:space="0" w:color="auto"/>
        <w:bottom w:val="none" w:sz="0" w:space="0" w:color="auto"/>
        <w:right w:val="none" w:sz="0" w:space="0" w:color="auto"/>
      </w:divBdr>
    </w:div>
    <w:div w:id="584727944">
      <w:bodyDiv w:val="1"/>
      <w:marLeft w:val="0"/>
      <w:marRight w:val="0"/>
      <w:marTop w:val="0"/>
      <w:marBottom w:val="0"/>
      <w:divBdr>
        <w:top w:val="none" w:sz="0" w:space="0" w:color="auto"/>
        <w:left w:val="none" w:sz="0" w:space="0" w:color="auto"/>
        <w:bottom w:val="none" w:sz="0" w:space="0" w:color="auto"/>
        <w:right w:val="none" w:sz="0" w:space="0" w:color="auto"/>
      </w:divBdr>
    </w:div>
    <w:div w:id="598678193">
      <w:bodyDiv w:val="1"/>
      <w:marLeft w:val="0"/>
      <w:marRight w:val="0"/>
      <w:marTop w:val="0"/>
      <w:marBottom w:val="0"/>
      <w:divBdr>
        <w:top w:val="none" w:sz="0" w:space="0" w:color="auto"/>
        <w:left w:val="none" w:sz="0" w:space="0" w:color="auto"/>
        <w:bottom w:val="none" w:sz="0" w:space="0" w:color="auto"/>
        <w:right w:val="none" w:sz="0" w:space="0" w:color="auto"/>
      </w:divBdr>
    </w:div>
    <w:div w:id="612323249">
      <w:bodyDiv w:val="1"/>
      <w:marLeft w:val="0"/>
      <w:marRight w:val="0"/>
      <w:marTop w:val="0"/>
      <w:marBottom w:val="0"/>
      <w:divBdr>
        <w:top w:val="none" w:sz="0" w:space="0" w:color="auto"/>
        <w:left w:val="none" w:sz="0" w:space="0" w:color="auto"/>
        <w:bottom w:val="none" w:sz="0" w:space="0" w:color="auto"/>
        <w:right w:val="none" w:sz="0" w:space="0" w:color="auto"/>
      </w:divBdr>
    </w:div>
    <w:div w:id="650914755">
      <w:bodyDiv w:val="1"/>
      <w:marLeft w:val="0"/>
      <w:marRight w:val="0"/>
      <w:marTop w:val="0"/>
      <w:marBottom w:val="0"/>
      <w:divBdr>
        <w:top w:val="none" w:sz="0" w:space="0" w:color="auto"/>
        <w:left w:val="none" w:sz="0" w:space="0" w:color="auto"/>
        <w:bottom w:val="none" w:sz="0" w:space="0" w:color="auto"/>
        <w:right w:val="none" w:sz="0" w:space="0" w:color="auto"/>
      </w:divBdr>
    </w:div>
    <w:div w:id="680669998">
      <w:bodyDiv w:val="1"/>
      <w:marLeft w:val="0"/>
      <w:marRight w:val="0"/>
      <w:marTop w:val="0"/>
      <w:marBottom w:val="0"/>
      <w:divBdr>
        <w:top w:val="none" w:sz="0" w:space="0" w:color="auto"/>
        <w:left w:val="none" w:sz="0" w:space="0" w:color="auto"/>
        <w:bottom w:val="none" w:sz="0" w:space="0" w:color="auto"/>
        <w:right w:val="none" w:sz="0" w:space="0" w:color="auto"/>
      </w:divBdr>
    </w:div>
    <w:div w:id="682053509">
      <w:bodyDiv w:val="1"/>
      <w:marLeft w:val="0"/>
      <w:marRight w:val="0"/>
      <w:marTop w:val="0"/>
      <w:marBottom w:val="0"/>
      <w:divBdr>
        <w:top w:val="none" w:sz="0" w:space="0" w:color="auto"/>
        <w:left w:val="none" w:sz="0" w:space="0" w:color="auto"/>
        <w:bottom w:val="none" w:sz="0" w:space="0" w:color="auto"/>
        <w:right w:val="none" w:sz="0" w:space="0" w:color="auto"/>
      </w:divBdr>
    </w:div>
    <w:div w:id="693700651">
      <w:bodyDiv w:val="1"/>
      <w:marLeft w:val="0"/>
      <w:marRight w:val="0"/>
      <w:marTop w:val="0"/>
      <w:marBottom w:val="0"/>
      <w:divBdr>
        <w:top w:val="none" w:sz="0" w:space="0" w:color="auto"/>
        <w:left w:val="none" w:sz="0" w:space="0" w:color="auto"/>
        <w:bottom w:val="none" w:sz="0" w:space="0" w:color="auto"/>
        <w:right w:val="none" w:sz="0" w:space="0" w:color="auto"/>
      </w:divBdr>
      <w:divsChild>
        <w:div w:id="1132559430">
          <w:marLeft w:val="0"/>
          <w:marRight w:val="0"/>
          <w:marTop w:val="0"/>
          <w:marBottom w:val="0"/>
          <w:divBdr>
            <w:top w:val="none" w:sz="0" w:space="0" w:color="auto"/>
            <w:left w:val="none" w:sz="0" w:space="0" w:color="auto"/>
            <w:bottom w:val="none" w:sz="0" w:space="0" w:color="auto"/>
            <w:right w:val="none" w:sz="0" w:space="0" w:color="auto"/>
          </w:divBdr>
          <w:divsChild>
            <w:div w:id="600333510">
              <w:marLeft w:val="0"/>
              <w:marRight w:val="0"/>
              <w:marTop w:val="0"/>
              <w:marBottom w:val="0"/>
              <w:divBdr>
                <w:top w:val="none" w:sz="0" w:space="0" w:color="auto"/>
                <w:left w:val="none" w:sz="0" w:space="0" w:color="auto"/>
                <w:bottom w:val="none" w:sz="0" w:space="0" w:color="auto"/>
                <w:right w:val="none" w:sz="0" w:space="0" w:color="auto"/>
              </w:divBdr>
              <w:divsChild>
                <w:div w:id="6418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4950">
      <w:bodyDiv w:val="1"/>
      <w:marLeft w:val="0"/>
      <w:marRight w:val="0"/>
      <w:marTop w:val="0"/>
      <w:marBottom w:val="0"/>
      <w:divBdr>
        <w:top w:val="none" w:sz="0" w:space="0" w:color="auto"/>
        <w:left w:val="none" w:sz="0" w:space="0" w:color="auto"/>
        <w:bottom w:val="none" w:sz="0" w:space="0" w:color="auto"/>
        <w:right w:val="none" w:sz="0" w:space="0" w:color="auto"/>
      </w:divBdr>
    </w:div>
    <w:div w:id="737482783">
      <w:bodyDiv w:val="1"/>
      <w:marLeft w:val="0"/>
      <w:marRight w:val="0"/>
      <w:marTop w:val="0"/>
      <w:marBottom w:val="0"/>
      <w:divBdr>
        <w:top w:val="none" w:sz="0" w:space="0" w:color="auto"/>
        <w:left w:val="none" w:sz="0" w:space="0" w:color="auto"/>
        <w:bottom w:val="none" w:sz="0" w:space="0" w:color="auto"/>
        <w:right w:val="none" w:sz="0" w:space="0" w:color="auto"/>
      </w:divBdr>
      <w:divsChild>
        <w:div w:id="1455712248">
          <w:marLeft w:val="0"/>
          <w:marRight w:val="0"/>
          <w:marTop w:val="0"/>
          <w:marBottom w:val="0"/>
          <w:divBdr>
            <w:top w:val="none" w:sz="0" w:space="0" w:color="auto"/>
            <w:left w:val="none" w:sz="0" w:space="0" w:color="auto"/>
            <w:bottom w:val="none" w:sz="0" w:space="0" w:color="auto"/>
            <w:right w:val="none" w:sz="0" w:space="0" w:color="auto"/>
          </w:divBdr>
          <w:divsChild>
            <w:div w:id="243536192">
              <w:marLeft w:val="0"/>
              <w:marRight w:val="0"/>
              <w:marTop w:val="0"/>
              <w:marBottom w:val="0"/>
              <w:divBdr>
                <w:top w:val="none" w:sz="0" w:space="0" w:color="auto"/>
                <w:left w:val="none" w:sz="0" w:space="0" w:color="auto"/>
                <w:bottom w:val="none" w:sz="0" w:space="0" w:color="auto"/>
                <w:right w:val="none" w:sz="0" w:space="0" w:color="auto"/>
              </w:divBdr>
              <w:divsChild>
                <w:div w:id="1727756644">
                  <w:marLeft w:val="0"/>
                  <w:marRight w:val="0"/>
                  <w:marTop w:val="0"/>
                  <w:marBottom w:val="0"/>
                  <w:divBdr>
                    <w:top w:val="none" w:sz="0" w:space="0" w:color="auto"/>
                    <w:left w:val="none" w:sz="0" w:space="0" w:color="auto"/>
                    <w:bottom w:val="none" w:sz="0" w:space="0" w:color="auto"/>
                    <w:right w:val="none" w:sz="0" w:space="0" w:color="auto"/>
                  </w:divBdr>
                  <w:divsChild>
                    <w:div w:id="8290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46366">
      <w:bodyDiv w:val="1"/>
      <w:marLeft w:val="0"/>
      <w:marRight w:val="0"/>
      <w:marTop w:val="0"/>
      <w:marBottom w:val="0"/>
      <w:divBdr>
        <w:top w:val="none" w:sz="0" w:space="0" w:color="auto"/>
        <w:left w:val="none" w:sz="0" w:space="0" w:color="auto"/>
        <w:bottom w:val="none" w:sz="0" w:space="0" w:color="auto"/>
        <w:right w:val="none" w:sz="0" w:space="0" w:color="auto"/>
      </w:divBdr>
    </w:div>
    <w:div w:id="808284446">
      <w:bodyDiv w:val="1"/>
      <w:marLeft w:val="0"/>
      <w:marRight w:val="0"/>
      <w:marTop w:val="0"/>
      <w:marBottom w:val="0"/>
      <w:divBdr>
        <w:top w:val="none" w:sz="0" w:space="0" w:color="auto"/>
        <w:left w:val="none" w:sz="0" w:space="0" w:color="auto"/>
        <w:bottom w:val="none" w:sz="0" w:space="0" w:color="auto"/>
        <w:right w:val="none" w:sz="0" w:space="0" w:color="auto"/>
      </w:divBdr>
    </w:div>
    <w:div w:id="841160704">
      <w:bodyDiv w:val="1"/>
      <w:marLeft w:val="0"/>
      <w:marRight w:val="0"/>
      <w:marTop w:val="0"/>
      <w:marBottom w:val="0"/>
      <w:divBdr>
        <w:top w:val="none" w:sz="0" w:space="0" w:color="auto"/>
        <w:left w:val="none" w:sz="0" w:space="0" w:color="auto"/>
        <w:bottom w:val="none" w:sz="0" w:space="0" w:color="auto"/>
        <w:right w:val="none" w:sz="0" w:space="0" w:color="auto"/>
      </w:divBdr>
    </w:div>
    <w:div w:id="923608803">
      <w:bodyDiv w:val="1"/>
      <w:marLeft w:val="0"/>
      <w:marRight w:val="0"/>
      <w:marTop w:val="0"/>
      <w:marBottom w:val="0"/>
      <w:divBdr>
        <w:top w:val="none" w:sz="0" w:space="0" w:color="auto"/>
        <w:left w:val="none" w:sz="0" w:space="0" w:color="auto"/>
        <w:bottom w:val="none" w:sz="0" w:space="0" w:color="auto"/>
        <w:right w:val="none" w:sz="0" w:space="0" w:color="auto"/>
      </w:divBdr>
      <w:divsChild>
        <w:div w:id="284118316">
          <w:marLeft w:val="0"/>
          <w:marRight w:val="0"/>
          <w:marTop w:val="0"/>
          <w:marBottom w:val="0"/>
          <w:divBdr>
            <w:top w:val="none" w:sz="0" w:space="0" w:color="auto"/>
            <w:left w:val="none" w:sz="0" w:space="0" w:color="auto"/>
            <w:bottom w:val="none" w:sz="0" w:space="0" w:color="auto"/>
            <w:right w:val="none" w:sz="0" w:space="0" w:color="auto"/>
          </w:divBdr>
          <w:divsChild>
            <w:div w:id="756899030">
              <w:marLeft w:val="0"/>
              <w:marRight w:val="0"/>
              <w:marTop w:val="0"/>
              <w:marBottom w:val="0"/>
              <w:divBdr>
                <w:top w:val="none" w:sz="0" w:space="0" w:color="auto"/>
                <w:left w:val="none" w:sz="0" w:space="0" w:color="auto"/>
                <w:bottom w:val="none" w:sz="0" w:space="0" w:color="auto"/>
                <w:right w:val="none" w:sz="0" w:space="0" w:color="auto"/>
              </w:divBdr>
              <w:divsChild>
                <w:div w:id="1041056844">
                  <w:marLeft w:val="0"/>
                  <w:marRight w:val="0"/>
                  <w:marTop w:val="0"/>
                  <w:marBottom w:val="0"/>
                  <w:divBdr>
                    <w:top w:val="none" w:sz="0" w:space="0" w:color="auto"/>
                    <w:left w:val="none" w:sz="0" w:space="0" w:color="auto"/>
                    <w:bottom w:val="none" w:sz="0" w:space="0" w:color="auto"/>
                    <w:right w:val="none" w:sz="0" w:space="0" w:color="auto"/>
                  </w:divBdr>
                  <w:divsChild>
                    <w:div w:id="14928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72345">
      <w:bodyDiv w:val="1"/>
      <w:marLeft w:val="0"/>
      <w:marRight w:val="0"/>
      <w:marTop w:val="0"/>
      <w:marBottom w:val="0"/>
      <w:divBdr>
        <w:top w:val="none" w:sz="0" w:space="0" w:color="auto"/>
        <w:left w:val="none" w:sz="0" w:space="0" w:color="auto"/>
        <w:bottom w:val="none" w:sz="0" w:space="0" w:color="auto"/>
        <w:right w:val="none" w:sz="0" w:space="0" w:color="auto"/>
      </w:divBdr>
    </w:div>
    <w:div w:id="941769037">
      <w:bodyDiv w:val="1"/>
      <w:marLeft w:val="0"/>
      <w:marRight w:val="0"/>
      <w:marTop w:val="0"/>
      <w:marBottom w:val="0"/>
      <w:divBdr>
        <w:top w:val="none" w:sz="0" w:space="0" w:color="auto"/>
        <w:left w:val="none" w:sz="0" w:space="0" w:color="auto"/>
        <w:bottom w:val="none" w:sz="0" w:space="0" w:color="auto"/>
        <w:right w:val="none" w:sz="0" w:space="0" w:color="auto"/>
      </w:divBdr>
    </w:div>
    <w:div w:id="958803426">
      <w:bodyDiv w:val="1"/>
      <w:marLeft w:val="0"/>
      <w:marRight w:val="0"/>
      <w:marTop w:val="0"/>
      <w:marBottom w:val="0"/>
      <w:divBdr>
        <w:top w:val="none" w:sz="0" w:space="0" w:color="auto"/>
        <w:left w:val="none" w:sz="0" w:space="0" w:color="auto"/>
        <w:bottom w:val="none" w:sz="0" w:space="0" w:color="auto"/>
        <w:right w:val="none" w:sz="0" w:space="0" w:color="auto"/>
      </w:divBdr>
      <w:divsChild>
        <w:div w:id="305622696">
          <w:marLeft w:val="0"/>
          <w:marRight w:val="0"/>
          <w:marTop w:val="0"/>
          <w:marBottom w:val="0"/>
          <w:divBdr>
            <w:top w:val="none" w:sz="0" w:space="0" w:color="auto"/>
            <w:left w:val="none" w:sz="0" w:space="0" w:color="auto"/>
            <w:bottom w:val="none" w:sz="0" w:space="0" w:color="auto"/>
            <w:right w:val="none" w:sz="0" w:space="0" w:color="auto"/>
          </w:divBdr>
          <w:divsChild>
            <w:div w:id="1091388488">
              <w:marLeft w:val="0"/>
              <w:marRight w:val="0"/>
              <w:marTop w:val="0"/>
              <w:marBottom w:val="0"/>
              <w:divBdr>
                <w:top w:val="none" w:sz="0" w:space="0" w:color="auto"/>
                <w:left w:val="none" w:sz="0" w:space="0" w:color="auto"/>
                <w:bottom w:val="none" w:sz="0" w:space="0" w:color="auto"/>
                <w:right w:val="none" w:sz="0" w:space="0" w:color="auto"/>
              </w:divBdr>
              <w:divsChild>
                <w:div w:id="18993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2633">
      <w:bodyDiv w:val="1"/>
      <w:marLeft w:val="0"/>
      <w:marRight w:val="0"/>
      <w:marTop w:val="0"/>
      <w:marBottom w:val="0"/>
      <w:divBdr>
        <w:top w:val="none" w:sz="0" w:space="0" w:color="auto"/>
        <w:left w:val="none" w:sz="0" w:space="0" w:color="auto"/>
        <w:bottom w:val="none" w:sz="0" w:space="0" w:color="auto"/>
        <w:right w:val="none" w:sz="0" w:space="0" w:color="auto"/>
      </w:divBdr>
    </w:div>
    <w:div w:id="1071077830">
      <w:bodyDiv w:val="1"/>
      <w:marLeft w:val="0"/>
      <w:marRight w:val="0"/>
      <w:marTop w:val="0"/>
      <w:marBottom w:val="0"/>
      <w:divBdr>
        <w:top w:val="none" w:sz="0" w:space="0" w:color="auto"/>
        <w:left w:val="none" w:sz="0" w:space="0" w:color="auto"/>
        <w:bottom w:val="none" w:sz="0" w:space="0" w:color="auto"/>
        <w:right w:val="none" w:sz="0" w:space="0" w:color="auto"/>
      </w:divBdr>
    </w:div>
    <w:div w:id="1074472622">
      <w:bodyDiv w:val="1"/>
      <w:marLeft w:val="0"/>
      <w:marRight w:val="0"/>
      <w:marTop w:val="0"/>
      <w:marBottom w:val="0"/>
      <w:divBdr>
        <w:top w:val="none" w:sz="0" w:space="0" w:color="auto"/>
        <w:left w:val="none" w:sz="0" w:space="0" w:color="auto"/>
        <w:bottom w:val="none" w:sz="0" w:space="0" w:color="auto"/>
        <w:right w:val="none" w:sz="0" w:space="0" w:color="auto"/>
      </w:divBdr>
    </w:div>
    <w:div w:id="1105881260">
      <w:bodyDiv w:val="1"/>
      <w:marLeft w:val="0"/>
      <w:marRight w:val="0"/>
      <w:marTop w:val="0"/>
      <w:marBottom w:val="0"/>
      <w:divBdr>
        <w:top w:val="none" w:sz="0" w:space="0" w:color="auto"/>
        <w:left w:val="none" w:sz="0" w:space="0" w:color="auto"/>
        <w:bottom w:val="none" w:sz="0" w:space="0" w:color="auto"/>
        <w:right w:val="none" w:sz="0" w:space="0" w:color="auto"/>
      </w:divBdr>
    </w:div>
    <w:div w:id="1153255503">
      <w:bodyDiv w:val="1"/>
      <w:marLeft w:val="0"/>
      <w:marRight w:val="0"/>
      <w:marTop w:val="0"/>
      <w:marBottom w:val="0"/>
      <w:divBdr>
        <w:top w:val="none" w:sz="0" w:space="0" w:color="auto"/>
        <w:left w:val="none" w:sz="0" w:space="0" w:color="auto"/>
        <w:bottom w:val="none" w:sz="0" w:space="0" w:color="auto"/>
        <w:right w:val="none" w:sz="0" w:space="0" w:color="auto"/>
      </w:divBdr>
    </w:div>
    <w:div w:id="1155492714">
      <w:bodyDiv w:val="1"/>
      <w:marLeft w:val="0"/>
      <w:marRight w:val="0"/>
      <w:marTop w:val="0"/>
      <w:marBottom w:val="0"/>
      <w:divBdr>
        <w:top w:val="none" w:sz="0" w:space="0" w:color="auto"/>
        <w:left w:val="none" w:sz="0" w:space="0" w:color="auto"/>
        <w:bottom w:val="none" w:sz="0" w:space="0" w:color="auto"/>
        <w:right w:val="none" w:sz="0" w:space="0" w:color="auto"/>
      </w:divBdr>
    </w:div>
    <w:div w:id="1157838589">
      <w:bodyDiv w:val="1"/>
      <w:marLeft w:val="0"/>
      <w:marRight w:val="0"/>
      <w:marTop w:val="0"/>
      <w:marBottom w:val="0"/>
      <w:divBdr>
        <w:top w:val="none" w:sz="0" w:space="0" w:color="auto"/>
        <w:left w:val="none" w:sz="0" w:space="0" w:color="auto"/>
        <w:bottom w:val="none" w:sz="0" w:space="0" w:color="auto"/>
        <w:right w:val="none" w:sz="0" w:space="0" w:color="auto"/>
      </w:divBdr>
    </w:div>
    <w:div w:id="1213152635">
      <w:bodyDiv w:val="1"/>
      <w:marLeft w:val="0"/>
      <w:marRight w:val="0"/>
      <w:marTop w:val="0"/>
      <w:marBottom w:val="0"/>
      <w:divBdr>
        <w:top w:val="none" w:sz="0" w:space="0" w:color="auto"/>
        <w:left w:val="none" w:sz="0" w:space="0" w:color="auto"/>
        <w:bottom w:val="none" w:sz="0" w:space="0" w:color="auto"/>
        <w:right w:val="none" w:sz="0" w:space="0" w:color="auto"/>
      </w:divBdr>
    </w:div>
    <w:div w:id="1290823347">
      <w:bodyDiv w:val="1"/>
      <w:marLeft w:val="0"/>
      <w:marRight w:val="0"/>
      <w:marTop w:val="0"/>
      <w:marBottom w:val="0"/>
      <w:divBdr>
        <w:top w:val="none" w:sz="0" w:space="0" w:color="auto"/>
        <w:left w:val="none" w:sz="0" w:space="0" w:color="auto"/>
        <w:bottom w:val="none" w:sz="0" w:space="0" w:color="auto"/>
        <w:right w:val="none" w:sz="0" w:space="0" w:color="auto"/>
      </w:divBdr>
      <w:divsChild>
        <w:div w:id="774178461">
          <w:marLeft w:val="0"/>
          <w:marRight w:val="0"/>
          <w:marTop w:val="0"/>
          <w:marBottom w:val="0"/>
          <w:divBdr>
            <w:top w:val="none" w:sz="0" w:space="0" w:color="auto"/>
            <w:left w:val="none" w:sz="0" w:space="0" w:color="auto"/>
            <w:bottom w:val="none" w:sz="0" w:space="0" w:color="auto"/>
            <w:right w:val="none" w:sz="0" w:space="0" w:color="auto"/>
          </w:divBdr>
          <w:divsChild>
            <w:div w:id="1902593410">
              <w:marLeft w:val="0"/>
              <w:marRight w:val="0"/>
              <w:marTop w:val="0"/>
              <w:marBottom w:val="0"/>
              <w:divBdr>
                <w:top w:val="none" w:sz="0" w:space="0" w:color="auto"/>
                <w:left w:val="none" w:sz="0" w:space="0" w:color="auto"/>
                <w:bottom w:val="none" w:sz="0" w:space="0" w:color="auto"/>
                <w:right w:val="none" w:sz="0" w:space="0" w:color="auto"/>
              </w:divBdr>
              <w:divsChild>
                <w:div w:id="1318805393">
                  <w:marLeft w:val="0"/>
                  <w:marRight w:val="0"/>
                  <w:marTop w:val="0"/>
                  <w:marBottom w:val="0"/>
                  <w:divBdr>
                    <w:top w:val="none" w:sz="0" w:space="0" w:color="auto"/>
                    <w:left w:val="none" w:sz="0" w:space="0" w:color="auto"/>
                    <w:bottom w:val="none" w:sz="0" w:space="0" w:color="auto"/>
                    <w:right w:val="none" w:sz="0" w:space="0" w:color="auto"/>
                  </w:divBdr>
                  <w:divsChild>
                    <w:div w:id="805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9276">
      <w:bodyDiv w:val="1"/>
      <w:marLeft w:val="0"/>
      <w:marRight w:val="0"/>
      <w:marTop w:val="0"/>
      <w:marBottom w:val="0"/>
      <w:divBdr>
        <w:top w:val="none" w:sz="0" w:space="0" w:color="auto"/>
        <w:left w:val="none" w:sz="0" w:space="0" w:color="auto"/>
        <w:bottom w:val="none" w:sz="0" w:space="0" w:color="auto"/>
        <w:right w:val="none" w:sz="0" w:space="0" w:color="auto"/>
      </w:divBdr>
    </w:div>
    <w:div w:id="1462772163">
      <w:bodyDiv w:val="1"/>
      <w:marLeft w:val="0"/>
      <w:marRight w:val="0"/>
      <w:marTop w:val="0"/>
      <w:marBottom w:val="0"/>
      <w:divBdr>
        <w:top w:val="none" w:sz="0" w:space="0" w:color="auto"/>
        <w:left w:val="none" w:sz="0" w:space="0" w:color="auto"/>
        <w:bottom w:val="none" w:sz="0" w:space="0" w:color="auto"/>
        <w:right w:val="none" w:sz="0" w:space="0" w:color="auto"/>
      </w:divBdr>
    </w:div>
    <w:div w:id="1489443013">
      <w:bodyDiv w:val="1"/>
      <w:marLeft w:val="0"/>
      <w:marRight w:val="0"/>
      <w:marTop w:val="0"/>
      <w:marBottom w:val="0"/>
      <w:divBdr>
        <w:top w:val="none" w:sz="0" w:space="0" w:color="auto"/>
        <w:left w:val="none" w:sz="0" w:space="0" w:color="auto"/>
        <w:bottom w:val="none" w:sz="0" w:space="0" w:color="auto"/>
        <w:right w:val="none" w:sz="0" w:space="0" w:color="auto"/>
      </w:divBdr>
    </w:div>
    <w:div w:id="1502425124">
      <w:bodyDiv w:val="1"/>
      <w:marLeft w:val="0"/>
      <w:marRight w:val="0"/>
      <w:marTop w:val="0"/>
      <w:marBottom w:val="0"/>
      <w:divBdr>
        <w:top w:val="none" w:sz="0" w:space="0" w:color="auto"/>
        <w:left w:val="none" w:sz="0" w:space="0" w:color="auto"/>
        <w:bottom w:val="none" w:sz="0" w:space="0" w:color="auto"/>
        <w:right w:val="none" w:sz="0" w:space="0" w:color="auto"/>
      </w:divBdr>
    </w:div>
    <w:div w:id="1511211855">
      <w:bodyDiv w:val="1"/>
      <w:marLeft w:val="0"/>
      <w:marRight w:val="0"/>
      <w:marTop w:val="0"/>
      <w:marBottom w:val="0"/>
      <w:divBdr>
        <w:top w:val="none" w:sz="0" w:space="0" w:color="auto"/>
        <w:left w:val="none" w:sz="0" w:space="0" w:color="auto"/>
        <w:bottom w:val="none" w:sz="0" w:space="0" w:color="auto"/>
        <w:right w:val="none" w:sz="0" w:space="0" w:color="auto"/>
      </w:divBdr>
    </w:div>
    <w:div w:id="1517383665">
      <w:bodyDiv w:val="1"/>
      <w:marLeft w:val="0"/>
      <w:marRight w:val="0"/>
      <w:marTop w:val="0"/>
      <w:marBottom w:val="0"/>
      <w:divBdr>
        <w:top w:val="none" w:sz="0" w:space="0" w:color="auto"/>
        <w:left w:val="none" w:sz="0" w:space="0" w:color="auto"/>
        <w:bottom w:val="none" w:sz="0" w:space="0" w:color="auto"/>
        <w:right w:val="none" w:sz="0" w:space="0" w:color="auto"/>
      </w:divBdr>
    </w:div>
    <w:div w:id="1531798534">
      <w:bodyDiv w:val="1"/>
      <w:marLeft w:val="0"/>
      <w:marRight w:val="0"/>
      <w:marTop w:val="0"/>
      <w:marBottom w:val="0"/>
      <w:divBdr>
        <w:top w:val="none" w:sz="0" w:space="0" w:color="auto"/>
        <w:left w:val="none" w:sz="0" w:space="0" w:color="auto"/>
        <w:bottom w:val="none" w:sz="0" w:space="0" w:color="auto"/>
        <w:right w:val="none" w:sz="0" w:space="0" w:color="auto"/>
      </w:divBdr>
    </w:div>
    <w:div w:id="1568303056">
      <w:bodyDiv w:val="1"/>
      <w:marLeft w:val="0"/>
      <w:marRight w:val="0"/>
      <w:marTop w:val="0"/>
      <w:marBottom w:val="0"/>
      <w:divBdr>
        <w:top w:val="none" w:sz="0" w:space="0" w:color="auto"/>
        <w:left w:val="none" w:sz="0" w:space="0" w:color="auto"/>
        <w:bottom w:val="none" w:sz="0" w:space="0" w:color="auto"/>
        <w:right w:val="none" w:sz="0" w:space="0" w:color="auto"/>
      </w:divBdr>
    </w:div>
    <w:div w:id="1584531975">
      <w:bodyDiv w:val="1"/>
      <w:marLeft w:val="0"/>
      <w:marRight w:val="0"/>
      <w:marTop w:val="0"/>
      <w:marBottom w:val="0"/>
      <w:divBdr>
        <w:top w:val="none" w:sz="0" w:space="0" w:color="auto"/>
        <w:left w:val="none" w:sz="0" w:space="0" w:color="auto"/>
        <w:bottom w:val="none" w:sz="0" w:space="0" w:color="auto"/>
        <w:right w:val="none" w:sz="0" w:space="0" w:color="auto"/>
      </w:divBdr>
    </w:div>
    <w:div w:id="1651014367">
      <w:bodyDiv w:val="1"/>
      <w:marLeft w:val="0"/>
      <w:marRight w:val="0"/>
      <w:marTop w:val="0"/>
      <w:marBottom w:val="0"/>
      <w:divBdr>
        <w:top w:val="none" w:sz="0" w:space="0" w:color="auto"/>
        <w:left w:val="none" w:sz="0" w:space="0" w:color="auto"/>
        <w:bottom w:val="none" w:sz="0" w:space="0" w:color="auto"/>
        <w:right w:val="none" w:sz="0" w:space="0" w:color="auto"/>
      </w:divBdr>
      <w:divsChild>
        <w:div w:id="146170149">
          <w:marLeft w:val="0"/>
          <w:marRight w:val="0"/>
          <w:marTop w:val="0"/>
          <w:marBottom w:val="0"/>
          <w:divBdr>
            <w:top w:val="none" w:sz="0" w:space="0" w:color="auto"/>
            <w:left w:val="none" w:sz="0" w:space="0" w:color="auto"/>
            <w:bottom w:val="none" w:sz="0" w:space="0" w:color="auto"/>
            <w:right w:val="none" w:sz="0" w:space="0" w:color="auto"/>
          </w:divBdr>
          <w:divsChild>
            <w:div w:id="915473702">
              <w:marLeft w:val="0"/>
              <w:marRight w:val="0"/>
              <w:marTop w:val="0"/>
              <w:marBottom w:val="0"/>
              <w:divBdr>
                <w:top w:val="none" w:sz="0" w:space="0" w:color="auto"/>
                <w:left w:val="none" w:sz="0" w:space="0" w:color="auto"/>
                <w:bottom w:val="none" w:sz="0" w:space="0" w:color="auto"/>
                <w:right w:val="none" w:sz="0" w:space="0" w:color="auto"/>
              </w:divBdr>
              <w:divsChild>
                <w:div w:id="1363633828">
                  <w:marLeft w:val="0"/>
                  <w:marRight w:val="0"/>
                  <w:marTop w:val="0"/>
                  <w:marBottom w:val="0"/>
                  <w:divBdr>
                    <w:top w:val="none" w:sz="0" w:space="0" w:color="auto"/>
                    <w:left w:val="none" w:sz="0" w:space="0" w:color="auto"/>
                    <w:bottom w:val="none" w:sz="0" w:space="0" w:color="auto"/>
                    <w:right w:val="none" w:sz="0" w:space="0" w:color="auto"/>
                  </w:divBdr>
                  <w:divsChild>
                    <w:div w:id="10099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2692">
      <w:bodyDiv w:val="1"/>
      <w:marLeft w:val="0"/>
      <w:marRight w:val="0"/>
      <w:marTop w:val="0"/>
      <w:marBottom w:val="0"/>
      <w:divBdr>
        <w:top w:val="none" w:sz="0" w:space="0" w:color="auto"/>
        <w:left w:val="none" w:sz="0" w:space="0" w:color="auto"/>
        <w:bottom w:val="none" w:sz="0" w:space="0" w:color="auto"/>
        <w:right w:val="none" w:sz="0" w:space="0" w:color="auto"/>
      </w:divBdr>
      <w:divsChild>
        <w:div w:id="1077946843">
          <w:marLeft w:val="0"/>
          <w:marRight w:val="0"/>
          <w:marTop w:val="0"/>
          <w:marBottom w:val="0"/>
          <w:divBdr>
            <w:top w:val="none" w:sz="0" w:space="0" w:color="auto"/>
            <w:left w:val="none" w:sz="0" w:space="0" w:color="auto"/>
            <w:bottom w:val="none" w:sz="0" w:space="0" w:color="auto"/>
            <w:right w:val="none" w:sz="0" w:space="0" w:color="auto"/>
          </w:divBdr>
          <w:divsChild>
            <w:div w:id="1333489059">
              <w:marLeft w:val="0"/>
              <w:marRight w:val="0"/>
              <w:marTop w:val="0"/>
              <w:marBottom w:val="0"/>
              <w:divBdr>
                <w:top w:val="none" w:sz="0" w:space="0" w:color="auto"/>
                <w:left w:val="none" w:sz="0" w:space="0" w:color="auto"/>
                <w:bottom w:val="none" w:sz="0" w:space="0" w:color="auto"/>
                <w:right w:val="none" w:sz="0" w:space="0" w:color="auto"/>
              </w:divBdr>
              <w:divsChild>
                <w:div w:id="20474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0543">
          <w:marLeft w:val="0"/>
          <w:marRight w:val="0"/>
          <w:marTop w:val="0"/>
          <w:marBottom w:val="0"/>
          <w:divBdr>
            <w:top w:val="none" w:sz="0" w:space="0" w:color="auto"/>
            <w:left w:val="none" w:sz="0" w:space="0" w:color="auto"/>
            <w:bottom w:val="none" w:sz="0" w:space="0" w:color="auto"/>
            <w:right w:val="none" w:sz="0" w:space="0" w:color="auto"/>
          </w:divBdr>
          <w:divsChild>
            <w:div w:id="1838644778">
              <w:marLeft w:val="0"/>
              <w:marRight w:val="0"/>
              <w:marTop w:val="0"/>
              <w:marBottom w:val="0"/>
              <w:divBdr>
                <w:top w:val="none" w:sz="0" w:space="0" w:color="auto"/>
                <w:left w:val="none" w:sz="0" w:space="0" w:color="auto"/>
                <w:bottom w:val="none" w:sz="0" w:space="0" w:color="auto"/>
                <w:right w:val="none" w:sz="0" w:space="0" w:color="auto"/>
              </w:divBdr>
              <w:divsChild>
                <w:div w:id="949974444">
                  <w:marLeft w:val="0"/>
                  <w:marRight w:val="0"/>
                  <w:marTop w:val="0"/>
                  <w:marBottom w:val="0"/>
                  <w:divBdr>
                    <w:top w:val="none" w:sz="0" w:space="0" w:color="auto"/>
                    <w:left w:val="none" w:sz="0" w:space="0" w:color="auto"/>
                    <w:bottom w:val="none" w:sz="0" w:space="0" w:color="auto"/>
                    <w:right w:val="none" w:sz="0" w:space="0" w:color="auto"/>
                  </w:divBdr>
                  <w:divsChild>
                    <w:div w:id="14619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6755">
          <w:marLeft w:val="0"/>
          <w:marRight w:val="0"/>
          <w:marTop w:val="0"/>
          <w:marBottom w:val="0"/>
          <w:divBdr>
            <w:top w:val="none" w:sz="0" w:space="0" w:color="auto"/>
            <w:left w:val="none" w:sz="0" w:space="0" w:color="auto"/>
            <w:bottom w:val="none" w:sz="0" w:space="0" w:color="auto"/>
            <w:right w:val="none" w:sz="0" w:space="0" w:color="auto"/>
          </w:divBdr>
          <w:divsChild>
            <w:div w:id="1300572681">
              <w:marLeft w:val="0"/>
              <w:marRight w:val="0"/>
              <w:marTop w:val="0"/>
              <w:marBottom w:val="0"/>
              <w:divBdr>
                <w:top w:val="none" w:sz="0" w:space="0" w:color="auto"/>
                <w:left w:val="none" w:sz="0" w:space="0" w:color="auto"/>
                <w:bottom w:val="none" w:sz="0" w:space="0" w:color="auto"/>
                <w:right w:val="none" w:sz="0" w:space="0" w:color="auto"/>
              </w:divBdr>
              <w:divsChild>
                <w:div w:id="924994117">
                  <w:marLeft w:val="0"/>
                  <w:marRight w:val="0"/>
                  <w:marTop w:val="0"/>
                  <w:marBottom w:val="0"/>
                  <w:divBdr>
                    <w:top w:val="none" w:sz="0" w:space="0" w:color="auto"/>
                    <w:left w:val="none" w:sz="0" w:space="0" w:color="auto"/>
                    <w:bottom w:val="none" w:sz="0" w:space="0" w:color="auto"/>
                    <w:right w:val="none" w:sz="0" w:space="0" w:color="auto"/>
                  </w:divBdr>
                  <w:divsChild>
                    <w:div w:id="1013606042">
                      <w:marLeft w:val="0"/>
                      <w:marRight w:val="0"/>
                      <w:marTop w:val="0"/>
                      <w:marBottom w:val="0"/>
                      <w:divBdr>
                        <w:top w:val="none" w:sz="0" w:space="0" w:color="auto"/>
                        <w:left w:val="none" w:sz="0" w:space="0" w:color="auto"/>
                        <w:bottom w:val="none" w:sz="0" w:space="0" w:color="auto"/>
                        <w:right w:val="none" w:sz="0" w:space="0" w:color="auto"/>
                      </w:divBdr>
                      <w:divsChild>
                        <w:div w:id="1856067101">
                          <w:marLeft w:val="0"/>
                          <w:marRight w:val="0"/>
                          <w:marTop w:val="0"/>
                          <w:marBottom w:val="0"/>
                          <w:divBdr>
                            <w:top w:val="none" w:sz="0" w:space="0" w:color="auto"/>
                            <w:left w:val="none" w:sz="0" w:space="0" w:color="auto"/>
                            <w:bottom w:val="none" w:sz="0" w:space="0" w:color="auto"/>
                            <w:right w:val="none" w:sz="0" w:space="0" w:color="auto"/>
                          </w:divBdr>
                          <w:divsChild>
                            <w:div w:id="19202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93848">
      <w:bodyDiv w:val="1"/>
      <w:marLeft w:val="0"/>
      <w:marRight w:val="0"/>
      <w:marTop w:val="0"/>
      <w:marBottom w:val="0"/>
      <w:divBdr>
        <w:top w:val="none" w:sz="0" w:space="0" w:color="auto"/>
        <w:left w:val="none" w:sz="0" w:space="0" w:color="auto"/>
        <w:bottom w:val="none" w:sz="0" w:space="0" w:color="auto"/>
        <w:right w:val="none" w:sz="0" w:space="0" w:color="auto"/>
      </w:divBdr>
    </w:div>
    <w:div w:id="1758554204">
      <w:bodyDiv w:val="1"/>
      <w:marLeft w:val="0"/>
      <w:marRight w:val="0"/>
      <w:marTop w:val="0"/>
      <w:marBottom w:val="0"/>
      <w:divBdr>
        <w:top w:val="none" w:sz="0" w:space="0" w:color="auto"/>
        <w:left w:val="none" w:sz="0" w:space="0" w:color="auto"/>
        <w:bottom w:val="none" w:sz="0" w:space="0" w:color="auto"/>
        <w:right w:val="none" w:sz="0" w:space="0" w:color="auto"/>
      </w:divBdr>
    </w:div>
    <w:div w:id="1814904309">
      <w:bodyDiv w:val="1"/>
      <w:marLeft w:val="0"/>
      <w:marRight w:val="0"/>
      <w:marTop w:val="0"/>
      <w:marBottom w:val="0"/>
      <w:divBdr>
        <w:top w:val="none" w:sz="0" w:space="0" w:color="auto"/>
        <w:left w:val="none" w:sz="0" w:space="0" w:color="auto"/>
        <w:bottom w:val="none" w:sz="0" w:space="0" w:color="auto"/>
        <w:right w:val="none" w:sz="0" w:space="0" w:color="auto"/>
      </w:divBdr>
    </w:div>
    <w:div w:id="1868177858">
      <w:bodyDiv w:val="1"/>
      <w:marLeft w:val="0"/>
      <w:marRight w:val="0"/>
      <w:marTop w:val="0"/>
      <w:marBottom w:val="0"/>
      <w:divBdr>
        <w:top w:val="none" w:sz="0" w:space="0" w:color="auto"/>
        <w:left w:val="none" w:sz="0" w:space="0" w:color="auto"/>
        <w:bottom w:val="none" w:sz="0" w:space="0" w:color="auto"/>
        <w:right w:val="none" w:sz="0" w:space="0" w:color="auto"/>
      </w:divBdr>
    </w:div>
    <w:div w:id="1873497311">
      <w:bodyDiv w:val="1"/>
      <w:marLeft w:val="0"/>
      <w:marRight w:val="0"/>
      <w:marTop w:val="0"/>
      <w:marBottom w:val="0"/>
      <w:divBdr>
        <w:top w:val="none" w:sz="0" w:space="0" w:color="auto"/>
        <w:left w:val="none" w:sz="0" w:space="0" w:color="auto"/>
        <w:bottom w:val="none" w:sz="0" w:space="0" w:color="auto"/>
        <w:right w:val="none" w:sz="0" w:space="0" w:color="auto"/>
      </w:divBdr>
    </w:div>
    <w:div w:id="1893078033">
      <w:bodyDiv w:val="1"/>
      <w:marLeft w:val="0"/>
      <w:marRight w:val="0"/>
      <w:marTop w:val="0"/>
      <w:marBottom w:val="0"/>
      <w:divBdr>
        <w:top w:val="none" w:sz="0" w:space="0" w:color="auto"/>
        <w:left w:val="none" w:sz="0" w:space="0" w:color="auto"/>
        <w:bottom w:val="none" w:sz="0" w:space="0" w:color="auto"/>
        <w:right w:val="none" w:sz="0" w:space="0" w:color="auto"/>
      </w:divBdr>
    </w:div>
    <w:div w:id="1935819705">
      <w:bodyDiv w:val="1"/>
      <w:marLeft w:val="0"/>
      <w:marRight w:val="0"/>
      <w:marTop w:val="0"/>
      <w:marBottom w:val="0"/>
      <w:divBdr>
        <w:top w:val="none" w:sz="0" w:space="0" w:color="auto"/>
        <w:left w:val="none" w:sz="0" w:space="0" w:color="auto"/>
        <w:bottom w:val="none" w:sz="0" w:space="0" w:color="auto"/>
        <w:right w:val="none" w:sz="0" w:space="0" w:color="auto"/>
      </w:divBdr>
    </w:div>
    <w:div w:id="1938902929">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2007586298">
      <w:bodyDiv w:val="1"/>
      <w:marLeft w:val="0"/>
      <w:marRight w:val="0"/>
      <w:marTop w:val="0"/>
      <w:marBottom w:val="0"/>
      <w:divBdr>
        <w:top w:val="none" w:sz="0" w:space="0" w:color="auto"/>
        <w:left w:val="none" w:sz="0" w:space="0" w:color="auto"/>
        <w:bottom w:val="none" w:sz="0" w:space="0" w:color="auto"/>
        <w:right w:val="none" w:sz="0" w:space="0" w:color="auto"/>
      </w:divBdr>
    </w:div>
    <w:div w:id="2015912543">
      <w:bodyDiv w:val="1"/>
      <w:marLeft w:val="0"/>
      <w:marRight w:val="0"/>
      <w:marTop w:val="0"/>
      <w:marBottom w:val="0"/>
      <w:divBdr>
        <w:top w:val="none" w:sz="0" w:space="0" w:color="auto"/>
        <w:left w:val="none" w:sz="0" w:space="0" w:color="auto"/>
        <w:bottom w:val="none" w:sz="0" w:space="0" w:color="auto"/>
        <w:right w:val="none" w:sz="0" w:space="0" w:color="auto"/>
      </w:divBdr>
    </w:div>
    <w:div w:id="2129736317">
      <w:bodyDiv w:val="1"/>
      <w:marLeft w:val="0"/>
      <w:marRight w:val="0"/>
      <w:marTop w:val="0"/>
      <w:marBottom w:val="0"/>
      <w:divBdr>
        <w:top w:val="none" w:sz="0" w:space="0" w:color="auto"/>
        <w:left w:val="none" w:sz="0" w:space="0" w:color="auto"/>
        <w:bottom w:val="none" w:sz="0" w:space="0" w:color="auto"/>
        <w:right w:val="none" w:sz="0" w:space="0" w:color="auto"/>
      </w:divBdr>
    </w:div>
    <w:div w:id="213674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uksi/2017/572/contents/ma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thys.pnnl.gov/sites/default/files/publications/European-Commission-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ardsforhighways.co.uk/dmrb/" TargetMode="External"/><Relationship Id="rId5" Type="http://schemas.openxmlformats.org/officeDocument/2006/relationships/webSettings" Target="webSettings.xml"/><Relationship Id="rId10" Type="http://schemas.openxmlformats.org/officeDocument/2006/relationships/hyperlink" Target="https://publications.naturalengland.org.uk/publication/6341085840277504" TargetMode="External"/><Relationship Id="rId4" Type="http://schemas.openxmlformats.org/officeDocument/2006/relationships/settings" Target="settings.xml"/><Relationship Id="rId9" Type="http://schemas.openxmlformats.org/officeDocument/2006/relationships/hyperlink" Target="https://assets.publishing.service.gov.uk/media/5a7d6db6e5274a7b50cceeb2"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7D4A-05E2-4901-9E21-B9E90B28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810</Words>
  <Characters>4621</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2025-01-17T00:56:00Z</cp:lastPrinted>
  <dcterms:created xsi:type="dcterms:W3CDTF">2025-03-31T07:11:00Z</dcterms:created>
  <dcterms:modified xsi:type="dcterms:W3CDTF">2025-03-31T07:11:00Z</dcterms:modified>
</cp:coreProperties>
</file>