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1619CD5C" w:rsidR="000C3F36" w:rsidRDefault="000C3F36" w:rsidP="00117E04">
      <w:r>
        <w:rPr>
          <w:rFonts w:hint="eastAsia"/>
        </w:rPr>
        <w:t>ガイド</w:t>
      </w:r>
      <w:r w:rsidR="00117E04">
        <w:rPr>
          <w:rFonts w:hint="eastAsia"/>
        </w:rPr>
        <w:t>ライン個票</w:t>
      </w:r>
      <w:r w:rsidR="009E6B8F">
        <w:rPr>
          <w:rFonts w:hint="eastAsia"/>
        </w:rPr>
        <w:t xml:space="preserve">　加２</w:t>
      </w:r>
    </w:p>
    <w:tbl>
      <w:tblPr>
        <w:tblStyle w:val="ac"/>
        <w:tblW w:w="9776" w:type="dxa"/>
        <w:tblLook w:val="04A0" w:firstRow="1" w:lastRow="0" w:firstColumn="1" w:lastColumn="0" w:noHBand="0" w:noVBand="1"/>
      </w:tblPr>
      <w:tblGrid>
        <w:gridCol w:w="2122"/>
        <w:gridCol w:w="7654"/>
      </w:tblGrid>
      <w:tr w:rsidR="009E6B8F" w14:paraId="02FD2B03" w14:textId="77777777" w:rsidTr="00117E04">
        <w:tc>
          <w:tcPr>
            <w:tcW w:w="2122" w:type="dxa"/>
          </w:tcPr>
          <w:p w14:paraId="2B50C1B5" w14:textId="7A5B3E05" w:rsidR="009E6B8F" w:rsidRDefault="009E6B8F" w:rsidP="009E6B8F">
            <w:pPr>
              <w:snapToGrid w:val="0"/>
              <w:spacing w:line="280" w:lineRule="exact"/>
            </w:pPr>
            <w:r>
              <w:rPr>
                <w:rFonts w:hint="eastAsia"/>
              </w:rPr>
              <w:t>ガイドライン名</w:t>
            </w:r>
          </w:p>
        </w:tc>
        <w:tc>
          <w:tcPr>
            <w:tcW w:w="7654" w:type="dxa"/>
          </w:tcPr>
          <w:p w14:paraId="6FB8F570" w14:textId="77777777" w:rsidR="009E6B8F" w:rsidRDefault="009E6B8F" w:rsidP="009E6B8F">
            <w:pPr>
              <w:snapToGrid w:val="0"/>
              <w:jc w:val="left"/>
            </w:pPr>
            <w:r w:rsidRPr="00322737">
              <w:rPr>
                <w:rFonts w:hint="eastAsia"/>
              </w:rPr>
              <w:t>影響評価法に基づく累積影響評価のための政策枠組み</w:t>
            </w:r>
          </w:p>
          <w:p w14:paraId="5423F865" w14:textId="25ACC399" w:rsidR="009E6B8F" w:rsidRDefault="009E6B8F" w:rsidP="009E6B8F">
            <w:pPr>
              <w:snapToGrid w:val="0"/>
              <w:spacing w:line="280" w:lineRule="exact"/>
            </w:pPr>
            <w:r w:rsidRPr="00322737">
              <w:t>Policy Framework for Assessing Cumulative Effects under the Impact Assessment Act</w:t>
            </w:r>
          </w:p>
        </w:tc>
      </w:tr>
      <w:tr w:rsidR="009E6B8F" w14:paraId="46AEF617" w14:textId="77777777" w:rsidTr="00117E04">
        <w:tc>
          <w:tcPr>
            <w:tcW w:w="2122" w:type="dxa"/>
          </w:tcPr>
          <w:p w14:paraId="4567D048" w14:textId="58E00967" w:rsidR="009E6B8F" w:rsidRDefault="009E6B8F" w:rsidP="009E6B8F">
            <w:pPr>
              <w:snapToGrid w:val="0"/>
              <w:spacing w:line="280" w:lineRule="exact"/>
            </w:pPr>
            <w:r>
              <w:rPr>
                <w:rFonts w:hint="eastAsia"/>
              </w:rPr>
              <w:t>発行者、発行年月</w:t>
            </w:r>
          </w:p>
        </w:tc>
        <w:tc>
          <w:tcPr>
            <w:tcW w:w="7654" w:type="dxa"/>
          </w:tcPr>
          <w:p w14:paraId="3AAE2ADB" w14:textId="6FD88C70" w:rsidR="009E6B8F" w:rsidRDefault="009E6B8F" w:rsidP="009E6B8F">
            <w:pPr>
              <w:snapToGrid w:val="0"/>
              <w:spacing w:line="280" w:lineRule="exact"/>
            </w:pPr>
            <w:r>
              <w:rPr>
                <w:rFonts w:hint="eastAsia"/>
              </w:rPr>
              <w:t>カナダ環境アセスメント庁（</w:t>
            </w:r>
            <w:r w:rsidRPr="002F7A90">
              <w:t>Canadian Environmental Assessment Agency</w:t>
            </w:r>
            <w:r>
              <w:rPr>
                <w:rFonts w:hint="eastAsia"/>
              </w:rPr>
              <w:t>）、2023.5</w:t>
            </w:r>
          </w:p>
        </w:tc>
      </w:tr>
      <w:tr w:rsidR="009E6B8F" w14:paraId="64204EB0" w14:textId="77777777" w:rsidTr="00117E04">
        <w:tc>
          <w:tcPr>
            <w:tcW w:w="2122" w:type="dxa"/>
          </w:tcPr>
          <w:p w14:paraId="3E8AAD16" w14:textId="68A20B55" w:rsidR="009E6B8F" w:rsidRPr="00117E04" w:rsidRDefault="009E6B8F" w:rsidP="009E6B8F">
            <w:pPr>
              <w:snapToGrid w:val="0"/>
              <w:spacing w:line="280" w:lineRule="exact"/>
            </w:pPr>
            <w:r>
              <w:rPr>
                <w:rFonts w:hint="eastAsia"/>
              </w:rPr>
              <w:t>頁数</w:t>
            </w:r>
          </w:p>
        </w:tc>
        <w:tc>
          <w:tcPr>
            <w:tcW w:w="7654" w:type="dxa"/>
          </w:tcPr>
          <w:p w14:paraId="691EF816" w14:textId="619085F1" w:rsidR="009E6B8F" w:rsidRDefault="009E6B8F" w:rsidP="009E6B8F">
            <w:pPr>
              <w:snapToGrid w:val="0"/>
              <w:spacing w:line="280" w:lineRule="exact"/>
            </w:pPr>
            <w:r>
              <w:rPr>
                <w:rFonts w:hint="eastAsia"/>
              </w:rPr>
              <w:t>6頁</w:t>
            </w:r>
          </w:p>
        </w:tc>
      </w:tr>
      <w:tr w:rsidR="00EE4088" w14:paraId="4FBA8BC1" w14:textId="77777777" w:rsidTr="008C394E">
        <w:tc>
          <w:tcPr>
            <w:tcW w:w="2122" w:type="dxa"/>
          </w:tcPr>
          <w:p w14:paraId="77400C89" w14:textId="4166FAE5" w:rsidR="00EE4088" w:rsidRPr="00117E04" w:rsidRDefault="00EE4088" w:rsidP="008C394E">
            <w:pPr>
              <w:snapToGrid w:val="0"/>
              <w:spacing w:line="280" w:lineRule="exact"/>
            </w:pPr>
            <w:r>
              <w:rPr>
                <w:rFonts w:hint="eastAsia"/>
              </w:rPr>
              <w:t>法的根拠・位置づけ</w:t>
            </w:r>
          </w:p>
        </w:tc>
        <w:tc>
          <w:tcPr>
            <w:tcW w:w="7654" w:type="dxa"/>
          </w:tcPr>
          <w:p w14:paraId="16142010" w14:textId="0C276618" w:rsidR="002D002E" w:rsidRDefault="009E6B8F" w:rsidP="008C394E">
            <w:pPr>
              <w:snapToGrid w:val="0"/>
              <w:spacing w:line="280" w:lineRule="exact"/>
            </w:pPr>
            <w:r w:rsidRPr="009E6B8F">
              <w:rPr>
                <w:rFonts w:hint="eastAsia"/>
              </w:rPr>
              <w:t>影響評価法（IAA</w:t>
            </w:r>
            <w:r w:rsidR="002D002E">
              <w:rPr>
                <w:rFonts w:hint="eastAsia"/>
              </w:rPr>
              <w:t>：Impact Assessment Act</w:t>
            </w:r>
            <w:r w:rsidRPr="009E6B8F">
              <w:rPr>
                <w:rFonts w:hint="eastAsia"/>
              </w:rPr>
              <w:t xml:space="preserve"> ）</w:t>
            </w:r>
          </w:p>
          <w:p w14:paraId="13BFF8BD" w14:textId="6C67B182" w:rsidR="002D002E" w:rsidRDefault="002D002E" w:rsidP="002D002E">
            <w:pPr>
              <w:snapToGrid w:val="0"/>
              <w:spacing w:line="280" w:lineRule="exact"/>
            </w:pPr>
            <w:r>
              <w:rPr>
                <w:rFonts w:hint="eastAsia"/>
              </w:rPr>
              <w:t>同法</w:t>
            </w:r>
            <w:r w:rsidR="009E6B8F" w:rsidRPr="009E6B8F">
              <w:rPr>
                <w:rFonts w:hint="eastAsia"/>
              </w:rPr>
              <w:t>に基づく</w:t>
            </w:r>
            <w:r w:rsidR="00B67AD8">
              <w:rPr>
                <w:rFonts w:hint="eastAsia"/>
              </w:rPr>
              <w:t>提案プロジェクト</w:t>
            </w:r>
            <w:r w:rsidR="009E6B8F" w:rsidRPr="009E6B8F">
              <w:rPr>
                <w:rFonts w:hint="eastAsia"/>
              </w:rPr>
              <w:t>の累積的影響を評価するための一般的な要件とアプローチを定め</w:t>
            </w:r>
            <w:r>
              <w:rPr>
                <w:rFonts w:hint="eastAsia"/>
              </w:rPr>
              <w:t>るもの。ただし、本フレー</w:t>
            </w:r>
            <w:r w:rsidRPr="002D002E">
              <w:rPr>
                <w:rFonts w:hint="eastAsia"/>
              </w:rPr>
              <w:t>ムワークは情報提供を目的として</w:t>
            </w:r>
            <w:r>
              <w:rPr>
                <w:rFonts w:hint="eastAsia"/>
              </w:rPr>
              <w:t>おり、</w:t>
            </w:r>
            <w:r w:rsidRPr="002D002E">
              <w:rPr>
                <w:rFonts w:hint="eastAsia"/>
              </w:rPr>
              <w:t>IAA またはその規制に代わるものでは</w:t>
            </w:r>
            <w:r>
              <w:rPr>
                <w:rFonts w:hint="eastAsia"/>
              </w:rPr>
              <w:t>ない</w:t>
            </w:r>
            <w:r w:rsidRPr="002D002E">
              <w:rPr>
                <w:rFonts w:hint="eastAsia"/>
              </w:rPr>
              <w:t>。</w:t>
            </w:r>
            <w:r>
              <w:rPr>
                <w:rFonts w:hint="eastAsia"/>
              </w:rPr>
              <w:t>（</w:t>
            </w:r>
            <w:r w:rsidRPr="002D002E">
              <w:rPr>
                <w:rFonts w:hint="eastAsia"/>
              </w:rPr>
              <w:t>矛盾がある場合は、IAAまたはその規制が優先</w:t>
            </w:r>
            <w:r>
              <w:rPr>
                <w:rFonts w:hint="eastAsia"/>
              </w:rPr>
              <w:t>される。）</w:t>
            </w:r>
          </w:p>
          <w:p w14:paraId="2AF15BA6" w14:textId="0855BB36" w:rsidR="00D57421" w:rsidRDefault="002D002E" w:rsidP="002D002E">
            <w:pPr>
              <w:snapToGrid w:val="0"/>
              <w:spacing w:line="280" w:lineRule="exact"/>
            </w:pPr>
            <w:r>
              <w:rPr>
                <w:rFonts w:hint="eastAsia"/>
              </w:rPr>
              <w:t>なお、2024年の環境影響評価法改正により、</w:t>
            </w:r>
            <w:r w:rsidR="00D57421" w:rsidRPr="00D57421">
              <w:t>2015</w:t>
            </w:r>
            <w:r w:rsidR="00D57421">
              <w:rPr>
                <w:rFonts w:hint="eastAsia"/>
              </w:rPr>
              <w:t>年の</w:t>
            </w:r>
            <w:r w:rsidR="00D57421" w:rsidRPr="00D57421">
              <w:t> </w:t>
            </w:r>
            <w:r w:rsidR="00D57421" w:rsidRPr="00D57421">
              <w:t>Operational</w:t>
            </w:r>
            <w:r w:rsidR="00D57421" w:rsidRPr="00D57421">
              <w:t> </w:t>
            </w:r>
            <w:r w:rsidR="00D57421" w:rsidRPr="00D57421">
              <w:t>Policy</w:t>
            </w:r>
            <w:r w:rsidR="00D57421" w:rsidRPr="00D57421">
              <w:t> </w:t>
            </w:r>
          </w:p>
          <w:p w14:paraId="6F2DEBC3" w14:textId="79353137" w:rsidR="002D002E" w:rsidRDefault="00D57421" w:rsidP="002D002E">
            <w:pPr>
              <w:snapToGrid w:val="0"/>
              <w:spacing w:line="280" w:lineRule="exact"/>
            </w:pPr>
            <w:r w:rsidRPr="00D57421">
              <w:t>Statement</w:t>
            </w:r>
            <w:r w:rsidRPr="00D57421">
              <w:t> </w:t>
            </w:r>
            <w:r>
              <w:rPr>
                <w:rFonts w:hint="eastAsia"/>
              </w:rPr>
              <w:t xml:space="preserve">「Assessing </w:t>
            </w:r>
            <w:r w:rsidRPr="00D57421">
              <w:t>Cumulative</w:t>
            </w:r>
            <w:r w:rsidRPr="00D57421">
              <w:t> </w:t>
            </w:r>
            <w:r w:rsidRPr="00D57421">
              <w:t>Environmental</w:t>
            </w:r>
            <w:r w:rsidRPr="00D57421">
              <w:t> </w:t>
            </w:r>
            <w:r w:rsidRPr="00D57421">
              <w:t>Effects</w:t>
            </w:r>
            <w:r w:rsidRPr="00D57421">
              <w:t> </w:t>
            </w:r>
            <w:r w:rsidRPr="00D57421">
              <w:t>under</w:t>
            </w:r>
            <w:r w:rsidRPr="00D57421">
              <w:t> </w:t>
            </w:r>
            <w:r w:rsidRPr="00D57421">
              <w:t>the</w:t>
            </w:r>
            <w:r w:rsidRPr="00D57421">
              <w:t> </w:t>
            </w:r>
            <w:r w:rsidRPr="00D57421">
              <w:t>Canadian Environmental Assessment Act, 2012</w:t>
            </w:r>
            <w:r>
              <w:rPr>
                <w:rFonts w:hint="eastAsia"/>
              </w:rPr>
              <w:t>」</w:t>
            </w:r>
            <w:r w:rsidR="002D002E" w:rsidRPr="002D002E">
              <w:rPr>
                <w:rFonts w:hint="eastAsia"/>
              </w:rPr>
              <w:t>に代わるもの</w:t>
            </w:r>
            <w:r>
              <w:rPr>
                <w:rFonts w:hint="eastAsia"/>
              </w:rPr>
              <w:t>であるが、</w:t>
            </w:r>
            <w:r w:rsidR="002D002E" w:rsidRPr="002D002E">
              <w:rPr>
                <w:rFonts w:hint="eastAsia"/>
              </w:rPr>
              <w:t>累積的影響を評価するための全体的なアプローチ</w:t>
            </w:r>
            <w:r>
              <w:rPr>
                <w:rFonts w:hint="eastAsia"/>
              </w:rPr>
              <w:t>や</w:t>
            </w:r>
            <w:r w:rsidR="002D002E" w:rsidRPr="002D002E">
              <w:rPr>
                <w:rFonts w:hint="eastAsia"/>
              </w:rPr>
              <w:t>手順は変更されてい</w:t>
            </w:r>
            <w:r>
              <w:rPr>
                <w:rFonts w:hint="eastAsia"/>
              </w:rPr>
              <w:t>ない。</w:t>
            </w:r>
          </w:p>
        </w:tc>
      </w:tr>
      <w:tr w:rsidR="00117E04" w14:paraId="52B5E61D" w14:textId="77777777" w:rsidTr="00117E04">
        <w:tc>
          <w:tcPr>
            <w:tcW w:w="2122" w:type="dxa"/>
          </w:tcPr>
          <w:p w14:paraId="4123A4BA" w14:textId="6CA8CAAF" w:rsidR="00117E04" w:rsidRDefault="00117E04" w:rsidP="00117E04">
            <w:pPr>
              <w:snapToGrid w:val="0"/>
              <w:spacing w:line="280" w:lineRule="exact"/>
            </w:pPr>
            <w:r w:rsidRPr="00117E04">
              <w:rPr>
                <w:rFonts w:hint="eastAsia"/>
              </w:rPr>
              <w:t>ガイドライン対象</w:t>
            </w:r>
            <w:r w:rsidR="00FE1059">
              <w:rPr>
                <w:rFonts w:hint="eastAsia"/>
              </w:rPr>
              <w:t>者</w:t>
            </w:r>
          </w:p>
        </w:tc>
        <w:tc>
          <w:tcPr>
            <w:tcW w:w="7654" w:type="dxa"/>
          </w:tcPr>
          <w:p w14:paraId="5AD70309" w14:textId="4621D1AF" w:rsidR="00117E04" w:rsidRDefault="009E6B8F" w:rsidP="00117E04">
            <w:pPr>
              <w:snapToGrid w:val="0"/>
              <w:spacing w:line="280" w:lineRule="exact"/>
            </w:pPr>
            <w:r w:rsidRPr="009E6B8F">
              <w:rPr>
                <w:rFonts w:hint="eastAsia"/>
              </w:rPr>
              <w:t>プロジェクト提案者</w:t>
            </w:r>
            <w:r>
              <w:rPr>
                <w:rFonts w:hint="eastAsia"/>
              </w:rPr>
              <w:t>の指針となるもの。</w:t>
            </w:r>
          </w:p>
          <w:p w14:paraId="0F733B48" w14:textId="4423BB48" w:rsidR="009E6B8F" w:rsidRDefault="009E6B8F" w:rsidP="00117E04">
            <w:pPr>
              <w:snapToGrid w:val="0"/>
              <w:spacing w:line="280" w:lineRule="exact"/>
            </w:pPr>
            <w:r>
              <w:rPr>
                <w:rFonts w:hint="eastAsia"/>
              </w:rPr>
              <w:t>また、</w:t>
            </w:r>
            <w:r w:rsidRPr="009E6B8F">
              <w:rPr>
                <w:rFonts w:hint="eastAsia"/>
              </w:rPr>
              <w:t>連邦影響評価に関与する他の関係者（連邦当局、他の管轄区域、先住民、利害関係者、一般市民）に方向性を示すもの</w:t>
            </w:r>
          </w:p>
        </w:tc>
      </w:tr>
      <w:tr w:rsidR="00EE4088" w14:paraId="4B90E042" w14:textId="77777777" w:rsidTr="00117E04">
        <w:tc>
          <w:tcPr>
            <w:tcW w:w="2122" w:type="dxa"/>
          </w:tcPr>
          <w:p w14:paraId="158DDFF2" w14:textId="6A99ABE5" w:rsidR="00EE4088" w:rsidRPr="00117E04" w:rsidRDefault="00EE4088" w:rsidP="00117E04">
            <w:pPr>
              <w:snapToGrid w:val="0"/>
              <w:spacing w:line="280" w:lineRule="exact"/>
            </w:pPr>
            <w:r>
              <w:rPr>
                <w:rFonts w:hint="eastAsia"/>
              </w:rPr>
              <w:t>対象とする事業・計画</w:t>
            </w:r>
          </w:p>
        </w:tc>
        <w:tc>
          <w:tcPr>
            <w:tcW w:w="7654" w:type="dxa"/>
          </w:tcPr>
          <w:p w14:paraId="7ED4FA3D" w14:textId="27784A5E" w:rsidR="00EE4088" w:rsidRDefault="00EE4088" w:rsidP="00117E04">
            <w:pPr>
              <w:snapToGrid w:val="0"/>
              <w:spacing w:line="280" w:lineRule="exact"/>
            </w:pPr>
          </w:p>
        </w:tc>
      </w:tr>
      <w:tr w:rsidR="00117E04" w14:paraId="17302920" w14:textId="77777777" w:rsidTr="00117E04">
        <w:tc>
          <w:tcPr>
            <w:tcW w:w="2122" w:type="dxa"/>
          </w:tcPr>
          <w:p w14:paraId="3559F435" w14:textId="77777777" w:rsidR="00117E04" w:rsidRDefault="00117E04" w:rsidP="00117E04">
            <w:pPr>
              <w:snapToGrid w:val="0"/>
              <w:spacing w:line="280" w:lineRule="exact"/>
            </w:pPr>
            <w:r w:rsidRPr="00117E04">
              <w:rPr>
                <w:rFonts w:hint="eastAsia"/>
              </w:rPr>
              <w:t>累積的影響の定義、基本的な考え方</w:t>
            </w:r>
          </w:p>
          <w:p w14:paraId="74C4799C" w14:textId="77777777" w:rsidR="00B4486D" w:rsidRDefault="00B4486D" w:rsidP="00117E04">
            <w:pPr>
              <w:snapToGrid w:val="0"/>
              <w:spacing w:line="280" w:lineRule="exact"/>
            </w:pPr>
          </w:p>
          <w:p w14:paraId="232CE2A6" w14:textId="0EF20222" w:rsidR="00B4486D" w:rsidRDefault="008C2817" w:rsidP="00117E04">
            <w:pPr>
              <w:snapToGrid w:val="0"/>
              <w:spacing w:line="280" w:lineRule="exact"/>
            </w:pPr>
            <w:r>
              <w:rPr>
                <w:rFonts w:hint="eastAsia"/>
              </w:rPr>
              <w:t xml:space="preserve">　　　</w:t>
            </w:r>
          </w:p>
          <w:p w14:paraId="6BE875BF" w14:textId="77777777" w:rsidR="00B4486D" w:rsidRDefault="00B4486D" w:rsidP="00117E04">
            <w:pPr>
              <w:snapToGrid w:val="0"/>
              <w:spacing w:line="280" w:lineRule="exact"/>
            </w:pPr>
          </w:p>
          <w:p w14:paraId="4814C5F2" w14:textId="77777777" w:rsidR="00B4486D" w:rsidRDefault="00B4486D" w:rsidP="00117E04">
            <w:pPr>
              <w:snapToGrid w:val="0"/>
              <w:spacing w:line="280" w:lineRule="exact"/>
            </w:pPr>
          </w:p>
          <w:p w14:paraId="2749BFC7" w14:textId="17D83981" w:rsidR="00B4486D" w:rsidRDefault="00B4486D" w:rsidP="00117E04">
            <w:pPr>
              <w:snapToGrid w:val="0"/>
              <w:spacing w:line="280" w:lineRule="exact"/>
            </w:pPr>
          </w:p>
        </w:tc>
        <w:tc>
          <w:tcPr>
            <w:tcW w:w="7654" w:type="dxa"/>
          </w:tcPr>
          <w:p w14:paraId="7C22F819" w14:textId="3E37533C" w:rsidR="00B00E24" w:rsidRDefault="00BE7CB7" w:rsidP="00117E04">
            <w:pPr>
              <w:snapToGrid w:val="0"/>
              <w:spacing w:line="280" w:lineRule="exact"/>
            </w:pPr>
            <w:r>
              <w:rPr>
                <w:rFonts w:hint="eastAsia"/>
              </w:rPr>
              <w:t>IAAの規定による。</w:t>
            </w:r>
          </w:p>
          <w:p w14:paraId="4FB0ADE5" w14:textId="7EEA5C3E" w:rsidR="00BE7CB7" w:rsidRDefault="00BE7CB7" w:rsidP="00117E04">
            <w:pPr>
              <w:snapToGrid w:val="0"/>
              <w:spacing w:line="280" w:lineRule="exact"/>
            </w:pPr>
            <w:r>
              <w:rPr>
                <w:rFonts w:hint="eastAsia"/>
              </w:rPr>
              <w:t>・累積的影響：</w:t>
            </w:r>
            <w:r w:rsidR="00B67AD8">
              <w:rPr>
                <w:rFonts w:hint="eastAsia"/>
              </w:rPr>
              <w:t>提案プロジェクト</w:t>
            </w:r>
            <w:r w:rsidRPr="00BE7CB7">
              <w:rPr>
                <w:rFonts w:hint="eastAsia"/>
              </w:rPr>
              <w:t>と、実施済みまたは実施予定の他の</w:t>
            </w:r>
            <w:r w:rsidR="001B53DA">
              <w:rPr>
                <w:rFonts w:hint="eastAsia"/>
              </w:rPr>
              <w:t>開発行為</w:t>
            </w:r>
            <w:r w:rsidRPr="00BE7CB7">
              <w:rPr>
                <w:rFonts w:hint="eastAsia"/>
              </w:rPr>
              <w:t>との組み合わせによって生じる可能性のある</w:t>
            </w:r>
            <w:r>
              <w:rPr>
                <w:rFonts w:hint="eastAsia"/>
              </w:rPr>
              <w:t>影響</w:t>
            </w:r>
          </w:p>
          <w:p w14:paraId="119E8616" w14:textId="77777777" w:rsidR="00BE7CB7" w:rsidRDefault="00BE7CB7" w:rsidP="00117E04">
            <w:pPr>
              <w:snapToGrid w:val="0"/>
              <w:spacing w:line="280" w:lineRule="exact"/>
            </w:pPr>
          </w:p>
          <w:p w14:paraId="534EF595" w14:textId="666E0A2E" w:rsidR="00BE7CB7" w:rsidRPr="00B00E24" w:rsidRDefault="00BE7CB7" w:rsidP="00117E04">
            <w:pPr>
              <w:snapToGrid w:val="0"/>
              <w:spacing w:line="280" w:lineRule="exact"/>
            </w:pPr>
            <w:r>
              <w:rPr>
                <w:rFonts w:hint="eastAsia"/>
              </w:rPr>
              <w:t>・影響：</w:t>
            </w:r>
            <w:r w:rsidRPr="00BE7CB7">
              <w:rPr>
                <w:rFonts w:hint="eastAsia"/>
              </w:rPr>
              <w:t>「影響」という用語は、 IAA第2条に定義され、IAA第22条(1)(a)項に参照されているように、環境または健康、社会、経済状況の変化、およびこれらの変化のプラスとマイナスの結果を指</w:t>
            </w:r>
            <w:r>
              <w:rPr>
                <w:rFonts w:hint="eastAsia"/>
              </w:rPr>
              <w:t>す。</w:t>
            </w:r>
          </w:p>
        </w:tc>
      </w:tr>
      <w:tr w:rsidR="00117E04" w14:paraId="43F776A1" w14:textId="77777777" w:rsidTr="00117E04">
        <w:tc>
          <w:tcPr>
            <w:tcW w:w="2122" w:type="dxa"/>
          </w:tcPr>
          <w:p w14:paraId="2DA67BDB" w14:textId="59A03466" w:rsidR="002D5BBA" w:rsidRPr="002D5BBA" w:rsidRDefault="00B00E24" w:rsidP="002D5BBA">
            <w:pPr>
              <w:snapToGrid w:val="0"/>
              <w:spacing w:line="280" w:lineRule="exact"/>
              <w:jc w:val="left"/>
            </w:pPr>
            <w:r>
              <w:rPr>
                <w:rFonts w:hint="eastAsia"/>
              </w:rPr>
              <w:t>累積的影響評価の手順</w:t>
            </w:r>
          </w:p>
        </w:tc>
        <w:tc>
          <w:tcPr>
            <w:tcW w:w="7654" w:type="dxa"/>
          </w:tcPr>
          <w:p w14:paraId="71B598A0" w14:textId="77777777" w:rsidR="00A10DE4" w:rsidRPr="002D7395" w:rsidRDefault="00A10DE4" w:rsidP="00A10DE4">
            <w:pPr>
              <w:snapToGrid w:val="0"/>
              <w:rPr>
                <w:color w:val="FF0000"/>
              </w:rPr>
            </w:pPr>
            <w:r w:rsidRPr="00675E05">
              <w:rPr>
                <w:rStyle w:val="rynqvb"/>
                <w:rFonts w:ascii="ＭＳ ゴシック" w:eastAsia="ＭＳ ゴシック" w:hAnsi="ＭＳ ゴシック" w:hint="eastAsia"/>
                <w:b/>
                <w:bCs/>
              </w:rPr>
              <w:t>【</w:t>
            </w:r>
            <w:r>
              <w:rPr>
                <w:rStyle w:val="rynqvb"/>
                <w:rFonts w:ascii="ＭＳ ゴシック" w:eastAsia="ＭＳ ゴシック" w:hAnsi="ＭＳ ゴシック" w:hint="eastAsia"/>
                <w:b/>
                <w:bCs/>
              </w:rPr>
              <w:t>累積的影響アセスメントの</w:t>
            </w:r>
            <w:r w:rsidRPr="00C43492">
              <w:rPr>
                <w:rStyle w:val="rynqvb"/>
                <w:rFonts w:ascii="ＭＳ ゴシック" w:eastAsia="ＭＳ ゴシック" w:hAnsi="ＭＳ ゴシック" w:hint="eastAsia"/>
                <w:b/>
                <w:bCs/>
              </w:rPr>
              <w:t>アプローチ</w:t>
            </w:r>
            <w:r>
              <w:rPr>
                <w:rStyle w:val="rynqvb"/>
                <w:rFonts w:ascii="ＭＳ ゴシック" w:eastAsia="ＭＳ ゴシック" w:hAnsi="ＭＳ ゴシック" w:hint="eastAsia"/>
                <w:b/>
                <w:bCs/>
              </w:rPr>
              <w:t>について</w:t>
            </w:r>
            <w:r w:rsidRPr="00675E05">
              <w:rPr>
                <w:rStyle w:val="rynqvb"/>
                <w:rFonts w:ascii="ＭＳ ゴシック" w:eastAsia="ＭＳ ゴシック" w:hAnsi="ＭＳ ゴシック" w:hint="eastAsia"/>
                <w:b/>
                <w:bCs/>
              </w:rPr>
              <w:t>】</w:t>
            </w:r>
          </w:p>
          <w:p w14:paraId="5EAD2776" w14:textId="77777777" w:rsidR="00A10DE4" w:rsidRDefault="00A10DE4" w:rsidP="00A10DE4">
            <w:pPr>
              <w:snapToGrid w:val="0"/>
              <w:ind w:firstLineChars="100" w:firstLine="210"/>
            </w:pPr>
            <w:r w:rsidRPr="0076191A">
              <w:rPr>
                <w:rFonts w:hint="eastAsia"/>
              </w:rPr>
              <w:t>すべての</w:t>
            </w:r>
            <w:r>
              <w:rPr>
                <w:rFonts w:hint="eastAsia"/>
              </w:rPr>
              <w:t>累積的影響</w:t>
            </w:r>
            <w:r w:rsidRPr="0076191A">
              <w:rPr>
                <w:rFonts w:hint="eastAsia"/>
              </w:rPr>
              <w:t>アセスメントは、以下に記述される5つのステップ（スコーピング、分析、緩和、</w:t>
            </w:r>
            <w:r>
              <w:rPr>
                <w:rFonts w:hint="eastAsia"/>
              </w:rPr>
              <w:t>累積的影響</w:t>
            </w:r>
            <w:r w:rsidRPr="0076191A">
              <w:rPr>
                <w:rFonts w:hint="eastAsia"/>
              </w:rPr>
              <w:t>の記述、フォローアップ）を含むべきであり、すべての文書は、アセスメントで使用された方法を明確に説明し、正当化しなければならない。</w:t>
            </w:r>
          </w:p>
          <w:p w14:paraId="33CFC517" w14:textId="77777777" w:rsidR="00A10DE4" w:rsidRDefault="00A10DE4" w:rsidP="00A10DE4">
            <w:pPr>
              <w:snapToGrid w:val="0"/>
              <w:ind w:firstLineChars="100" w:firstLine="210"/>
            </w:pPr>
          </w:p>
          <w:p w14:paraId="44C8DA6C" w14:textId="77777777" w:rsidR="00A10DE4" w:rsidRPr="000D7F38" w:rsidRDefault="00A10DE4" w:rsidP="00A10DE4">
            <w:pPr>
              <w:snapToGrid w:val="0"/>
              <w:rPr>
                <w:b/>
                <w:bCs/>
              </w:rPr>
            </w:pPr>
            <w:r w:rsidRPr="00BA6534">
              <w:rPr>
                <w:rFonts w:ascii="ＭＳ ゴシック" w:eastAsia="ＭＳ ゴシック" w:hAnsi="ＭＳ ゴシック" w:hint="eastAsia"/>
                <w:b/>
                <w:bCs/>
              </w:rPr>
              <w:t>＜ステップ1：スコーピング＞</w:t>
            </w:r>
          </w:p>
          <w:p w14:paraId="68703D9E" w14:textId="77777777" w:rsidR="00A10DE4" w:rsidRDefault="00A10DE4" w:rsidP="005915BA">
            <w:pPr>
              <w:snapToGrid w:val="0"/>
            </w:pPr>
            <w:r>
              <w:rPr>
                <w:rFonts w:hint="eastAsia"/>
              </w:rPr>
              <w:t>累積的影響評価のスコーピングには、以下の項目が含まれる。</w:t>
            </w:r>
          </w:p>
          <w:p w14:paraId="34F8D52E" w14:textId="77777777" w:rsidR="00A10DE4" w:rsidRDefault="00A10DE4" w:rsidP="00A10DE4">
            <w:pPr>
              <w:snapToGrid w:val="0"/>
              <w:ind w:firstLineChars="100" w:firstLine="210"/>
            </w:pPr>
            <w:r>
              <w:rPr>
                <w:rFonts w:hint="eastAsia"/>
              </w:rPr>
              <w:t>・累積的影響評価の対象となるVCの特定</w:t>
            </w:r>
          </w:p>
          <w:p w14:paraId="49170613" w14:textId="77777777" w:rsidR="00A10DE4" w:rsidRDefault="00A10DE4" w:rsidP="00A10DE4">
            <w:pPr>
              <w:snapToGrid w:val="0"/>
              <w:ind w:firstLineChars="100" w:firstLine="210"/>
            </w:pPr>
            <w:r>
              <w:rPr>
                <w:rFonts w:hint="eastAsia"/>
              </w:rPr>
              <w:t>・空間的および時間的な境界の設定</w:t>
            </w:r>
          </w:p>
          <w:p w14:paraId="1350E1DE" w14:textId="12372338" w:rsidR="00A10DE4" w:rsidRDefault="00A10DE4" w:rsidP="00A10DE4">
            <w:pPr>
              <w:snapToGrid w:val="0"/>
              <w:ind w:firstLineChars="100" w:firstLine="210"/>
            </w:pPr>
            <w:r>
              <w:rPr>
                <w:rFonts w:hint="eastAsia"/>
              </w:rPr>
              <w:t>・</w:t>
            </w:r>
            <w:r w:rsidR="00B67AD8">
              <w:rPr>
                <w:rFonts w:hint="eastAsia"/>
              </w:rPr>
              <w:t>提案プロジェクト</w:t>
            </w:r>
            <w:r>
              <w:rPr>
                <w:rFonts w:hint="eastAsia"/>
              </w:rPr>
              <w:t>の残存影響と他の</w:t>
            </w:r>
            <w:r w:rsidR="001B53DA">
              <w:rPr>
                <w:rFonts w:hint="eastAsia"/>
              </w:rPr>
              <w:t>開発行為</w:t>
            </w:r>
            <w:r>
              <w:rPr>
                <w:rFonts w:hint="eastAsia"/>
              </w:rPr>
              <w:t>の影響との関係の検討</w:t>
            </w:r>
          </w:p>
          <w:p w14:paraId="2461DE40" w14:textId="77777777" w:rsidR="005915BA" w:rsidRDefault="005915BA" w:rsidP="00A10DE4">
            <w:pPr>
              <w:snapToGrid w:val="0"/>
              <w:ind w:firstLineChars="100" w:firstLine="210"/>
            </w:pPr>
          </w:p>
          <w:p w14:paraId="20F5C8C2" w14:textId="0B860F7F" w:rsidR="00A10DE4" w:rsidRDefault="00A10DE4" w:rsidP="00A10DE4">
            <w:pPr>
              <w:snapToGrid w:val="0"/>
              <w:ind w:firstLineChars="100" w:firstLine="210"/>
            </w:pPr>
            <w:r>
              <w:rPr>
                <w:rFonts w:hint="eastAsia"/>
              </w:rPr>
              <w:t>スコーピングは、影響評価プロセスの計画段階から始まり、プロジェクトのカスタマイズされた影響評価ガイドラインに反映される。このプロセスの進行に伴い、環境、健康、社会、経済の状況、VC、影響の可能性、その他の</w:t>
            </w:r>
            <w:r w:rsidR="001B53DA">
              <w:rPr>
                <w:rFonts w:hint="eastAsia"/>
              </w:rPr>
              <w:t>開発行為</w:t>
            </w:r>
            <w:r>
              <w:rPr>
                <w:rFonts w:hint="eastAsia"/>
              </w:rPr>
              <w:t>の影響に関する情報が得られる。この情報は、累積的影響評価で何を考慮すべきか、またその範囲を明確にするのに役立つ。また、先住民のコミュニティや一般市民から提供される情報、知識、コメントに基づいてスコープは調整されることもある。</w:t>
            </w:r>
          </w:p>
          <w:p w14:paraId="0C47BF96" w14:textId="77777777" w:rsidR="00DC4193" w:rsidRDefault="00DC4193" w:rsidP="00A10DE4">
            <w:pPr>
              <w:snapToGrid w:val="0"/>
              <w:ind w:firstLineChars="100" w:firstLine="210"/>
            </w:pPr>
          </w:p>
          <w:p w14:paraId="34C49BB5" w14:textId="77777777" w:rsidR="00E11B22" w:rsidRPr="003378BF" w:rsidRDefault="00E11B22" w:rsidP="00E11B22">
            <w:pPr>
              <w:snapToGrid w:val="0"/>
              <w:rPr>
                <w:b/>
                <w:bCs/>
              </w:rPr>
            </w:pPr>
            <w:r w:rsidRPr="00BA6534">
              <w:rPr>
                <w:rFonts w:ascii="ＭＳ ゴシック" w:eastAsia="ＭＳ ゴシック" w:hAnsi="ＭＳ ゴシック" w:hint="eastAsia"/>
                <w:b/>
                <w:bCs/>
              </w:rPr>
              <w:t>＜ステップ2：分析＞</w:t>
            </w:r>
          </w:p>
          <w:p w14:paraId="75964452" w14:textId="77777777" w:rsidR="00E11B22" w:rsidRPr="0076191A" w:rsidRDefault="00E11B22" w:rsidP="00E11B22">
            <w:pPr>
              <w:snapToGrid w:val="0"/>
              <w:ind w:firstLineChars="100" w:firstLine="210"/>
            </w:pPr>
            <w:r w:rsidRPr="0076191A">
              <w:lastRenderedPageBreak/>
              <w:t>累積的影響を予測するために使用された方法を明確に記述しなければならない。この情報により、影響評価書（Impact Statement）のレビュアーは、どのように分析が行われ、結論を支持する根拠が何であるかを確認できる。専門的判断に基づく仮定や結論については、明確に特定し説明する必要がある。</w:t>
            </w:r>
          </w:p>
          <w:p w14:paraId="20C7E844" w14:textId="77777777" w:rsidR="00E11B22" w:rsidRDefault="00E11B22" w:rsidP="00E11B22">
            <w:pPr>
              <w:snapToGrid w:val="0"/>
              <w:ind w:firstLineChars="100" w:firstLine="210"/>
            </w:pPr>
            <w:r w:rsidRPr="0076191A">
              <w:t>データの収集や生成は、累積的影響評価において重要な要素である。場合によっては、分析を支えるデータを取得または生成することが困難なこともある。しかし、データが限られている場合や予測に不確実性がある場合でも、</w:t>
            </w:r>
            <w:r>
              <w:t>影響の可能性</w:t>
            </w:r>
            <w:r>
              <w:rPr>
                <w:rFonts w:hint="eastAsia"/>
              </w:rPr>
              <w:t>がある</w:t>
            </w:r>
            <w:r w:rsidRPr="0076191A">
              <w:t>累積的影響を適切に分析に取り入れるべきである。影響評価書のレビュアーには、累積的影響の種類や規模の全体像を提示する必要がある。また、分析では、累積的影響が性別などにより異なるかどうかを確認するために、ジェンダー・ベース・アナリシス・プラス（GBA Plus）を適用すべきである。いずれの場合でも、分析の基盤となる不確実性や仮定を記述し、情報源を明確に文書化しなければならない。</w:t>
            </w:r>
          </w:p>
          <w:p w14:paraId="425AFC29" w14:textId="77777777" w:rsidR="00DC4193" w:rsidRPr="0076191A" w:rsidRDefault="00DC4193" w:rsidP="00E11B22">
            <w:pPr>
              <w:snapToGrid w:val="0"/>
              <w:ind w:firstLineChars="100" w:firstLine="210"/>
            </w:pPr>
          </w:p>
          <w:p w14:paraId="57ABF2F4" w14:textId="77777777" w:rsidR="00DC4193" w:rsidRPr="00324D25" w:rsidRDefault="00DC4193" w:rsidP="00DC4193">
            <w:pPr>
              <w:snapToGrid w:val="0"/>
              <w:rPr>
                <w:b/>
                <w:bCs/>
              </w:rPr>
            </w:pPr>
            <w:r w:rsidRPr="00BA6534">
              <w:rPr>
                <w:rFonts w:ascii="ＭＳ ゴシック" w:eastAsia="ＭＳ ゴシック" w:hAnsi="ＭＳ ゴシック" w:hint="eastAsia"/>
                <w:b/>
                <w:bCs/>
              </w:rPr>
              <w:t>＜ステップ3:ミティゲーション＞</w:t>
            </w:r>
          </w:p>
          <w:p w14:paraId="7A945287" w14:textId="77777777" w:rsidR="00DC4193" w:rsidRPr="0076191A" w:rsidRDefault="00DC4193" w:rsidP="00DC4193">
            <w:pPr>
              <w:snapToGrid w:val="0"/>
              <w:ind w:firstLineChars="100" w:firstLine="210"/>
            </w:pPr>
            <w:r w:rsidRPr="0076191A">
              <w:t>アセスメント庁の指針を考慮した上で、事業者は累積的影響を軽減するための技術的および経済的に実現可能な対策を特定しなければならない。この際、累積的影響を緩和するために適用される対策の効果を評価する必要がある。</w:t>
            </w:r>
          </w:p>
          <w:p w14:paraId="272F07B8" w14:textId="32611FF6" w:rsidR="00DC4193" w:rsidRPr="0076191A" w:rsidRDefault="00DC4193" w:rsidP="00DC4193">
            <w:pPr>
              <w:snapToGrid w:val="0"/>
              <w:ind w:firstLineChars="100" w:firstLine="210"/>
            </w:pPr>
            <w:r w:rsidRPr="0076191A">
              <w:t>プロジェクト固有の影響の場合と同様に、累積的影響の</w:t>
            </w:r>
            <w:r>
              <w:t>ミティゲーション</w:t>
            </w:r>
            <w:r w:rsidRPr="0076191A">
              <w:t>としては、累積的影響を</w:t>
            </w:r>
            <w:r>
              <w:t>回避</w:t>
            </w:r>
            <w:r w:rsidRPr="0076191A">
              <w:t>、軽減、または管理する方法が推奨される。これが不可能な場合は、</w:t>
            </w:r>
            <w:r w:rsidR="00B67AD8">
              <w:t>提案プロジェクト</w:t>
            </w:r>
            <w:r w:rsidRPr="0076191A">
              <w:t>による残余影響で発生した損害について、代替、修復、または</w:t>
            </w:r>
            <w:r>
              <w:t>代償</w:t>
            </w:r>
            <w:r w:rsidRPr="0076191A">
              <w:t>によるオフセットを検討すべきである。</w:t>
            </w:r>
          </w:p>
          <w:p w14:paraId="5247EF4A" w14:textId="77777777" w:rsidR="00DC4193" w:rsidRPr="0076191A" w:rsidRDefault="00DC4193" w:rsidP="00DC4193">
            <w:pPr>
              <w:snapToGrid w:val="0"/>
              <w:ind w:firstLineChars="100" w:firstLine="210"/>
            </w:pPr>
            <w:r w:rsidRPr="0076191A">
              <w:t>累積的影響を緩和するための対策が事業者の制御範囲を超える場合、事業者はこれらの対策を実行する権限を持つ当事者を特定する必要がある。また、影響評価書には、これらの当事者による必要な対策の実施に関するコミットメントや、関連するコミュニケーション計画を要約する必要がある。</w:t>
            </w:r>
          </w:p>
          <w:p w14:paraId="2CB3D4BB" w14:textId="77777777" w:rsidR="00DC4193" w:rsidRPr="0076191A" w:rsidRDefault="00DC4193" w:rsidP="00DC4193">
            <w:pPr>
              <w:snapToGrid w:val="0"/>
            </w:pPr>
          </w:p>
          <w:p w14:paraId="09F4E487" w14:textId="1C696CBF" w:rsidR="00DC4193" w:rsidRPr="00324D25" w:rsidRDefault="00DC4193" w:rsidP="00DC4193">
            <w:pPr>
              <w:snapToGrid w:val="0"/>
              <w:rPr>
                <w:b/>
                <w:bCs/>
              </w:rPr>
            </w:pPr>
            <w:r w:rsidRPr="00BA6534">
              <w:rPr>
                <w:rFonts w:ascii="ＭＳ ゴシック" w:eastAsia="ＭＳ ゴシック" w:hAnsi="ＭＳ ゴシック" w:hint="eastAsia"/>
                <w:b/>
                <w:bCs/>
              </w:rPr>
              <w:t>＜ステップ4:</w:t>
            </w:r>
            <w:r w:rsidR="00B67AD8">
              <w:rPr>
                <w:rFonts w:ascii="ＭＳ ゴシック" w:eastAsia="ＭＳ ゴシック" w:hAnsi="ＭＳ ゴシック" w:hint="eastAsia"/>
                <w:b/>
                <w:bCs/>
              </w:rPr>
              <w:t>影響の大きさ</w:t>
            </w:r>
            <w:r w:rsidRPr="00BA6534">
              <w:rPr>
                <w:rFonts w:ascii="ＭＳ ゴシック" w:eastAsia="ＭＳ ゴシック" w:hAnsi="ＭＳ ゴシック" w:hint="eastAsia"/>
                <w:b/>
                <w:bCs/>
              </w:rPr>
              <w:t>の評価＞</w:t>
            </w:r>
          </w:p>
          <w:p w14:paraId="12EFB350" w14:textId="3A594563" w:rsidR="00DC4193" w:rsidRPr="00882414" w:rsidRDefault="00DC4193" w:rsidP="00DC4193">
            <w:pPr>
              <w:snapToGrid w:val="0"/>
              <w:ind w:firstLineChars="100" w:firstLine="210"/>
            </w:pPr>
            <w:r w:rsidRPr="00882414">
              <w:t>影響評価には、</w:t>
            </w:r>
            <w:r>
              <w:t>ミティゲーション</w:t>
            </w:r>
            <w:r w:rsidRPr="00882414">
              <w:t>の実施を考慮した上で、プロジェクトと他の</w:t>
            </w:r>
            <w:r w:rsidR="001B53DA">
              <w:t>開発行為</w:t>
            </w:r>
            <w:r w:rsidRPr="00882414">
              <w:t>の組み合わせによって生じる可能性のある累積的影響の記述が含まれなければならない。また、連邦管轄区域内の悪影響および直接的または付随的影響が重大である程度を特性評価する必要がある。詳細については、ガイダンス「影響の記述と</w:t>
            </w:r>
            <w:r w:rsidR="00B67AD8">
              <w:t>影響の大きさ</w:t>
            </w:r>
            <w:r w:rsidRPr="00882414">
              <w:t>の程度の特性評価」を参照。</w:t>
            </w:r>
          </w:p>
          <w:p w14:paraId="10BEB43F" w14:textId="77777777" w:rsidR="00DC4193" w:rsidRPr="0076191A" w:rsidRDefault="00DC4193" w:rsidP="00DC4193">
            <w:pPr>
              <w:snapToGrid w:val="0"/>
              <w:ind w:firstLineChars="100" w:firstLine="210"/>
            </w:pPr>
            <w:r w:rsidRPr="0076191A">
              <w:t>累積的影響に関する予測は明確に提示され、定義された基準に基づいて正当化されるべきである。関連する場合、これには</w:t>
            </w:r>
            <w:r>
              <w:t>影響の可能性</w:t>
            </w:r>
            <w:r>
              <w:rPr>
                <w:rFonts w:hint="eastAsia"/>
              </w:rPr>
              <w:t>の</w:t>
            </w:r>
            <w:r w:rsidRPr="0076191A">
              <w:t>悪影響の規模、地理的範囲、タイミング、頻度、持続期間、可逆性、ならびに重要な文脈的要因（先住民知識を含む）が含まれるべきである。場合によっては、影響を記述するために、影響の性質、比例性、方向性、因果関係、または確率性などの別の基準を使用することが適切な場合もある。さらに、主要な基準に加え、累積的影響の記述には、基準、ガイドライン、目標、または記述子などの証拠、科学的または価値に基づく管理基準や生態学的ベンチマークを考慮することが推奨される。</w:t>
            </w:r>
          </w:p>
          <w:p w14:paraId="7F15807E" w14:textId="77777777" w:rsidR="00DC4193" w:rsidRPr="0076191A" w:rsidRDefault="00DC4193" w:rsidP="00DC4193">
            <w:pPr>
              <w:snapToGrid w:val="0"/>
              <w:ind w:firstLineChars="100" w:firstLine="210"/>
            </w:pPr>
          </w:p>
          <w:p w14:paraId="76EF5708" w14:textId="77777777" w:rsidR="00DC4193" w:rsidRPr="00324D25" w:rsidRDefault="00DC4193" w:rsidP="00DC4193">
            <w:pPr>
              <w:snapToGrid w:val="0"/>
              <w:rPr>
                <w:b/>
                <w:bCs/>
              </w:rPr>
            </w:pPr>
            <w:r w:rsidRPr="00BA6534">
              <w:rPr>
                <w:rFonts w:ascii="ＭＳ ゴシック" w:eastAsia="ＭＳ ゴシック" w:hAnsi="ＭＳ ゴシック" w:hint="eastAsia"/>
                <w:b/>
                <w:bCs/>
              </w:rPr>
              <w:t>＜ステップ5:フォローアップ＞</w:t>
            </w:r>
          </w:p>
          <w:p w14:paraId="66EA421E" w14:textId="176537C0" w:rsidR="00BE7CB7" w:rsidRDefault="00DC4193" w:rsidP="00D80258">
            <w:pPr>
              <w:snapToGrid w:val="0"/>
              <w:ind w:firstLineChars="100" w:firstLine="210"/>
            </w:pPr>
            <w:r w:rsidRPr="0076191A">
              <w:t>フォローアッププログラムは、影響評価の正確性を検証し、</w:t>
            </w:r>
            <w:r>
              <w:t>ミティゲーション</w:t>
            </w:r>
            <w:r w:rsidRPr="0076191A">
              <w:t>の効果を評価するために事業者が実施するものである。必要に応じて、これらには累積的影響を考慮することが含まれるべきである。既存のフォローアッププログラムへの参加や新しいプログラムの設立は、</w:t>
            </w:r>
            <w:r w:rsidR="00486175" w:rsidRPr="0076191A">
              <w:rPr>
                <w:rFonts w:hint="eastAsia"/>
              </w:rPr>
              <w:t>ケース・バイ・ケース</w:t>
            </w:r>
            <w:r w:rsidRPr="0076191A">
              <w:t>で判断される。フォローアッププログラムの枠組みを策定する際には、CEAAに基づくフォローアッププログラムに関するアセスメント庁のガイダンスおよび1992年カナダ環境評価法に基づく</w:t>
            </w:r>
            <w:r w:rsidR="00B67AD8">
              <w:t>順応管理</w:t>
            </w:r>
            <w:r w:rsidRPr="0076191A">
              <w:t>措置に関するアセスメント庁のガイダンスで概説された考慮事項を取り入れるべきである。フォローアッププログラムに関</w:t>
            </w:r>
            <w:r w:rsidRPr="0076191A">
              <w:lastRenderedPageBreak/>
              <w:t>する追加のガイダンスや考慮事項は、計画段階の終了時に事業者に発行されるプロジェクト固有の「調整された影響評価書ガイドライン」に記載される場合がある。</w:t>
            </w:r>
          </w:p>
        </w:tc>
      </w:tr>
      <w:tr w:rsidR="009B3F54" w14:paraId="0672083A" w14:textId="77777777" w:rsidTr="00117E04">
        <w:tc>
          <w:tcPr>
            <w:tcW w:w="2122" w:type="dxa"/>
          </w:tcPr>
          <w:p w14:paraId="5776B194" w14:textId="5260F67D" w:rsidR="009B3F54" w:rsidRDefault="009B3F54" w:rsidP="00117E04">
            <w:pPr>
              <w:snapToGrid w:val="0"/>
              <w:spacing w:line="280" w:lineRule="exact"/>
            </w:pPr>
            <w:r>
              <w:rPr>
                <w:rFonts w:hint="eastAsia"/>
              </w:rPr>
              <w:lastRenderedPageBreak/>
              <w:t>累積的影響を受ける要素（VE、VEC等）の範囲、条件</w:t>
            </w:r>
          </w:p>
        </w:tc>
        <w:tc>
          <w:tcPr>
            <w:tcW w:w="7654" w:type="dxa"/>
          </w:tcPr>
          <w:p w14:paraId="1D80FEE3" w14:textId="395873CB" w:rsidR="00DF4F79" w:rsidRPr="0076191A" w:rsidRDefault="00DF4F79" w:rsidP="00DF4F79">
            <w:pPr>
              <w:snapToGrid w:val="0"/>
              <w:rPr>
                <w:b/>
                <w:bCs/>
              </w:rPr>
            </w:pPr>
            <w:r>
              <w:rPr>
                <w:rFonts w:hint="eastAsia"/>
                <w:b/>
                <w:bCs/>
              </w:rPr>
              <w:t>VC</w:t>
            </w:r>
            <w:r w:rsidRPr="0076191A">
              <w:rPr>
                <w:rFonts w:hint="eastAsia"/>
                <w:b/>
                <w:bCs/>
              </w:rPr>
              <w:t>の特定</w:t>
            </w:r>
          </w:p>
          <w:p w14:paraId="78BF0AFA" w14:textId="3C23AAB8" w:rsidR="00DF4F79" w:rsidRPr="0076191A" w:rsidRDefault="00DF4F79" w:rsidP="00DF4F79">
            <w:pPr>
              <w:snapToGrid w:val="0"/>
              <w:ind w:firstLineChars="100" w:firstLine="210"/>
            </w:pPr>
            <w:r w:rsidRPr="000B7538">
              <w:rPr>
                <w:rFonts w:hint="eastAsia"/>
              </w:rPr>
              <w:t>累積的影響評価では、影響の予測される程度や範囲にかかわらず、</w:t>
            </w:r>
            <w:r>
              <w:rPr>
                <w:rFonts w:hint="eastAsia"/>
              </w:rPr>
              <w:t>ミティゲーション</w:t>
            </w:r>
            <w:r w:rsidRPr="000B7538">
              <w:rPr>
                <w:rFonts w:hint="eastAsia"/>
              </w:rPr>
              <w:t>の検討後に残留悪影響が予測されるVCを考慮する必要があ</w:t>
            </w:r>
            <w:r w:rsidRPr="0076191A">
              <w:rPr>
                <w:rFonts w:hint="eastAsia"/>
              </w:rPr>
              <w:t>る。</w:t>
            </w:r>
            <w:r w:rsidRPr="000B7538">
              <w:rPr>
                <w:rFonts w:hint="eastAsia"/>
              </w:rPr>
              <w:t>提案者は</w:t>
            </w:r>
            <w:r w:rsidR="0063239F" w:rsidRPr="0063239F">
              <w:rPr>
                <w:rFonts w:hint="eastAsia"/>
              </w:rPr>
              <w:t>影響評価</w:t>
            </w:r>
            <w:r w:rsidRPr="000B7538">
              <w:rPr>
                <w:rFonts w:hint="eastAsia"/>
              </w:rPr>
              <w:t>で累積的なプラスの影響を考慮することもでき</w:t>
            </w:r>
            <w:r w:rsidRPr="0076191A">
              <w:rPr>
                <w:rFonts w:hint="eastAsia"/>
              </w:rPr>
              <w:t>る。</w:t>
            </w:r>
          </w:p>
          <w:p w14:paraId="541501B8" w14:textId="77777777" w:rsidR="00DF4F79" w:rsidRDefault="00DF4F79" w:rsidP="00DF4F79">
            <w:pPr>
              <w:snapToGrid w:val="0"/>
              <w:ind w:firstLineChars="100" w:firstLine="210"/>
            </w:pPr>
            <w:r w:rsidRPr="000B7538">
              <w:rPr>
                <w:rFonts w:hint="eastAsia"/>
              </w:rPr>
              <w:t>また、VCが公共や先住民のコミュニティにおいて特に懸念される場合や、</w:t>
            </w:r>
            <w:r>
              <w:rPr>
                <w:rFonts w:hint="eastAsia"/>
              </w:rPr>
              <w:t>ミティゲーション</w:t>
            </w:r>
            <w:r w:rsidRPr="000B7538">
              <w:rPr>
                <w:rFonts w:hint="eastAsia"/>
              </w:rPr>
              <w:t>に不確実性が強く依存する場合にも、累積的影響評価に含めるべきである。</w:t>
            </w:r>
          </w:p>
          <w:p w14:paraId="7F875919" w14:textId="406155B4" w:rsidR="00996F2B" w:rsidRPr="00DF4F79" w:rsidRDefault="00DF4F79" w:rsidP="0063239F">
            <w:pPr>
              <w:snapToGrid w:val="0"/>
              <w:ind w:firstLineChars="100" w:firstLine="210"/>
            </w:pPr>
            <w:r w:rsidRPr="000B7538">
              <w:rPr>
                <w:rFonts w:hint="eastAsia"/>
              </w:rPr>
              <w:t>累積的影響評価は、過去や将来に実施される可能性のある他の</w:t>
            </w:r>
            <w:r w:rsidR="001B53DA">
              <w:rPr>
                <w:rFonts w:hint="eastAsia"/>
              </w:rPr>
              <w:t>開発行為</w:t>
            </w:r>
            <w:r w:rsidRPr="000B7538">
              <w:rPr>
                <w:rFonts w:hint="eastAsia"/>
              </w:rPr>
              <w:t>が、</w:t>
            </w:r>
            <w:r w:rsidR="00B67AD8">
              <w:rPr>
                <w:rFonts w:hint="eastAsia"/>
              </w:rPr>
              <w:t>提案プロジェクト</w:t>
            </w:r>
            <w:r w:rsidRPr="000B7538">
              <w:rPr>
                <w:rFonts w:hint="eastAsia"/>
              </w:rPr>
              <w:t>と同様のVCに影響を与える可能性がある場合に、それらの活動も考慮するべきである。</w:t>
            </w:r>
          </w:p>
        </w:tc>
      </w:tr>
      <w:tr w:rsidR="009B3F54" w14:paraId="0277B971" w14:textId="77777777" w:rsidTr="00117E04">
        <w:tc>
          <w:tcPr>
            <w:tcW w:w="2122" w:type="dxa"/>
          </w:tcPr>
          <w:p w14:paraId="0971198B" w14:textId="6ABB0E92" w:rsidR="009B3F54" w:rsidRDefault="009B3F54" w:rsidP="00117E04">
            <w:pPr>
              <w:snapToGrid w:val="0"/>
              <w:spacing w:line="280" w:lineRule="exact"/>
            </w:pPr>
            <w:r>
              <w:rPr>
                <w:rFonts w:hint="eastAsia"/>
              </w:rPr>
              <w:t>対象とする時間的な範囲</w:t>
            </w:r>
          </w:p>
        </w:tc>
        <w:tc>
          <w:tcPr>
            <w:tcW w:w="7654" w:type="dxa"/>
          </w:tcPr>
          <w:p w14:paraId="52EDA8F6" w14:textId="32EFA56B" w:rsidR="004128D5" w:rsidRPr="00F92680" w:rsidRDefault="00601335" w:rsidP="00601335">
            <w:pPr>
              <w:snapToGrid w:val="0"/>
              <w:ind w:firstLineChars="100" w:firstLine="210"/>
            </w:pPr>
            <w:r>
              <w:rPr>
                <w:rFonts w:hint="eastAsia"/>
              </w:rPr>
              <w:t>時間的境界の決定について、過去および既存の開発行為、ならびに確実であるか合理的に予見可能な将来の開発行為を考慮するべきである。また、これらの開発行為の影響が</w:t>
            </w:r>
            <w:r w:rsidR="00B67AD8">
              <w:rPr>
                <w:rFonts w:hint="eastAsia"/>
              </w:rPr>
              <w:t>提案プロジェクト</w:t>
            </w:r>
            <w:r>
              <w:rPr>
                <w:rFonts w:hint="eastAsia"/>
              </w:rPr>
              <w:t>から予測される影響とどの程度重なるかも考慮すべきである。</w:t>
            </w:r>
          </w:p>
        </w:tc>
      </w:tr>
      <w:tr w:rsidR="009B3F54" w14:paraId="576708A9" w14:textId="77777777" w:rsidTr="00117E04">
        <w:tc>
          <w:tcPr>
            <w:tcW w:w="2122" w:type="dxa"/>
          </w:tcPr>
          <w:p w14:paraId="597BA831" w14:textId="2E975A8D" w:rsidR="009B3F54" w:rsidRDefault="009B3F54" w:rsidP="00117E04">
            <w:pPr>
              <w:snapToGrid w:val="0"/>
              <w:spacing w:line="280" w:lineRule="exact"/>
            </w:pPr>
            <w:r>
              <w:rPr>
                <w:rFonts w:hint="eastAsia"/>
              </w:rPr>
              <w:t>対象とする空間的範囲</w:t>
            </w:r>
          </w:p>
        </w:tc>
        <w:tc>
          <w:tcPr>
            <w:tcW w:w="7654" w:type="dxa"/>
          </w:tcPr>
          <w:p w14:paraId="77F043D4" w14:textId="0D531DAE" w:rsidR="009B3F54" w:rsidRPr="00D16F29" w:rsidRDefault="00987C6F" w:rsidP="00D16F29">
            <w:pPr>
              <w:snapToGrid w:val="0"/>
              <w:ind w:firstLineChars="100" w:firstLine="210"/>
            </w:pPr>
            <w:r>
              <w:rPr>
                <w:rFonts w:hint="eastAsia"/>
              </w:rPr>
              <w:t>空間的境界の決定について、過去</w:t>
            </w:r>
            <w:r w:rsidR="00601335">
              <w:rPr>
                <w:rFonts w:hint="eastAsia"/>
              </w:rPr>
              <w:t>および将来の開発行為の影響を考慮するためには、</w:t>
            </w:r>
            <w:r w:rsidR="00D16F29" w:rsidRPr="00D16F29">
              <w:rPr>
                <w:rFonts w:hint="eastAsia"/>
              </w:rPr>
              <w:t>指定されたプロジェクトが選択されたVCに及ぼす</w:t>
            </w:r>
            <w:r w:rsidR="00DB7B49">
              <w:rPr>
                <w:rFonts w:hint="eastAsia"/>
              </w:rPr>
              <w:t>影響の可能性</w:t>
            </w:r>
            <w:r w:rsidR="00601335">
              <w:rPr>
                <w:rFonts w:hint="eastAsia"/>
              </w:rPr>
              <w:t>を含むように設定される必要がある。</w:t>
            </w:r>
          </w:p>
        </w:tc>
      </w:tr>
      <w:tr w:rsidR="00996F2B" w14:paraId="7DCB42D8" w14:textId="77777777" w:rsidTr="008C394E">
        <w:tc>
          <w:tcPr>
            <w:tcW w:w="2122" w:type="dxa"/>
          </w:tcPr>
          <w:p w14:paraId="324445AA" w14:textId="77777777" w:rsidR="00996F2B" w:rsidRDefault="00996F2B" w:rsidP="008C394E">
            <w:pPr>
              <w:snapToGrid w:val="0"/>
              <w:spacing w:line="280" w:lineRule="exact"/>
            </w:pPr>
            <w:r>
              <w:rPr>
                <w:rFonts w:hint="eastAsia"/>
              </w:rPr>
              <w:t>累積影響の解析の対象とする事業の範囲</w:t>
            </w:r>
          </w:p>
        </w:tc>
        <w:tc>
          <w:tcPr>
            <w:tcW w:w="7654" w:type="dxa"/>
          </w:tcPr>
          <w:p w14:paraId="6F178EBE" w14:textId="453FB260" w:rsidR="00301AA0" w:rsidRDefault="00301AA0" w:rsidP="00301AA0">
            <w:pPr>
              <w:snapToGrid w:val="0"/>
              <w:ind w:firstLineChars="100" w:firstLine="210"/>
            </w:pPr>
            <w:r w:rsidRPr="00301AA0">
              <w:rPr>
                <w:rFonts w:hint="eastAsia"/>
              </w:rPr>
              <w:t>累積的影響評価では、</w:t>
            </w:r>
            <w:r w:rsidR="00B67AD8">
              <w:rPr>
                <w:rFonts w:hint="eastAsia"/>
              </w:rPr>
              <w:t>残存影響</w:t>
            </w:r>
            <w:r w:rsidRPr="00301AA0">
              <w:rPr>
                <w:rFonts w:hint="eastAsia"/>
              </w:rPr>
              <w:t>が特定された</w:t>
            </w:r>
            <w:r w:rsidR="00B67AD8">
              <w:rPr>
                <w:rFonts w:hint="eastAsia"/>
              </w:rPr>
              <w:t>提案プロジェクト</w:t>
            </w:r>
            <w:r w:rsidRPr="00301AA0">
              <w:rPr>
                <w:rFonts w:hint="eastAsia"/>
              </w:rPr>
              <w:t>と同じVC に影響を及ぼす可能性がある場合に限り、分析時までに実施された、または将来実施されるその他の</w:t>
            </w:r>
            <w:r w:rsidR="005C55EF">
              <w:rPr>
                <w:rFonts w:hint="eastAsia"/>
              </w:rPr>
              <w:t>開発行為</w:t>
            </w:r>
            <w:r w:rsidRPr="00301AA0">
              <w:rPr>
                <w:rFonts w:hint="eastAsia"/>
              </w:rPr>
              <w:t>を考慮する必要があ</w:t>
            </w:r>
            <w:r w:rsidR="005C55EF">
              <w:rPr>
                <w:rFonts w:hint="eastAsia"/>
              </w:rPr>
              <w:t>る</w:t>
            </w:r>
            <w:r w:rsidRPr="00301AA0">
              <w:rPr>
                <w:rFonts w:hint="eastAsia"/>
              </w:rPr>
              <w:t>。</w:t>
            </w:r>
          </w:p>
          <w:p w14:paraId="0FD581B8" w14:textId="2CB27C00" w:rsidR="00D5314F" w:rsidRPr="0076191A" w:rsidRDefault="00F71DED" w:rsidP="00D5314F">
            <w:pPr>
              <w:snapToGrid w:val="0"/>
              <w:rPr>
                <w:b/>
                <w:bCs/>
              </w:rPr>
            </w:pPr>
            <w:r w:rsidRPr="00F71DED">
              <w:rPr>
                <w:rFonts w:hint="eastAsia"/>
                <w:b/>
                <w:bCs/>
              </w:rPr>
              <w:t>過去および現在行われている事業</w:t>
            </w:r>
            <w:r w:rsidR="00D5314F" w:rsidRPr="0076191A">
              <w:rPr>
                <w:rFonts w:hint="eastAsia"/>
                <w:b/>
                <w:bCs/>
              </w:rPr>
              <w:t>の調査</w:t>
            </w:r>
          </w:p>
          <w:p w14:paraId="7FA42D3E" w14:textId="6ED8423B" w:rsidR="00301AA0" w:rsidRDefault="002E75E4" w:rsidP="002E75E4">
            <w:pPr>
              <w:snapToGrid w:val="0"/>
              <w:ind w:leftChars="100" w:left="420" w:hangingChars="100" w:hanging="210"/>
            </w:pPr>
            <w:r>
              <w:rPr>
                <w:rFonts w:hint="eastAsia"/>
              </w:rPr>
              <w:t>・</w:t>
            </w:r>
            <w:r w:rsidR="00D5314F" w:rsidRPr="0076191A">
              <w:rPr>
                <w:rFonts w:hint="eastAsia"/>
              </w:rPr>
              <w:t>現在の環境、健康、社会及び経済状況は、多くの過去及び既存の</w:t>
            </w:r>
            <w:r w:rsidR="00D5314F">
              <w:rPr>
                <w:rFonts w:hint="eastAsia"/>
              </w:rPr>
              <w:t>開発行為</w:t>
            </w:r>
            <w:r w:rsidR="00D5314F" w:rsidRPr="0076191A">
              <w:rPr>
                <w:rFonts w:hint="eastAsia"/>
              </w:rPr>
              <w:t>の累積的影響を反映している。</w:t>
            </w:r>
          </w:p>
          <w:p w14:paraId="0CDE25DF" w14:textId="541FD391" w:rsidR="00D5314F" w:rsidRPr="0076191A" w:rsidRDefault="002E75E4" w:rsidP="002E75E4">
            <w:pPr>
              <w:snapToGrid w:val="0"/>
              <w:ind w:leftChars="100" w:left="420" w:hangingChars="100" w:hanging="210"/>
            </w:pPr>
            <w:r>
              <w:rPr>
                <w:rFonts w:hint="eastAsia"/>
              </w:rPr>
              <w:t>・</w:t>
            </w:r>
            <w:r w:rsidR="00D5314F" w:rsidRPr="0076191A">
              <w:rPr>
                <w:rFonts w:hint="eastAsia"/>
              </w:rPr>
              <w:t>過去の状況の説明は、特定のVCの</w:t>
            </w:r>
            <w:r w:rsidR="00D5314F">
              <w:rPr>
                <w:rFonts w:hint="eastAsia"/>
              </w:rPr>
              <w:t>累積的影響</w:t>
            </w:r>
            <w:r w:rsidR="00D5314F" w:rsidRPr="0076191A">
              <w:rPr>
                <w:rFonts w:hint="eastAsia"/>
              </w:rPr>
              <w:t>の理解</w:t>
            </w:r>
            <w:r w:rsidR="00D5314F" w:rsidRPr="00E64C15">
              <w:rPr>
                <w:rFonts w:hint="eastAsia"/>
              </w:rPr>
              <w:t>が深まることがある</w:t>
            </w:r>
            <w:r w:rsidR="00D5314F" w:rsidRPr="0076191A">
              <w:rPr>
                <w:rFonts w:hint="eastAsia"/>
              </w:rPr>
              <w:t>。</w:t>
            </w:r>
          </w:p>
          <w:p w14:paraId="7492A081" w14:textId="564BE9E2" w:rsidR="00D5314F" w:rsidRPr="0076191A" w:rsidRDefault="00D5314F" w:rsidP="00D5314F">
            <w:pPr>
              <w:snapToGrid w:val="0"/>
              <w:rPr>
                <w:b/>
                <w:bCs/>
              </w:rPr>
            </w:pPr>
            <w:r w:rsidRPr="0076191A">
              <w:rPr>
                <w:rFonts w:hint="eastAsia"/>
                <w:b/>
                <w:bCs/>
              </w:rPr>
              <w:t>実施される</w:t>
            </w:r>
            <w:r>
              <w:rPr>
                <w:rFonts w:hint="eastAsia"/>
                <w:b/>
                <w:bCs/>
              </w:rPr>
              <w:t>開発行為</w:t>
            </w:r>
            <w:r w:rsidRPr="0076191A">
              <w:rPr>
                <w:rFonts w:hint="eastAsia"/>
                <w:b/>
                <w:bCs/>
              </w:rPr>
              <w:t>の調査</w:t>
            </w:r>
          </w:p>
          <w:p w14:paraId="38245885" w14:textId="3084A19F" w:rsidR="00D5314F" w:rsidRPr="0076191A" w:rsidRDefault="00B67AD8" w:rsidP="00D5314F">
            <w:pPr>
              <w:snapToGrid w:val="0"/>
              <w:ind w:firstLineChars="100" w:firstLine="210"/>
            </w:pPr>
            <w:r>
              <w:rPr>
                <w:rFonts w:hint="eastAsia"/>
              </w:rPr>
              <w:t>提案プロジェクト</w:t>
            </w:r>
            <w:r w:rsidR="00D5314F" w:rsidRPr="0076191A">
              <w:rPr>
                <w:rFonts w:hint="eastAsia"/>
              </w:rPr>
              <w:t>の</w:t>
            </w:r>
            <w:r w:rsidR="00D5314F">
              <w:rPr>
                <w:rFonts w:hint="eastAsia"/>
              </w:rPr>
              <w:t>累積的影響</w:t>
            </w:r>
            <w:r w:rsidR="00D5314F" w:rsidRPr="0076191A">
              <w:rPr>
                <w:rFonts w:hint="eastAsia"/>
              </w:rPr>
              <w:t>アセスメントには、確実な将来の</w:t>
            </w:r>
            <w:r w:rsidR="00D5314F">
              <w:rPr>
                <w:rFonts w:hint="eastAsia"/>
              </w:rPr>
              <w:t>開発行為</w:t>
            </w:r>
            <w:r w:rsidR="00D5314F" w:rsidRPr="0076191A">
              <w:rPr>
                <w:rFonts w:hint="eastAsia"/>
              </w:rPr>
              <w:t>を含めなければならず、以下に定義するように、一般的に合理的に予見可能な</w:t>
            </w:r>
            <w:r w:rsidR="00D5314F">
              <w:rPr>
                <w:rFonts w:hint="eastAsia"/>
              </w:rPr>
              <w:t>開発行為</w:t>
            </w:r>
            <w:r w:rsidR="00D5314F" w:rsidRPr="0076191A">
              <w:rPr>
                <w:rFonts w:hint="eastAsia"/>
              </w:rPr>
              <w:t>を含めるべきである。</w:t>
            </w:r>
          </w:p>
          <w:p w14:paraId="6564B045" w14:textId="62B8764E" w:rsidR="00D5314F" w:rsidRPr="00E64C15" w:rsidRDefault="005C55EF" w:rsidP="005C55EF">
            <w:pPr>
              <w:snapToGrid w:val="0"/>
              <w:ind w:leftChars="100" w:left="421" w:hangingChars="100" w:hanging="211"/>
            </w:pPr>
            <w:r>
              <w:rPr>
                <w:rFonts w:hint="eastAsia"/>
                <w:b/>
                <w:bCs/>
              </w:rPr>
              <w:t>・</w:t>
            </w:r>
            <w:r w:rsidR="00F71DED" w:rsidRPr="00F71DED">
              <w:rPr>
                <w:rFonts w:hint="eastAsia"/>
                <w:b/>
                <w:bCs/>
              </w:rPr>
              <w:t>確実に実施される未来の事業</w:t>
            </w:r>
            <w:r w:rsidR="00D5314F" w:rsidRPr="00E64C15">
              <w:t>：</w:t>
            </w:r>
            <w:r w:rsidR="00D5314F">
              <w:t>開発行為</w:t>
            </w:r>
            <w:r w:rsidR="00D5314F" w:rsidRPr="00E64C15">
              <w:t>が実施されるか、実施される可能性が高い場合（例：提案者が必要な許可を得ている、または取得中である場合）</w:t>
            </w:r>
          </w:p>
          <w:p w14:paraId="62CB2B9E" w14:textId="70D50548" w:rsidR="00D5314F" w:rsidRPr="00E64C15" w:rsidRDefault="00D5314F" w:rsidP="005C55EF">
            <w:pPr>
              <w:snapToGrid w:val="0"/>
              <w:ind w:leftChars="100" w:left="421" w:hangingChars="100" w:hanging="211"/>
              <w:rPr>
                <w:b/>
                <w:bCs/>
              </w:rPr>
            </w:pPr>
            <w:r>
              <w:rPr>
                <w:rFonts w:hint="eastAsia"/>
                <w:b/>
                <w:bCs/>
              </w:rPr>
              <w:t>・</w:t>
            </w:r>
            <w:r w:rsidR="00F71DED" w:rsidRPr="00F71DED">
              <w:rPr>
                <w:rFonts w:hint="eastAsia"/>
                <w:b/>
                <w:bCs/>
              </w:rPr>
              <w:t>合理的に予見可能な未来の事業</w:t>
            </w:r>
            <w:r w:rsidRPr="00E64C15">
              <w:t>：</w:t>
            </w:r>
            <w:r>
              <w:t>開発行為</w:t>
            </w:r>
            <w:r w:rsidRPr="00E64C15">
              <w:t>が進行することが予想される場合（例：提案者が必要な影響評価やその他の許可を取得する意図を公に開示している場合）</w:t>
            </w:r>
          </w:p>
          <w:p w14:paraId="00314907" w14:textId="109C0969" w:rsidR="004128D5" w:rsidRPr="00D5314F" w:rsidRDefault="004128D5" w:rsidP="008C394E">
            <w:pPr>
              <w:snapToGrid w:val="0"/>
              <w:spacing w:line="280" w:lineRule="exact"/>
              <w:jc w:val="left"/>
            </w:pPr>
          </w:p>
        </w:tc>
      </w:tr>
      <w:tr w:rsidR="00EE4088" w14:paraId="6B5C0951" w14:textId="77777777" w:rsidTr="00117E04">
        <w:tc>
          <w:tcPr>
            <w:tcW w:w="2122" w:type="dxa"/>
          </w:tcPr>
          <w:p w14:paraId="322BB8A2" w14:textId="59833CED" w:rsidR="00EE4088" w:rsidRPr="00117E04" w:rsidRDefault="00EE4088" w:rsidP="00117E04">
            <w:pPr>
              <w:snapToGrid w:val="0"/>
              <w:spacing w:line="280" w:lineRule="exact"/>
            </w:pPr>
            <w:r>
              <w:rPr>
                <w:rFonts w:hint="eastAsia"/>
              </w:rPr>
              <w:t>解析ツール</w:t>
            </w:r>
          </w:p>
        </w:tc>
        <w:tc>
          <w:tcPr>
            <w:tcW w:w="7654" w:type="dxa"/>
          </w:tcPr>
          <w:p w14:paraId="5256EA01" w14:textId="2E723FAB" w:rsidR="002B763A" w:rsidRDefault="00AE5295" w:rsidP="002B763A">
            <w:pPr>
              <w:snapToGrid w:val="0"/>
              <w:spacing w:line="280" w:lineRule="exact"/>
              <w:jc w:val="left"/>
            </w:pPr>
            <w:r>
              <w:rPr>
                <w:rFonts w:hint="eastAsia"/>
              </w:rPr>
              <w:t>記載なし</w:t>
            </w:r>
          </w:p>
        </w:tc>
      </w:tr>
      <w:tr w:rsidR="00EE4088" w14:paraId="49B4B5C5" w14:textId="77777777" w:rsidTr="00117E04">
        <w:tc>
          <w:tcPr>
            <w:tcW w:w="2122" w:type="dxa"/>
          </w:tcPr>
          <w:p w14:paraId="013E49E1" w14:textId="7F0B3B03" w:rsidR="00EE4088" w:rsidRDefault="009B3F54" w:rsidP="00117E04">
            <w:pPr>
              <w:snapToGrid w:val="0"/>
              <w:spacing w:line="280" w:lineRule="exact"/>
            </w:pPr>
            <w:r>
              <w:rPr>
                <w:rFonts w:hint="eastAsia"/>
              </w:rPr>
              <w:t>評価の考え方、閾値の設定方法・設定者等</w:t>
            </w:r>
          </w:p>
        </w:tc>
        <w:tc>
          <w:tcPr>
            <w:tcW w:w="7654" w:type="dxa"/>
          </w:tcPr>
          <w:p w14:paraId="4DA4E367" w14:textId="51A7D3B9" w:rsidR="00AD787C" w:rsidRDefault="00AE5295" w:rsidP="00486175">
            <w:pPr>
              <w:snapToGrid w:val="0"/>
              <w:spacing w:line="280" w:lineRule="exact"/>
              <w:jc w:val="left"/>
            </w:pPr>
            <w:r>
              <w:rPr>
                <w:rFonts w:hint="eastAsia"/>
              </w:rPr>
              <w:t>記載なし</w:t>
            </w:r>
          </w:p>
        </w:tc>
      </w:tr>
      <w:tr w:rsidR="009B3F54" w14:paraId="11B63C26" w14:textId="77777777" w:rsidTr="00117E04">
        <w:tc>
          <w:tcPr>
            <w:tcW w:w="2122" w:type="dxa"/>
          </w:tcPr>
          <w:p w14:paraId="47DCE21B" w14:textId="1580DED9" w:rsidR="009B3F54" w:rsidRDefault="009B3F54" w:rsidP="00117E04">
            <w:pPr>
              <w:snapToGrid w:val="0"/>
              <w:spacing w:line="280" w:lineRule="exact"/>
            </w:pPr>
            <w:r>
              <w:rPr>
                <w:rFonts w:hint="eastAsia"/>
              </w:rPr>
              <w:t>ミティゲーションの責務（誰が責任を負うか）</w:t>
            </w:r>
          </w:p>
        </w:tc>
        <w:tc>
          <w:tcPr>
            <w:tcW w:w="7654" w:type="dxa"/>
          </w:tcPr>
          <w:p w14:paraId="1EEF4EDF" w14:textId="6187F1C3" w:rsidR="00A25E31" w:rsidRDefault="00A25E31" w:rsidP="00A25E31">
            <w:pPr>
              <w:snapToGrid w:val="0"/>
              <w:spacing w:line="280" w:lineRule="exact"/>
              <w:ind w:firstLineChars="100" w:firstLine="210"/>
              <w:jc w:val="left"/>
            </w:pPr>
            <w:r w:rsidRPr="00201EBB">
              <w:rPr>
                <w:rFonts w:hint="eastAsia"/>
              </w:rPr>
              <w:t>プロジェクト提案者（プロポーネント）は、技術的および経済的に実行可能な</w:t>
            </w:r>
            <w:r w:rsidR="008E3861">
              <w:rPr>
                <w:rFonts w:hint="eastAsia"/>
              </w:rPr>
              <w:t>ミティゲーション</w:t>
            </w:r>
            <w:r w:rsidRPr="00201EBB">
              <w:rPr>
                <w:rFonts w:hint="eastAsia"/>
              </w:rPr>
              <w:t>を特定し、その有効性を評価する責任を負う。</w:t>
            </w:r>
          </w:p>
          <w:p w14:paraId="7FDB0E08" w14:textId="79C170FD" w:rsidR="00C64E35" w:rsidRDefault="008E3861" w:rsidP="00AF3A9D">
            <w:pPr>
              <w:snapToGrid w:val="0"/>
              <w:spacing w:line="280" w:lineRule="exact"/>
              <w:ind w:firstLineChars="100" w:firstLine="210"/>
              <w:jc w:val="left"/>
            </w:pPr>
            <w:r>
              <w:rPr>
                <w:rFonts w:hint="eastAsia"/>
              </w:rPr>
              <w:t>ミティゲーション</w:t>
            </w:r>
            <w:r w:rsidR="00A25E31" w:rsidRPr="00244661">
              <w:rPr>
                <w:rFonts w:hint="eastAsia"/>
              </w:rPr>
              <w:t>がプロポーネントの管理範囲を超える場合、対応できる権限を持つ関係者（他の当事者）を特定し、その当事者が措置を実施することを約束しているかどうかを要約し、関連するコミュニケーション計画を示す必要がある。</w:t>
            </w:r>
          </w:p>
        </w:tc>
      </w:tr>
      <w:tr w:rsidR="009B3F54" w14:paraId="2BE4C036" w14:textId="77777777" w:rsidTr="00117E04">
        <w:tc>
          <w:tcPr>
            <w:tcW w:w="2122" w:type="dxa"/>
          </w:tcPr>
          <w:p w14:paraId="722B4D91" w14:textId="4845866F" w:rsidR="009B3F54" w:rsidRPr="00117E04" w:rsidRDefault="009B3F54" w:rsidP="00117E04">
            <w:pPr>
              <w:snapToGrid w:val="0"/>
              <w:spacing w:line="280" w:lineRule="exact"/>
            </w:pPr>
            <w:r>
              <w:rPr>
                <w:rFonts w:hint="eastAsia"/>
              </w:rPr>
              <w:t>モニタリングの責務、範囲</w:t>
            </w:r>
          </w:p>
        </w:tc>
        <w:tc>
          <w:tcPr>
            <w:tcW w:w="7654" w:type="dxa"/>
          </w:tcPr>
          <w:p w14:paraId="774B03B8" w14:textId="6556B930" w:rsidR="00A25E31" w:rsidRDefault="00486175" w:rsidP="00A25E31">
            <w:pPr>
              <w:snapToGrid w:val="0"/>
              <w:spacing w:line="280" w:lineRule="exact"/>
              <w:jc w:val="left"/>
            </w:pPr>
            <w:r>
              <w:rPr>
                <w:rFonts w:hint="eastAsia"/>
              </w:rPr>
              <w:t>モニタリングの</w:t>
            </w:r>
            <w:r w:rsidR="00A25E31">
              <w:rPr>
                <w:rFonts w:hint="eastAsia"/>
              </w:rPr>
              <w:t>責務について</w:t>
            </w:r>
          </w:p>
          <w:p w14:paraId="446D1AB1" w14:textId="598B070D" w:rsidR="00A25E31" w:rsidRDefault="00A25E31" w:rsidP="00486175">
            <w:pPr>
              <w:snapToGrid w:val="0"/>
              <w:ind w:left="210" w:hangingChars="100" w:hanging="210"/>
              <w:jc w:val="left"/>
            </w:pPr>
            <w:r>
              <w:rPr>
                <w:rFonts w:hint="eastAsia"/>
              </w:rPr>
              <w:t>・プロジェクト提案者（プロポーネント）が、フォローアッププログラムを実施する。</w:t>
            </w:r>
          </w:p>
          <w:p w14:paraId="28A5E074" w14:textId="5602F65A" w:rsidR="00A25E31" w:rsidRDefault="00A25E31" w:rsidP="00486175">
            <w:pPr>
              <w:snapToGrid w:val="0"/>
              <w:ind w:left="210" w:hangingChars="100" w:hanging="210"/>
              <w:jc w:val="left"/>
            </w:pPr>
            <w:r>
              <w:rPr>
                <w:rFonts w:hint="eastAsia"/>
              </w:rPr>
              <w:lastRenderedPageBreak/>
              <w:t>・フォローアッププログラムの目的は、影響評価の予測の正確性を検証し、軽減措置の有効性を評価することである。</w:t>
            </w:r>
          </w:p>
          <w:p w14:paraId="7EA0880C" w14:textId="0AA67E81" w:rsidR="00A25E31" w:rsidRDefault="00A25E31" w:rsidP="00486175">
            <w:pPr>
              <w:snapToGrid w:val="0"/>
              <w:ind w:left="210" w:hangingChars="100" w:hanging="210"/>
              <w:jc w:val="left"/>
            </w:pPr>
            <w:r>
              <w:rPr>
                <w:rFonts w:hint="eastAsia"/>
              </w:rPr>
              <w:t>・既存のフォローアッププログラムに参加するか、新たにプログラムを設立するかは、</w:t>
            </w:r>
            <w:r w:rsidR="00486175">
              <w:rPr>
                <w:rFonts w:hint="eastAsia"/>
              </w:rPr>
              <w:t>ケース・バイ・ケース</w:t>
            </w:r>
            <w:r>
              <w:rPr>
                <w:rFonts w:hint="eastAsia"/>
              </w:rPr>
              <w:t>で判断される。</w:t>
            </w:r>
          </w:p>
          <w:p w14:paraId="07324D09" w14:textId="1048D1B5" w:rsidR="00A25E31" w:rsidRDefault="00486175" w:rsidP="00A25E31">
            <w:pPr>
              <w:snapToGrid w:val="0"/>
              <w:spacing w:line="280" w:lineRule="exact"/>
              <w:jc w:val="left"/>
            </w:pPr>
            <w:r>
              <w:rPr>
                <w:rFonts w:hint="eastAsia"/>
              </w:rPr>
              <w:t>モニタリングの</w:t>
            </w:r>
            <w:r w:rsidR="00A25E31">
              <w:rPr>
                <w:rFonts w:hint="eastAsia"/>
              </w:rPr>
              <w:t>範囲について</w:t>
            </w:r>
          </w:p>
          <w:p w14:paraId="41F8BB55" w14:textId="45B07E64" w:rsidR="00A25E31" w:rsidRDefault="00486175" w:rsidP="00486175">
            <w:pPr>
              <w:snapToGrid w:val="0"/>
              <w:ind w:left="210" w:hangingChars="100" w:hanging="210"/>
              <w:jc w:val="left"/>
            </w:pPr>
            <w:r>
              <w:rPr>
                <w:rFonts w:hint="eastAsia"/>
              </w:rPr>
              <w:t>・</w:t>
            </w:r>
            <w:r w:rsidR="00A25E31">
              <w:rPr>
                <w:rFonts w:hint="eastAsia"/>
              </w:rPr>
              <w:t>フォローアッププログラムの枠組みを策定する際、カナダ環境評価法（CEAA）に基づくフォローアッププログラムおよび</w:t>
            </w:r>
            <w:r w:rsidR="00B67AD8">
              <w:rPr>
                <w:rFonts w:hint="eastAsia"/>
              </w:rPr>
              <w:t>順応管理</w:t>
            </w:r>
            <w:r w:rsidR="00A25E31">
              <w:rPr>
                <w:rFonts w:hint="eastAsia"/>
              </w:rPr>
              <w:t>措置に関するガイダンスを考慮することが求められる。</w:t>
            </w:r>
          </w:p>
          <w:p w14:paraId="024BAAD1" w14:textId="65140236" w:rsidR="009B3F54" w:rsidRDefault="00486175" w:rsidP="00486175">
            <w:pPr>
              <w:snapToGrid w:val="0"/>
              <w:ind w:left="210" w:hangingChars="100" w:hanging="210"/>
              <w:jc w:val="left"/>
            </w:pPr>
            <w:r>
              <w:rPr>
                <w:rFonts w:hint="eastAsia"/>
              </w:rPr>
              <w:t>・</w:t>
            </w:r>
            <w:r w:rsidR="00A25E31">
              <w:rPr>
                <w:rFonts w:hint="eastAsia"/>
              </w:rPr>
              <w:t>プロジェクトごとのTailored Impact Statement Guidelines（特定の影響評価指針）に基づき、追加の指針や考慮事項が設定される場合がある。</w:t>
            </w:r>
          </w:p>
        </w:tc>
      </w:tr>
      <w:tr w:rsidR="009B3F54" w14:paraId="7C86B46F" w14:textId="77777777" w:rsidTr="00117E04">
        <w:tc>
          <w:tcPr>
            <w:tcW w:w="2122" w:type="dxa"/>
          </w:tcPr>
          <w:p w14:paraId="533E4003" w14:textId="270F74E6" w:rsidR="009B3F54" w:rsidRDefault="009B3F54" w:rsidP="00117E04">
            <w:pPr>
              <w:snapToGrid w:val="0"/>
              <w:spacing w:line="280" w:lineRule="exact"/>
            </w:pPr>
            <w:r>
              <w:rPr>
                <w:rFonts w:hint="eastAsia"/>
              </w:rPr>
              <w:lastRenderedPageBreak/>
              <w:t>累積的影響評価における住民参加</w:t>
            </w:r>
          </w:p>
        </w:tc>
        <w:tc>
          <w:tcPr>
            <w:tcW w:w="7654" w:type="dxa"/>
          </w:tcPr>
          <w:p w14:paraId="098C9D07" w14:textId="30F10502" w:rsidR="006E1D78" w:rsidRDefault="006E1D78" w:rsidP="006E1D78">
            <w:pPr>
              <w:snapToGrid w:val="0"/>
              <w:spacing w:line="280" w:lineRule="exact"/>
              <w:jc w:val="left"/>
            </w:pPr>
            <w:r>
              <w:rPr>
                <w:rFonts w:hint="eastAsia"/>
              </w:rPr>
              <w:t>1. スコーピング（Step1:Scoping）における住民参加</w:t>
            </w:r>
          </w:p>
          <w:p w14:paraId="734AAF94" w14:textId="708C1C01" w:rsidR="00BE6253" w:rsidRDefault="00720CBB" w:rsidP="00BE6253">
            <w:pPr>
              <w:snapToGrid w:val="0"/>
              <w:ind w:left="210" w:hangingChars="100" w:hanging="210"/>
              <w:jc w:val="left"/>
              <w:rPr>
                <w:rStyle w:val="rynqvb"/>
              </w:rPr>
            </w:pPr>
            <w:r>
              <w:rPr>
                <w:rFonts w:hint="eastAsia"/>
              </w:rPr>
              <w:t>・</w:t>
            </w:r>
            <w:r w:rsidR="007F41A1" w:rsidRPr="007F41A1">
              <w:rPr>
                <w:rFonts w:hint="eastAsia"/>
              </w:rPr>
              <w:t>累積影響評価の</w:t>
            </w:r>
            <w:r w:rsidR="007F41A1">
              <w:rPr>
                <w:rFonts w:hint="eastAsia"/>
              </w:rPr>
              <w:t>範囲</w:t>
            </w:r>
            <w:r w:rsidR="00BE6253">
              <w:rPr>
                <w:rStyle w:val="rynqvb"/>
                <w:rFonts w:hint="eastAsia"/>
              </w:rPr>
              <w:t>は、先住民コミュニティまたは一般の人々から提供される情報、知識、およびコメントを考慮して調整され</w:t>
            </w:r>
            <w:r w:rsidR="00EE7D5C">
              <w:rPr>
                <w:rStyle w:val="rynqvb"/>
                <w:rFonts w:hint="eastAsia"/>
              </w:rPr>
              <w:t>る</w:t>
            </w:r>
            <w:r w:rsidR="00BE6253">
              <w:rPr>
                <w:rStyle w:val="rynqvb"/>
                <w:rFonts w:hint="eastAsia"/>
              </w:rPr>
              <w:t>。</w:t>
            </w:r>
          </w:p>
          <w:p w14:paraId="413B33DE" w14:textId="13BA75ED" w:rsidR="006E1D78" w:rsidRDefault="006E1D78" w:rsidP="00BE6253">
            <w:pPr>
              <w:snapToGrid w:val="0"/>
              <w:ind w:left="210" w:hangingChars="100" w:hanging="210"/>
              <w:jc w:val="left"/>
            </w:pPr>
            <w:r>
              <w:rPr>
                <w:rFonts w:hint="eastAsia"/>
              </w:rPr>
              <w:t>2. 解析（Step2:Analysis）における住民参加</w:t>
            </w:r>
          </w:p>
          <w:p w14:paraId="46788509" w14:textId="3B1E3AFF" w:rsidR="00212294" w:rsidRDefault="00720CBB" w:rsidP="00DC7A24">
            <w:pPr>
              <w:snapToGrid w:val="0"/>
              <w:spacing w:line="280" w:lineRule="exact"/>
              <w:ind w:leftChars="100" w:left="420" w:hangingChars="100" w:hanging="210"/>
              <w:jc w:val="left"/>
            </w:pPr>
            <w:r>
              <w:rPr>
                <w:rFonts w:hint="eastAsia"/>
              </w:rPr>
              <w:t>・</w:t>
            </w:r>
            <w:r w:rsidR="006E1D78">
              <w:rPr>
                <w:rFonts w:hint="eastAsia"/>
              </w:rPr>
              <w:t>先住民コミュニティ</w:t>
            </w:r>
            <w:r w:rsidR="00A95C39">
              <w:rPr>
                <w:rFonts w:hint="eastAsia"/>
              </w:rPr>
              <w:t>の意見</w:t>
            </w:r>
            <w:r w:rsidR="006E1D78">
              <w:rPr>
                <w:rFonts w:hint="eastAsia"/>
              </w:rPr>
              <w:t>は、</w:t>
            </w:r>
            <w:r w:rsidR="00A95C39" w:rsidRPr="00A95C39">
              <w:rPr>
                <w:rFonts w:hint="eastAsia"/>
              </w:rPr>
              <w:t>累積的影響評価のすべての部分（空間的および時間的範囲、VC と物理的活動のセクション、影響の緩和と特徴付けなど）に反映される必要があ</w:t>
            </w:r>
            <w:r w:rsidR="00DC7A24">
              <w:rPr>
                <w:rFonts w:hint="eastAsia"/>
              </w:rPr>
              <w:t>る</w:t>
            </w:r>
            <w:r w:rsidR="00A95C39" w:rsidRPr="00A95C39">
              <w:rPr>
                <w:rFonts w:hint="eastAsia"/>
              </w:rPr>
              <w:t>。</w:t>
            </w:r>
          </w:p>
          <w:p w14:paraId="162AA19D" w14:textId="1EEE64F1" w:rsidR="00212294" w:rsidRDefault="00A63888" w:rsidP="006E1D78">
            <w:pPr>
              <w:snapToGrid w:val="0"/>
              <w:spacing w:line="280" w:lineRule="exact"/>
              <w:ind w:leftChars="100" w:left="420" w:hangingChars="100" w:hanging="210"/>
              <w:jc w:val="left"/>
            </w:pPr>
            <w:r>
              <w:rPr>
                <w:rFonts w:hint="eastAsia"/>
              </w:rPr>
              <w:t>・</w:t>
            </w:r>
            <w:r w:rsidR="00212294" w:rsidRPr="00212294">
              <w:rPr>
                <w:rFonts w:hint="eastAsia"/>
              </w:rPr>
              <w:t>さらに、先住民の権利への影響の評価では、累積的影響の</w:t>
            </w:r>
            <w:r w:rsidR="00212294">
              <w:rPr>
                <w:rFonts w:hint="eastAsia"/>
              </w:rPr>
              <w:t>文脈</w:t>
            </w:r>
            <w:r w:rsidR="00212294" w:rsidRPr="00212294">
              <w:rPr>
                <w:rFonts w:hint="eastAsia"/>
              </w:rPr>
              <w:t>を考慮する必要があ</w:t>
            </w:r>
            <w:r w:rsidR="002E3055">
              <w:rPr>
                <w:rFonts w:hint="eastAsia"/>
              </w:rPr>
              <w:t>る</w:t>
            </w:r>
            <w:r w:rsidR="00212294" w:rsidRPr="00212294">
              <w:rPr>
                <w:rFonts w:hint="eastAsia"/>
              </w:rPr>
              <w:t>。</w:t>
            </w:r>
          </w:p>
        </w:tc>
      </w:tr>
      <w:tr w:rsidR="009B3F54" w14:paraId="2556573E" w14:textId="77777777" w:rsidTr="00117E04">
        <w:tc>
          <w:tcPr>
            <w:tcW w:w="2122" w:type="dxa"/>
          </w:tcPr>
          <w:p w14:paraId="2EBAD001" w14:textId="3BFB765B" w:rsidR="009B3F54" w:rsidRDefault="009B3F54" w:rsidP="00117E04">
            <w:pPr>
              <w:snapToGrid w:val="0"/>
              <w:spacing w:line="280" w:lineRule="exact"/>
            </w:pPr>
            <w:r>
              <w:rPr>
                <w:rFonts w:hint="eastAsia"/>
              </w:rPr>
              <w:t>データベース等支援システム</w:t>
            </w:r>
            <w:r w:rsidR="00F1076E">
              <w:rPr>
                <w:rFonts w:hint="eastAsia"/>
              </w:rPr>
              <w:t>の有無</w:t>
            </w:r>
          </w:p>
        </w:tc>
        <w:tc>
          <w:tcPr>
            <w:tcW w:w="7654" w:type="dxa"/>
          </w:tcPr>
          <w:p w14:paraId="4FCA777A" w14:textId="27BAEA7F" w:rsidR="009B3F54" w:rsidRDefault="00AE5295" w:rsidP="00D0173E">
            <w:pPr>
              <w:snapToGrid w:val="0"/>
              <w:spacing w:line="280" w:lineRule="exact"/>
              <w:jc w:val="left"/>
            </w:pPr>
            <w:r>
              <w:rPr>
                <w:rFonts w:hint="eastAsia"/>
              </w:rPr>
              <w:t>記載なし</w:t>
            </w:r>
          </w:p>
        </w:tc>
      </w:tr>
      <w:tr w:rsidR="00117E04" w14:paraId="263836C4" w14:textId="77777777" w:rsidTr="00117E04">
        <w:tc>
          <w:tcPr>
            <w:tcW w:w="2122" w:type="dxa"/>
          </w:tcPr>
          <w:p w14:paraId="749BDFBF" w14:textId="7BF746C9" w:rsidR="00117E04" w:rsidRDefault="00117E04" w:rsidP="00117E04">
            <w:pPr>
              <w:snapToGrid w:val="0"/>
              <w:spacing w:line="280" w:lineRule="exact"/>
            </w:pPr>
            <w:r w:rsidRPr="00117E04">
              <w:rPr>
                <w:rFonts w:hint="eastAsia"/>
              </w:rPr>
              <w:t>推奨されている優良事例とそのポイント</w:t>
            </w:r>
          </w:p>
        </w:tc>
        <w:tc>
          <w:tcPr>
            <w:tcW w:w="7654" w:type="dxa"/>
          </w:tcPr>
          <w:p w14:paraId="1AE38A2A" w14:textId="737DAFDB" w:rsidR="00AF270E" w:rsidRDefault="00AE5295" w:rsidP="00117E04">
            <w:pPr>
              <w:snapToGrid w:val="0"/>
              <w:spacing w:line="280" w:lineRule="exact"/>
            </w:pPr>
            <w:r>
              <w:rPr>
                <w:rFonts w:hint="eastAsia"/>
              </w:rPr>
              <w:t>記載なし</w:t>
            </w:r>
          </w:p>
        </w:tc>
      </w:tr>
      <w:tr w:rsidR="00AF270E" w14:paraId="7034AC13" w14:textId="77777777" w:rsidTr="00117E04">
        <w:tc>
          <w:tcPr>
            <w:tcW w:w="2122" w:type="dxa"/>
          </w:tcPr>
          <w:p w14:paraId="077A78D6" w14:textId="4FB2D2D7" w:rsidR="00AF270E" w:rsidRDefault="00AF270E" w:rsidP="00117E04">
            <w:pPr>
              <w:snapToGrid w:val="0"/>
              <w:spacing w:line="280" w:lineRule="exact"/>
            </w:pPr>
            <w:r>
              <w:rPr>
                <w:rFonts w:hint="eastAsia"/>
              </w:rPr>
              <w:t>累積的影響評価を実施する上での課題等</w:t>
            </w:r>
          </w:p>
        </w:tc>
        <w:tc>
          <w:tcPr>
            <w:tcW w:w="7654" w:type="dxa"/>
          </w:tcPr>
          <w:p w14:paraId="007A55A8" w14:textId="37D06B0E" w:rsidR="00AF270E" w:rsidRDefault="00AE5295" w:rsidP="00117E04">
            <w:pPr>
              <w:snapToGrid w:val="0"/>
              <w:spacing w:line="280" w:lineRule="exact"/>
            </w:pPr>
            <w:r>
              <w:rPr>
                <w:rFonts w:hint="eastAsia"/>
              </w:rPr>
              <w:t>記載なし</w:t>
            </w:r>
          </w:p>
        </w:tc>
      </w:tr>
      <w:tr w:rsidR="00117E04" w14:paraId="0370DAE4" w14:textId="77777777" w:rsidTr="00117E04">
        <w:tc>
          <w:tcPr>
            <w:tcW w:w="2122" w:type="dxa"/>
          </w:tcPr>
          <w:p w14:paraId="76E0BB69" w14:textId="77777777" w:rsidR="00117E04" w:rsidRDefault="00117E04" w:rsidP="00117E04">
            <w:pPr>
              <w:snapToGrid w:val="0"/>
              <w:spacing w:line="280" w:lineRule="exact"/>
            </w:pPr>
            <w:r>
              <w:rPr>
                <w:rFonts w:hint="eastAsia"/>
              </w:rPr>
              <w:t>その他特記事項</w:t>
            </w:r>
          </w:p>
          <w:p w14:paraId="5599B7F2" w14:textId="6D092445" w:rsidR="001A2163" w:rsidRDefault="001A2163" w:rsidP="001A2163">
            <w:pPr>
              <w:snapToGrid w:val="0"/>
              <w:spacing w:line="280" w:lineRule="exact"/>
              <w:jc w:val="right"/>
            </w:pPr>
          </w:p>
        </w:tc>
        <w:tc>
          <w:tcPr>
            <w:tcW w:w="7654" w:type="dxa"/>
          </w:tcPr>
          <w:p w14:paraId="0532A858" w14:textId="26749803" w:rsidR="00097C22" w:rsidRDefault="00BE7CB7" w:rsidP="00117E04">
            <w:pPr>
              <w:snapToGrid w:val="0"/>
              <w:spacing w:line="280" w:lineRule="exact"/>
            </w:pPr>
            <w:r>
              <w:rPr>
                <w:rFonts w:hint="eastAsia"/>
              </w:rPr>
              <w:t>どの程度の努力量で累積的影響評価を行うかは、事業特性によりケース・バイ・ケース。</w:t>
            </w:r>
          </w:p>
        </w:tc>
      </w:tr>
    </w:tbl>
    <w:p w14:paraId="5EDFF910" w14:textId="77777777" w:rsidR="00117E04" w:rsidRDefault="00117E04" w:rsidP="00117E04"/>
    <w:sectPr w:rsidR="00117E04" w:rsidSect="00117E0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9CE5D" w14:textId="77777777" w:rsidR="002D5E59" w:rsidRDefault="002D5E59" w:rsidP="00320C2B">
      <w:r>
        <w:separator/>
      </w:r>
    </w:p>
  </w:endnote>
  <w:endnote w:type="continuationSeparator" w:id="0">
    <w:p w14:paraId="0700C6C8" w14:textId="77777777" w:rsidR="002D5E59" w:rsidRDefault="002D5E59"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D5335" w14:textId="77777777" w:rsidR="002D5E59" w:rsidRDefault="002D5E59" w:rsidP="00320C2B">
      <w:r>
        <w:separator/>
      </w:r>
    </w:p>
  </w:footnote>
  <w:footnote w:type="continuationSeparator" w:id="0">
    <w:p w14:paraId="5270194E" w14:textId="77777777" w:rsidR="002D5E59" w:rsidRDefault="002D5E59" w:rsidP="00320C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111A8"/>
    <w:rsid w:val="00013EEA"/>
    <w:rsid w:val="00085FA5"/>
    <w:rsid w:val="00090EC1"/>
    <w:rsid w:val="00092AE5"/>
    <w:rsid w:val="00097C22"/>
    <w:rsid w:val="000B7C1E"/>
    <w:rsid w:val="000C3F36"/>
    <w:rsid w:val="00117E04"/>
    <w:rsid w:val="00123B26"/>
    <w:rsid w:val="001734A8"/>
    <w:rsid w:val="001A2163"/>
    <w:rsid w:val="001A7A96"/>
    <w:rsid w:val="001B53DA"/>
    <w:rsid w:val="00201EBB"/>
    <w:rsid w:val="00210AFD"/>
    <w:rsid w:val="00212294"/>
    <w:rsid w:val="00226935"/>
    <w:rsid w:val="00226BBF"/>
    <w:rsid w:val="00244661"/>
    <w:rsid w:val="00252B73"/>
    <w:rsid w:val="002B763A"/>
    <w:rsid w:val="002D002E"/>
    <w:rsid w:val="002D5BBA"/>
    <w:rsid w:val="002D5C0A"/>
    <w:rsid w:val="002D5E59"/>
    <w:rsid w:val="002E3055"/>
    <w:rsid w:val="002E3CD6"/>
    <w:rsid w:val="002E75E4"/>
    <w:rsid w:val="00301AA0"/>
    <w:rsid w:val="00320C2B"/>
    <w:rsid w:val="00366AC3"/>
    <w:rsid w:val="00370A05"/>
    <w:rsid w:val="00373248"/>
    <w:rsid w:val="004128D5"/>
    <w:rsid w:val="00425CDB"/>
    <w:rsid w:val="00484A18"/>
    <w:rsid w:val="00486175"/>
    <w:rsid w:val="00486ADB"/>
    <w:rsid w:val="004871EA"/>
    <w:rsid w:val="00505073"/>
    <w:rsid w:val="005109C9"/>
    <w:rsid w:val="00521555"/>
    <w:rsid w:val="00543A2B"/>
    <w:rsid w:val="00562F62"/>
    <w:rsid w:val="00565F3D"/>
    <w:rsid w:val="00580946"/>
    <w:rsid w:val="005868BF"/>
    <w:rsid w:val="00587C58"/>
    <w:rsid w:val="005915BA"/>
    <w:rsid w:val="00593248"/>
    <w:rsid w:val="005B7880"/>
    <w:rsid w:val="005C55EF"/>
    <w:rsid w:val="005F7CE0"/>
    <w:rsid w:val="00601335"/>
    <w:rsid w:val="0063239F"/>
    <w:rsid w:val="00661032"/>
    <w:rsid w:val="00672A5D"/>
    <w:rsid w:val="006E1D78"/>
    <w:rsid w:val="006F3AE7"/>
    <w:rsid w:val="00720CBB"/>
    <w:rsid w:val="00753524"/>
    <w:rsid w:val="00757F6E"/>
    <w:rsid w:val="007A7214"/>
    <w:rsid w:val="007B3B20"/>
    <w:rsid w:val="007F41A1"/>
    <w:rsid w:val="008049DA"/>
    <w:rsid w:val="00826D81"/>
    <w:rsid w:val="00832D1B"/>
    <w:rsid w:val="00836732"/>
    <w:rsid w:val="00875ACF"/>
    <w:rsid w:val="008C2817"/>
    <w:rsid w:val="008C32BB"/>
    <w:rsid w:val="008D1BEC"/>
    <w:rsid w:val="008E3861"/>
    <w:rsid w:val="00901F7D"/>
    <w:rsid w:val="00933C5B"/>
    <w:rsid w:val="00944470"/>
    <w:rsid w:val="0096210A"/>
    <w:rsid w:val="00985548"/>
    <w:rsid w:val="00987C6F"/>
    <w:rsid w:val="00996F2B"/>
    <w:rsid w:val="009B3F54"/>
    <w:rsid w:val="009C111D"/>
    <w:rsid w:val="009E6B8F"/>
    <w:rsid w:val="00A10DE4"/>
    <w:rsid w:val="00A25675"/>
    <w:rsid w:val="00A25E31"/>
    <w:rsid w:val="00A63888"/>
    <w:rsid w:val="00A65845"/>
    <w:rsid w:val="00A761D7"/>
    <w:rsid w:val="00A95C39"/>
    <w:rsid w:val="00AA2A26"/>
    <w:rsid w:val="00AC5160"/>
    <w:rsid w:val="00AD787C"/>
    <w:rsid w:val="00AE24DD"/>
    <w:rsid w:val="00AE5295"/>
    <w:rsid w:val="00AE6A02"/>
    <w:rsid w:val="00AF270E"/>
    <w:rsid w:val="00AF3A9D"/>
    <w:rsid w:val="00B00E24"/>
    <w:rsid w:val="00B36527"/>
    <w:rsid w:val="00B4486D"/>
    <w:rsid w:val="00B67AD8"/>
    <w:rsid w:val="00BE6253"/>
    <w:rsid w:val="00BE7CB7"/>
    <w:rsid w:val="00C16EC3"/>
    <w:rsid w:val="00C64E35"/>
    <w:rsid w:val="00CF5A57"/>
    <w:rsid w:val="00D00E13"/>
    <w:rsid w:val="00D0173E"/>
    <w:rsid w:val="00D16F29"/>
    <w:rsid w:val="00D42DF5"/>
    <w:rsid w:val="00D5314F"/>
    <w:rsid w:val="00D57421"/>
    <w:rsid w:val="00D74128"/>
    <w:rsid w:val="00D80258"/>
    <w:rsid w:val="00DB7B49"/>
    <w:rsid w:val="00DC4193"/>
    <w:rsid w:val="00DC7A24"/>
    <w:rsid w:val="00DF4F79"/>
    <w:rsid w:val="00E0707C"/>
    <w:rsid w:val="00E11B22"/>
    <w:rsid w:val="00E2550F"/>
    <w:rsid w:val="00E46CB0"/>
    <w:rsid w:val="00E51DC3"/>
    <w:rsid w:val="00EE4088"/>
    <w:rsid w:val="00EE7D5C"/>
    <w:rsid w:val="00F0420D"/>
    <w:rsid w:val="00F1076E"/>
    <w:rsid w:val="00F11F1D"/>
    <w:rsid w:val="00F44D6D"/>
    <w:rsid w:val="00F71DED"/>
    <w:rsid w:val="00F908BB"/>
    <w:rsid w:val="00F92680"/>
    <w:rsid w:val="00FB5C9B"/>
    <w:rsid w:val="00FE1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AFA8F763-9559-4A2B-81F0-628ABF20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86D"/>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character" w:customStyle="1" w:styleId="rynqvb">
    <w:name w:val="rynqvb"/>
    <w:basedOn w:val="a0"/>
    <w:rsid w:val="00A10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4281</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2025-03-31T07:11:00Z</dcterms:created>
  <dcterms:modified xsi:type="dcterms:W3CDTF">2025-03-31T07:11:00Z</dcterms:modified>
</cp:coreProperties>
</file>