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011227D0" w:rsidR="000C3F36" w:rsidRDefault="000C3F36" w:rsidP="00117E04">
      <w:r>
        <w:rPr>
          <w:rFonts w:hint="eastAsia"/>
        </w:rPr>
        <w:t>ガイド</w:t>
      </w:r>
      <w:r w:rsidR="00117E04">
        <w:rPr>
          <w:rFonts w:hint="eastAsia"/>
        </w:rPr>
        <w:t>ライン個票</w:t>
      </w:r>
      <w:r w:rsidR="009E6B8F">
        <w:rPr>
          <w:rFonts w:hint="eastAsia"/>
        </w:rPr>
        <w:t xml:space="preserve">　加</w:t>
      </w:r>
      <w:r w:rsidR="0035629A">
        <w:rPr>
          <w:rFonts w:hint="eastAsia"/>
        </w:rPr>
        <w:t>1</w:t>
      </w:r>
    </w:p>
    <w:tbl>
      <w:tblPr>
        <w:tblStyle w:val="ac"/>
        <w:tblW w:w="9776" w:type="dxa"/>
        <w:tblLook w:val="04A0" w:firstRow="1" w:lastRow="0" w:firstColumn="1" w:lastColumn="0" w:noHBand="0" w:noVBand="1"/>
      </w:tblPr>
      <w:tblGrid>
        <w:gridCol w:w="2122"/>
        <w:gridCol w:w="7654"/>
      </w:tblGrid>
      <w:tr w:rsidR="00040238" w14:paraId="02FD2B03" w14:textId="77777777" w:rsidTr="00117E04">
        <w:tc>
          <w:tcPr>
            <w:tcW w:w="2122" w:type="dxa"/>
          </w:tcPr>
          <w:p w14:paraId="2B50C1B5" w14:textId="7A5B3E05" w:rsidR="00040238" w:rsidRDefault="00040238" w:rsidP="00040238">
            <w:pPr>
              <w:snapToGrid w:val="0"/>
              <w:spacing w:line="280" w:lineRule="exact"/>
            </w:pPr>
            <w:r>
              <w:rPr>
                <w:rFonts w:hint="eastAsia"/>
              </w:rPr>
              <w:t>ガイドライン名</w:t>
            </w:r>
          </w:p>
        </w:tc>
        <w:tc>
          <w:tcPr>
            <w:tcW w:w="7654" w:type="dxa"/>
          </w:tcPr>
          <w:p w14:paraId="6D7FCE9B" w14:textId="77777777" w:rsidR="0035629A" w:rsidRDefault="0035629A" w:rsidP="00AF1B4E">
            <w:pPr>
              <w:snapToGrid w:val="0"/>
              <w:jc w:val="left"/>
            </w:pPr>
            <w:r>
              <w:rPr>
                <w:rFonts w:hint="eastAsia"/>
              </w:rPr>
              <w:t>2012年カナダ環境アセスメント法における累積環境影響の評価</w:t>
            </w:r>
          </w:p>
          <w:p w14:paraId="5B25F2C3" w14:textId="77777777" w:rsidR="0035629A" w:rsidRDefault="0035629A" w:rsidP="00AF1B4E">
            <w:pPr>
              <w:snapToGrid w:val="0"/>
              <w:jc w:val="left"/>
            </w:pPr>
            <w:r>
              <w:rPr>
                <w:rFonts w:hint="eastAsia"/>
              </w:rPr>
              <w:t>暫定テクニカルガイダンス</w:t>
            </w:r>
          </w:p>
          <w:p w14:paraId="5423F865" w14:textId="59DF16C1" w:rsidR="00040238" w:rsidRDefault="0035629A" w:rsidP="00AF1B4E">
            <w:pPr>
              <w:snapToGrid w:val="0"/>
              <w:spacing w:line="280" w:lineRule="exact"/>
              <w:jc w:val="left"/>
            </w:pPr>
            <w:r>
              <w:t>Assessing Cumulative</w:t>
            </w:r>
            <w:r>
              <w:rPr>
                <w:rFonts w:hint="eastAsia"/>
              </w:rPr>
              <w:t xml:space="preserve"> </w:t>
            </w:r>
            <w:r>
              <w:t>Environmental Effects under the Canadian Environmental Assessment Act, 2012</w:t>
            </w:r>
            <w:r>
              <w:rPr>
                <w:rFonts w:hint="eastAsia"/>
              </w:rPr>
              <w:t xml:space="preserve"> </w:t>
            </w:r>
            <w:r>
              <w:t>Interim Technical Guidance</w:t>
            </w:r>
          </w:p>
        </w:tc>
      </w:tr>
      <w:tr w:rsidR="0035629A" w14:paraId="46AEF617" w14:textId="77777777" w:rsidTr="00117E04">
        <w:tc>
          <w:tcPr>
            <w:tcW w:w="2122" w:type="dxa"/>
          </w:tcPr>
          <w:p w14:paraId="4567D048" w14:textId="58E00967" w:rsidR="0035629A" w:rsidRDefault="0035629A" w:rsidP="0035629A">
            <w:pPr>
              <w:snapToGrid w:val="0"/>
              <w:spacing w:line="280" w:lineRule="exact"/>
            </w:pPr>
            <w:r>
              <w:rPr>
                <w:rFonts w:hint="eastAsia"/>
              </w:rPr>
              <w:t>発行者、発行年月</w:t>
            </w:r>
          </w:p>
        </w:tc>
        <w:tc>
          <w:tcPr>
            <w:tcW w:w="7654" w:type="dxa"/>
          </w:tcPr>
          <w:p w14:paraId="3AAE2ADB" w14:textId="7DD15C92" w:rsidR="0035629A" w:rsidRDefault="0035629A" w:rsidP="0035629A">
            <w:pPr>
              <w:snapToGrid w:val="0"/>
              <w:spacing w:line="280" w:lineRule="exact"/>
            </w:pPr>
            <w:r>
              <w:rPr>
                <w:rFonts w:hint="eastAsia"/>
              </w:rPr>
              <w:t>カナダ環境アセスメント庁（</w:t>
            </w:r>
            <w:r w:rsidRPr="002F7A90">
              <w:t>Canadian Environmental Assessment Agency</w:t>
            </w:r>
            <w:r>
              <w:rPr>
                <w:rFonts w:hint="eastAsia"/>
              </w:rPr>
              <w:t>）、2018.3</w:t>
            </w:r>
          </w:p>
        </w:tc>
      </w:tr>
      <w:tr w:rsidR="0035629A" w14:paraId="64204EB0" w14:textId="77777777" w:rsidTr="00117E04">
        <w:tc>
          <w:tcPr>
            <w:tcW w:w="2122" w:type="dxa"/>
          </w:tcPr>
          <w:p w14:paraId="3E8AAD16" w14:textId="68A20B55" w:rsidR="0035629A" w:rsidRPr="00117E04" w:rsidRDefault="0035629A" w:rsidP="0035629A">
            <w:pPr>
              <w:snapToGrid w:val="0"/>
              <w:spacing w:line="280" w:lineRule="exact"/>
            </w:pPr>
            <w:r>
              <w:rPr>
                <w:rFonts w:hint="eastAsia"/>
              </w:rPr>
              <w:t>頁数</w:t>
            </w:r>
          </w:p>
        </w:tc>
        <w:tc>
          <w:tcPr>
            <w:tcW w:w="7654" w:type="dxa"/>
          </w:tcPr>
          <w:p w14:paraId="691EF816" w14:textId="6BFCC385" w:rsidR="0035629A" w:rsidRDefault="0035629A" w:rsidP="0035629A">
            <w:pPr>
              <w:snapToGrid w:val="0"/>
              <w:spacing w:line="280" w:lineRule="exact"/>
            </w:pPr>
            <w:r>
              <w:rPr>
                <w:rFonts w:hint="eastAsia"/>
              </w:rPr>
              <w:t>56ページ</w:t>
            </w:r>
          </w:p>
        </w:tc>
      </w:tr>
      <w:tr w:rsidR="0035629A" w14:paraId="4FBA8BC1" w14:textId="77777777" w:rsidTr="008C394E">
        <w:tc>
          <w:tcPr>
            <w:tcW w:w="2122" w:type="dxa"/>
          </w:tcPr>
          <w:p w14:paraId="77400C89" w14:textId="4166FAE5" w:rsidR="0035629A" w:rsidRPr="00117E04" w:rsidRDefault="0035629A" w:rsidP="0035629A">
            <w:pPr>
              <w:snapToGrid w:val="0"/>
              <w:spacing w:line="280" w:lineRule="exact"/>
            </w:pPr>
            <w:r>
              <w:rPr>
                <w:rFonts w:hint="eastAsia"/>
              </w:rPr>
              <w:t>法的根拠・位置づけ</w:t>
            </w:r>
          </w:p>
        </w:tc>
        <w:tc>
          <w:tcPr>
            <w:tcW w:w="7654" w:type="dxa"/>
          </w:tcPr>
          <w:p w14:paraId="6F2DEBC3" w14:textId="210F3783" w:rsidR="0035629A" w:rsidRPr="0035629A" w:rsidRDefault="0035629A" w:rsidP="00647279">
            <w:pPr>
              <w:snapToGrid w:val="0"/>
              <w:ind w:firstLineChars="100" w:firstLine="210"/>
            </w:pPr>
            <w:r w:rsidRPr="008F5E52">
              <w:rPr>
                <w:rFonts w:hint="eastAsia"/>
              </w:rPr>
              <w:t>本文書は、CEAA 2012およびOPSで示されるアプローチの実施を支援するための方法論の選択肢や考察を提供し、高品質な環境評価（EA）を達成するための手助けをすることを目的としている。</w:t>
            </w:r>
          </w:p>
        </w:tc>
      </w:tr>
      <w:tr w:rsidR="0035629A" w14:paraId="52B5E61D" w14:textId="77777777" w:rsidTr="00117E04">
        <w:tc>
          <w:tcPr>
            <w:tcW w:w="2122" w:type="dxa"/>
          </w:tcPr>
          <w:p w14:paraId="4123A4BA" w14:textId="6CA8CAAF" w:rsidR="0035629A" w:rsidRDefault="0035629A" w:rsidP="0035629A">
            <w:pPr>
              <w:snapToGrid w:val="0"/>
              <w:spacing w:line="280" w:lineRule="exact"/>
            </w:pPr>
            <w:r w:rsidRPr="00117E04">
              <w:rPr>
                <w:rFonts w:hint="eastAsia"/>
              </w:rPr>
              <w:t>ガイドライン対象</w:t>
            </w:r>
            <w:r>
              <w:rPr>
                <w:rFonts w:hint="eastAsia"/>
              </w:rPr>
              <w:t>者</w:t>
            </w:r>
          </w:p>
        </w:tc>
        <w:tc>
          <w:tcPr>
            <w:tcW w:w="7654" w:type="dxa"/>
          </w:tcPr>
          <w:p w14:paraId="0F733B48" w14:textId="68D615EF" w:rsidR="0035629A" w:rsidRDefault="0035629A" w:rsidP="00AF1B4E">
            <w:pPr>
              <w:snapToGrid w:val="0"/>
              <w:spacing w:line="280" w:lineRule="exact"/>
              <w:ind w:firstLineChars="100" w:firstLine="210"/>
            </w:pPr>
            <w:r w:rsidRPr="0035629A">
              <w:rPr>
                <w:rFonts w:hint="eastAsia"/>
              </w:rPr>
              <w:t>この文書は、アセスメント庁が策定する指令書（環境影響評価書（EIS）ガイドライン等）の準備に役立つ情報を提供するとともに、事業者がEISを作成する際の支援となる。また、アセスメント庁の職員が連邦アセスメントに関与する主体（事業者、連邦機関、他の管轄区域、先住民グループ、市民など）とやりとりを行う際の指針を提供する役割も果たしている。</w:t>
            </w:r>
          </w:p>
        </w:tc>
      </w:tr>
      <w:tr w:rsidR="0035629A" w14:paraId="4B90E042" w14:textId="77777777" w:rsidTr="00117E04">
        <w:tc>
          <w:tcPr>
            <w:tcW w:w="2122" w:type="dxa"/>
          </w:tcPr>
          <w:p w14:paraId="158DDFF2" w14:textId="6A99ABE5" w:rsidR="0035629A" w:rsidRPr="00117E04" w:rsidRDefault="0035629A" w:rsidP="0035629A">
            <w:pPr>
              <w:snapToGrid w:val="0"/>
              <w:spacing w:line="280" w:lineRule="exact"/>
            </w:pPr>
            <w:r>
              <w:rPr>
                <w:rFonts w:hint="eastAsia"/>
              </w:rPr>
              <w:t>対象とする事業・計画</w:t>
            </w:r>
          </w:p>
        </w:tc>
        <w:tc>
          <w:tcPr>
            <w:tcW w:w="7654" w:type="dxa"/>
          </w:tcPr>
          <w:p w14:paraId="7ED4FA3D" w14:textId="43403758" w:rsidR="0035629A" w:rsidRDefault="00AF1B4E" w:rsidP="0035629A">
            <w:pPr>
              <w:snapToGrid w:val="0"/>
              <w:spacing w:line="280" w:lineRule="exact"/>
            </w:pPr>
            <w:r w:rsidRPr="009966BB">
              <w:rPr>
                <w:rFonts w:hint="eastAsia"/>
              </w:rPr>
              <w:t>記載なし</w:t>
            </w:r>
          </w:p>
        </w:tc>
      </w:tr>
      <w:tr w:rsidR="0035629A" w14:paraId="17302920" w14:textId="77777777" w:rsidTr="00117E04">
        <w:tc>
          <w:tcPr>
            <w:tcW w:w="2122" w:type="dxa"/>
          </w:tcPr>
          <w:p w14:paraId="2749BFC7" w14:textId="71996725" w:rsidR="0035629A" w:rsidRDefault="0035629A" w:rsidP="0035629A">
            <w:pPr>
              <w:snapToGrid w:val="0"/>
              <w:spacing w:line="280" w:lineRule="exact"/>
            </w:pPr>
            <w:r w:rsidRPr="00117E04">
              <w:rPr>
                <w:rFonts w:hint="eastAsia"/>
              </w:rPr>
              <w:t>累積的影響の定義、基本的な考え方</w:t>
            </w:r>
          </w:p>
        </w:tc>
        <w:tc>
          <w:tcPr>
            <w:tcW w:w="7654" w:type="dxa"/>
          </w:tcPr>
          <w:p w14:paraId="07FE820D" w14:textId="77777777" w:rsidR="0035629A" w:rsidRDefault="0035629A" w:rsidP="0035629A">
            <w:pPr>
              <w:snapToGrid w:val="0"/>
            </w:pPr>
            <w:r w:rsidRPr="00675E05">
              <w:rPr>
                <w:rFonts w:ascii="ＭＳ ゴシック" w:eastAsia="ＭＳ ゴシック" w:hAnsi="ＭＳ ゴシック" w:hint="eastAsia"/>
                <w:b/>
                <w:bCs/>
              </w:rPr>
              <w:t>【</w:t>
            </w:r>
            <w:r>
              <w:rPr>
                <w:rFonts w:ascii="ＭＳ ゴシック" w:eastAsia="ＭＳ ゴシック" w:hAnsi="ＭＳ ゴシック" w:hint="eastAsia"/>
                <w:b/>
                <w:bCs/>
              </w:rPr>
              <w:t>累積的影響について</w:t>
            </w:r>
            <w:r w:rsidRPr="00675E05">
              <w:rPr>
                <w:rFonts w:ascii="ＭＳ ゴシック" w:eastAsia="ＭＳ ゴシック" w:hAnsi="ＭＳ ゴシック" w:hint="eastAsia"/>
                <w:b/>
                <w:bCs/>
              </w:rPr>
              <w:t>】</w:t>
            </w:r>
            <w:r w:rsidRPr="0065153D">
              <w:rPr>
                <w:rFonts w:hint="eastAsia"/>
                <w:color w:val="FF0000"/>
              </w:rPr>
              <w:t>（原文</w:t>
            </w:r>
            <w:r>
              <w:rPr>
                <w:rFonts w:hint="eastAsia"/>
                <w:color w:val="FF0000"/>
              </w:rPr>
              <w:t>p.2</w:t>
            </w:r>
            <w:r w:rsidRPr="0065153D">
              <w:rPr>
                <w:rFonts w:hint="eastAsia"/>
                <w:color w:val="FF0000"/>
              </w:rPr>
              <w:t>）（日本語訳</w:t>
            </w:r>
            <w:r>
              <w:rPr>
                <w:rFonts w:hint="eastAsia"/>
                <w:color w:val="FF0000"/>
              </w:rPr>
              <w:t>p.2</w:t>
            </w:r>
            <w:r w:rsidRPr="0065153D">
              <w:rPr>
                <w:rFonts w:hint="eastAsia"/>
                <w:color w:val="FF0000"/>
              </w:rPr>
              <w:t>）</w:t>
            </w:r>
          </w:p>
          <w:p w14:paraId="49CFD422" w14:textId="3216A5E0" w:rsidR="0035629A" w:rsidRDefault="0035629A" w:rsidP="0035629A">
            <w:pPr>
              <w:snapToGrid w:val="0"/>
              <w:ind w:firstLineChars="100" w:firstLine="210"/>
            </w:pPr>
            <w:r>
              <w:rPr>
                <w:rFonts w:hint="eastAsia"/>
              </w:rPr>
              <w:t>累積的影響とは、プロジェクトの</w:t>
            </w:r>
            <w:r w:rsidR="005F5A77">
              <w:rPr>
                <w:rFonts w:hint="eastAsia"/>
              </w:rPr>
              <w:t>残存影響</w:t>
            </w:r>
            <w:r>
              <w:rPr>
                <w:rFonts w:hint="eastAsia"/>
              </w:rPr>
              <w:t>と、過去、現在、および合理的に予測可能なその他の物理的活動の存在との組み合わせの結果として生じる、環境、健康、社会、経済状況の変化と定義される。</w:t>
            </w:r>
          </w:p>
          <w:p w14:paraId="450A0B05" w14:textId="04A344B6" w:rsidR="0035629A" w:rsidRDefault="0035629A" w:rsidP="0035629A">
            <w:pPr>
              <w:snapToGrid w:val="0"/>
              <w:ind w:firstLineChars="100" w:firstLine="210"/>
            </w:pPr>
            <w:r>
              <w:rPr>
                <w:rFonts w:hint="eastAsia"/>
              </w:rPr>
              <w:t>累積的影響を評価する場合、評価の</w:t>
            </w:r>
            <w:r w:rsidR="005F5A77">
              <w:rPr>
                <w:rFonts w:hint="eastAsia"/>
              </w:rPr>
              <w:t>対象項目</w:t>
            </w:r>
            <w:r>
              <w:rPr>
                <w:rFonts w:hint="eastAsia"/>
              </w:rPr>
              <w:t>、期間、および地理は、計画フェーズ中に利害関係者、連邦当局、規制当局、一般市民、および先住民グループとの協議を通じて決定する必要がある。評価には、先住民族および先住民文化の権利に対する累積的影響を考慮する必要がある。累積的影響評価では、貴重なコンテキストを提供できる可能性のある、関連する地域的または戦略的評価の結果も考慮する必要がある。（</w:t>
            </w:r>
            <w:r w:rsidRPr="00E667A6">
              <w:rPr>
                <w:rStyle w:val="af1"/>
              </w:rPr>
              <w:t>影響評価法</w:t>
            </w:r>
            <w:r w:rsidRPr="00E667A6">
              <w:t>第22条</w:t>
            </w:r>
            <w:r>
              <w:rPr>
                <w:rFonts w:hint="eastAsia"/>
              </w:rPr>
              <w:t>より）</w:t>
            </w:r>
          </w:p>
          <w:p w14:paraId="2D55A386" w14:textId="77777777" w:rsidR="0035629A" w:rsidRPr="00B40ED8" w:rsidRDefault="0035629A" w:rsidP="0035629A">
            <w:pPr>
              <w:snapToGrid w:val="0"/>
              <w:ind w:firstLineChars="100" w:firstLine="210"/>
            </w:pPr>
          </w:p>
          <w:p w14:paraId="496F03F3" w14:textId="77777777" w:rsidR="0035629A" w:rsidRPr="007A2278" w:rsidRDefault="0035629A" w:rsidP="0035629A">
            <w:pPr>
              <w:snapToGrid w:val="0"/>
              <w:rPr>
                <w:color w:val="FF0000"/>
              </w:rPr>
            </w:pPr>
            <w:r w:rsidRPr="00675E05">
              <w:rPr>
                <w:rFonts w:ascii="ＭＳ ゴシック" w:eastAsia="ＭＳ ゴシック" w:hAnsi="ＭＳ ゴシック" w:hint="eastAsia"/>
                <w:b/>
                <w:bCs/>
              </w:rPr>
              <w:t>【</w:t>
            </w:r>
            <w:r w:rsidRPr="00A9472E">
              <w:rPr>
                <w:rFonts w:ascii="ＭＳ ゴシック" w:eastAsia="ＭＳ ゴシック" w:hAnsi="ＭＳ ゴシック" w:hint="eastAsia"/>
                <w:b/>
                <w:bCs/>
              </w:rPr>
              <w:t>考慮すべき「環境影響</w:t>
            </w:r>
            <w:r>
              <w:rPr>
                <w:rFonts w:ascii="ＭＳ ゴシック" w:eastAsia="ＭＳ ゴシック" w:hAnsi="ＭＳ ゴシック" w:hint="eastAsia"/>
                <w:b/>
                <w:bCs/>
              </w:rPr>
              <w:t>」</w:t>
            </w:r>
            <w:r w:rsidRPr="00675E05">
              <w:rPr>
                <w:rFonts w:ascii="ＭＳ ゴシック" w:eastAsia="ＭＳ ゴシック" w:hAnsi="ＭＳ ゴシック" w:hint="eastAsia"/>
                <w:b/>
                <w:bCs/>
              </w:rPr>
              <w:t>】</w:t>
            </w:r>
            <w:r w:rsidRPr="0065153D">
              <w:rPr>
                <w:rFonts w:hint="eastAsia"/>
                <w:color w:val="FF0000"/>
              </w:rPr>
              <w:t>（原文</w:t>
            </w:r>
            <w:r>
              <w:rPr>
                <w:rFonts w:hint="eastAsia"/>
                <w:color w:val="FF0000"/>
              </w:rPr>
              <w:t>p.2</w:t>
            </w:r>
            <w:r w:rsidRPr="0065153D">
              <w:rPr>
                <w:rFonts w:hint="eastAsia"/>
                <w:color w:val="FF0000"/>
              </w:rPr>
              <w:t>）（日本語訳</w:t>
            </w:r>
            <w:r>
              <w:rPr>
                <w:rFonts w:hint="eastAsia"/>
                <w:color w:val="FF0000"/>
              </w:rPr>
              <w:t>p.2</w:t>
            </w:r>
            <w:r w:rsidRPr="0065153D">
              <w:rPr>
                <w:rFonts w:hint="eastAsia"/>
                <w:color w:val="FF0000"/>
              </w:rPr>
              <w:t>）</w:t>
            </w:r>
          </w:p>
          <w:p w14:paraId="42F76AED" w14:textId="77777777" w:rsidR="0035629A" w:rsidRDefault="0035629A" w:rsidP="0035629A">
            <w:pPr>
              <w:snapToGrid w:val="0"/>
              <w:ind w:left="210" w:hangingChars="100" w:hanging="210"/>
            </w:pPr>
            <w:r>
              <w:rPr>
                <w:rFonts w:hint="eastAsia"/>
              </w:rPr>
              <w:t>•魚類および魚類の生息地、貝類およびその生息地、甲殻類およびその生息地、海洋動物およびその生息地、海洋植物、および渡り鳥への影響</w:t>
            </w:r>
          </w:p>
          <w:p w14:paraId="28CDE449" w14:textId="77777777" w:rsidR="0035629A" w:rsidRDefault="0035629A" w:rsidP="0035629A">
            <w:pPr>
              <w:snapToGrid w:val="0"/>
              <w:ind w:left="210" w:hangingChars="100" w:hanging="210"/>
            </w:pPr>
            <w:r>
              <w:rPr>
                <w:rFonts w:hint="eastAsia"/>
              </w:rPr>
              <w:t>•連邦の土地への影響</w:t>
            </w:r>
          </w:p>
          <w:p w14:paraId="7DBB845B" w14:textId="77777777" w:rsidR="0035629A" w:rsidRDefault="0035629A" w:rsidP="0035629A">
            <w:pPr>
              <w:snapToGrid w:val="0"/>
              <w:ind w:left="210" w:hangingChars="100" w:hanging="210"/>
            </w:pPr>
            <w:r>
              <w:rPr>
                <w:rFonts w:hint="eastAsia"/>
              </w:rPr>
              <w:t>•州または国境を越える影響</w:t>
            </w:r>
          </w:p>
          <w:p w14:paraId="1DD18DF9" w14:textId="77777777" w:rsidR="0035629A" w:rsidRDefault="0035629A" w:rsidP="0035629A">
            <w:pPr>
              <w:snapToGrid w:val="0"/>
              <w:ind w:left="210" w:hangingChars="100" w:hanging="210"/>
            </w:pPr>
            <w:r>
              <w:rPr>
                <w:rFonts w:hint="eastAsia"/>
              </w:rPr>
              <w:t>•先住民に関しては、環境の変化が健康や社会経済状況、物理的および文化的遺産、伝統的な目的のための土地や資源の現在の使用、または歴史的、考古学的、古生物学、建築学的に重要な構造物、場所、物に与える影響</w:t>
            </w:r>
          </w:p>
          <w:p w14:paraId="0B404720" w14:textId="77777777" w:rsidR="0035629A" w:rsidRDefault="0035629A" w:rsidP="0035629A">
            <w:pPr>
              <w:snapToGrid w:val="0"/>
              <w:ind w:left="210" w:hangingChars="100" w:hanging="210"/>
            </w:pPr>
            <w:r>
              <w:rPr>
                <w:rFonts w:hint="eastAsia"/>
              </w:rPr>
              <w:t>•連邦政府の決定から生じる可能性のある環境の変化、および健康や社会経済状況、歴史的、考古学的、古生物学、建築学的に重要な事項、またはその他の物理的または文化的遺産に関する事項への関連する影響</w:t>
            </w:r>
          </w:p>
          <w:p w14:paraId="534EF595" w14:textId="428BCB2E" w:rsidR="0035629A" w:rsidRPr="0035629A" w:rsidRDefault="0035629A" w:rsidP="0035629A">
            <w:pPr>
              <w:snapToGrid w:val="0"/>
              <w:spacing w:line="280" w:lineRule="exact"/>
            </w:pPr>
          </w:p>
        </w:tc>
      </w:tr>
      <w:tr w:rsidR="0035629A" w14:paraId="43F776A1" w14:textId="77777777" w:rsidTr="00117E04">
        <w:tc>
          <w:tcPr>
            <w:tcW w:w="2122" w:type="dxa"/>
          </w:tcPr>
          <w:p w14:paraId="2DA67BDB" w14:textId="59A03466" w:rsidR="0035629A" w:rsidRPr="002D5BBA" w:rsidRDefault="0035629A" w:rsidP="0035629A">
            <w:pPr>
              <w:snapToGrid w:val="0"/>
              <w:spacing w:line="280" w:lineRule="exact"/>
              <w:jc w:val="left"/>
            </w:pPr>
            <w:r>
              <w:rPr>
                <w:rFonts w:hint="eastAsia"/>
              </w:rPr>
              <w:t>累積的影響評価の手順</w:t>
            </w:r>
          </w:p>
        </w:tc>
        <w:tc>
          <w:tcPr>
            <w:tcW w:w="7654" w:type="dxa"/>
          </w:tcPr>
          <w:p w14:paraId="3C4BC5C1" w14:textId="77777777" w:rsidR="0035629A" w:rsidRPr="002D7395" w:rsidRDefault="0035629A" w:rsidP="0035629A">
            <w:pPr>
              <w:snapToGrid w:val="0"/>
              <w:rPr>
                <w:color w:val="FF0000"/>
              </w:rPr>
            </w:pPr>
            <w:r w:rsidRPr="00675E05">
              <w:rPr>
                <w:rStyle w:val="rynqvb"/>
                <w:rFonts w:ascii="ＭＳ ゴシック" w:eastAsia="ＭＳ ゴシック" w:hAnsi="ＭＳ ゴシック" w:hint="eastAsia"/>
                <w:b/>
                <w:bCs/>
              </w:rPr>
              <w:t>【</w:t>
            </w:r>
            <w:r>
              <w:rPr>
                <w:rStyle w:val="rynqvb"/>
                <w:rFonts w:ascii="ＭＳ ゴシック" w:eastAsia="ＭＳ ゴシック" w:hAnsi="ＭＳ ゴシック" w:hint="eastAsia"/>
                <w:b/>
                <w:bCs/>
              </w:rPr>
              <w:t>累積的影響アセスメントの</w:t>
            </w:r>
            <w:r w:rsidRPr="00C43492">
              <w:rPr>
                <w:rStyle w:val="rynqvb"/>
                <w:rFonts w:ascii="ＭＳ ゴシック" w:eastAsia="ＭＳ ゴシック" w:hAnsi="ＭＳ ゴシック" w:hint="eastAsia"/>
                <w:b/>
                <w:bCs/>
              </w:rPr>
              <w:t>アプローチ</w:t>
            </w:r>
            <w:r>
              <w:rPr>
                <w:rStyle w:val="rynqvb"/>
                <w:rFonts w:ascii="ＭＳ ゴシック" w:eastAsia="ＭＳ ゴシック" w:hAnsi="ＭＳ ゴシック" w:hint="eastAsia"/>
                <w:b/>
                <w:bCs/>
              </w:rPr>
              <w:t>について</w:t>
            </w:r>
            <w:r w:rsidRPr="00675E05">
              <w:rPr>
                <w:rStyle w:val="rynqvb"/>
                <w:rFonts w:ascii="ＭＳ ゴシック" w:eastAsia="ＭＳ ゴシック" w:hAnsi="ＭＳ ゴシック" w:hint="eastAsia"/>
                <w:b/>
                <w:bCs/>
              </w:rPr>
              <w:t>】</w:t>
            </w:r>
            <w:r w:rsidRPr="0065153D">
              <w:rPr>
                <w:rFonts w:hint="eastAsia"/>
                <w:color w:val="FF0000"/>
              </w:rPr>
              <w:t>（原文</w:t>
            </w:r>
            <w:r>
              <w:rPr>
                <w:rFonts w:hint="eastAsia"/>
                <w:color w:val="FF0000"/>
              </w:rPr>
              <w:t>p.4</w:t>
            </w:r>
            <w:r w:rsidRPr="0065153D">
              <w:rPr>
                <w:rFonts w:hint="eastAsia"/>
                <w:color w:val="FF0000"/>
              </w:rPr>
              <w:t>）（日本語訳</w:t>
            </w:r>
            <w:r>
              <w:rPr>
                <w:rFonts w:hint="eastAsia"/>
                <w:color w:val="FF0000"/>
              </w:rPr>
              <w:t>p.4</w:t>
            </w:r>
            <w:r w:rsidRPr="0065153D">
              <w:rPr>
                <w:rFonts w:hint="eastAsia"/>
                <w:color w:val="FF0000"/>
              </w:rPr>
              <w:t>）</w:t>
            </w:r>
          </w:p>
          <w:p w14:paraId="6DA7B609" w14:textId="56580CC3" w:rsidR="0035629A" w:rsidRDefault="0035629A" w:rsidP="0035629A">
            <w:pPr>
              <w:snapToGrid w:val="0"/>
              <w:ind w:firstLineChars="100" w:firstLine="210"/>
            </w:pPr>
            <w:r w:rsidRPr="00AE6B44">
              <w:rPr>
                <w:rFonts w:hint="eastAsia"/>
              </w:rPr>
              <w:t>すべての累積的影響評価には、以下で説明する5つのステップ(</w:t>
            </w:r>
            <w:r>
              <w:rPr>
                <w:rFonts w:hint="eastAsia"/>
              </w:rPr>
              <w:t>スコーピング</w:t>
            </w:r>
            <w:r w:rsidRPr="00AE6B44">
              <w:rPr>
                <w:rFonts w:hint="eastAsia"/>
              </w:rPr>
              <w:t>、分析、緩和、</w:t>
            </w:r>
            <w:r w:rsidR="005F5A77">
              <w:rPr>
                <w:rFonts w:hint="eastAsia"/>
              </w:rPr>
              <w:t>影響の大きさ</w:t>
            </w:r>
            <w:r w:rsidRPr="00AE6B44">
              <w:rPr>
                <w:rFonts w:hint="eastAsia"/>
              </w:rPr>
              <w:t>、フォローアップ)を含める必要があ</w:t>
            </w:r>
            <w:r>
              <w:rPr>
                <w:rFonts w:hint="eastAsia"/>
              </w:rPr>
              <w:t>る</w:t>
            </w:r>
            <w:r w:rsidRPr="00AE6B44">
              <w:rPr>
                <w:rFonts w:hint="eastAsia"/>
              </w:rPr>
              <w:t>。</w:t>
            </w:r>
          </w:p>
          <w:p w14:paraId="55FF78D2" w14:textId="77777777" w:rsidR="0035629A" w:rsidRPr="000D7F38" w:rsidRDefault="0035629A" w:rsidP="0035629A">
            <w:pPr>
              <w:snapToGrid w:val="0"/>
              <w:rPr>
                <w:b/>
                <w:bCs/>
              </w:rPr>
            </w:pPr>
            <w:r w:rsidRPr="00BA6534">
              <w:rPr>
                <w:rFonts w:ascii="ＭＳ ゴシック" w:eastAsia="ＭＳ ゴシック" w:hAnsi="ＭＳ ゴシック" w:hint="eastAsia"/>
                <w:b/>
                <w:bCs/>
              </w:rPr>
              <w:t>＜ステップ1：スコーピング＞</w:t>
            </w:r>
            <w:r w:rsidRPr="0065153D">
              <w:rPr>
                <w:rFonts w:hint="eastAsia"/>
                <w:color w:val="FF0000"/>
              </w:rPr>
              <w:t>（原文</w:t>
            </w:r>
            <w:r>
              <w:rPr>
                <w:rFonts w:hint="eastAsia"/>
                <w:color w:val="FF0000"/>
              </w:rPr>
              <w:t>p.7</w:t>
            </w:r>
            <w:r w:rsidRPr="0065153D">
              <w:rPr>
                <w:rFonts w:hint="eastAsia"/>
                <w:color w:val="FF0000"/>
              </w:rPr>
              <w:t>）（日本語訳</w:t>
            </w:r>
            <w:r>
              <w:rPr>
                <w:rFonts w:hint="eastAsia"/>
                <w:color w:val="FF0000"/>
              </w:rPr>
              <w:t>p.7</w:t>
            </w:r>
            <w:r w:rsidRPr="0065153D">
              <w:rPr>
                <w:rFonts w:hint="eastAsia"/>
                <w:color w:val="FF0000"/>
              </w:rPr>
              <w:t>）</w:t>
            </w:r>
          </w:p>
          <w:p w14:paraId="37DB01C8" w14:textId="510DC241" w:rsidR="0035629A" w:rsidRDefault="0035629A" w:rsidP="0035629A">
            <w:pPr>
              <w:snapToGrid w:val="0"/>
              <w:ind w:firstLineChars="100" w:firstLine="210"/>
            </w:pPr>
            <w:r>
              <w:rPr>
                <w:rFonts w:hint="eastAsia"/>
              </w:rPr>
              <w:t>累積的影響</w:t>
            </w:r>
            <w:r w:rsidRPr="005E0C6C">
              <w:rPr>
                <w:rFonts w:hint="eastAsia"/>
              </w:rPr>
              <w:t>アセスメントの最初のステップであるスコーピングは、</w:t>
            </w:r>
            <w:r>
              <w:rPr>
                <w:rFonts w:hint="eastAsia"/>
              </w:rPr>
              <w:t>その後</w:t>
            </w:r>
            <w:r w:rsidRPr="005E0C6C">
              <w:rPr>
                <w:rFonts w:hint="eastAsia"/>
              </w:rPr>
              <w:t>のステップを</w:t>
            </w:r>
            <w:r w:rsidRPr="003E3873">
              <w:rPr>
                <w:rFonts w:hint="eastAsia"/>
              </w:rPr>
              <w:t>の方向性と焦点を定める</w:t>
            </w:r>
            <w:r w:rsidRPr="005E0C6C">
              <w:rPr>
                <w:rFonts w:hint="eastAsia"/>
              </w:rPr>
              <w:t>役割を果た</w:t>
            </w:r>
            <w:r>
              <w:rPr>
                <w:rFonts w:hint="eastAsia"/>
              </w:rPr>
              <w:t>している</w:t>
            </w:r>
            <w:r w:rsidRPr="005E0C6C">
              <w:rPr>
                <w:rFonts w:hint="eastAsia"/>
              </w:rPr>
              <w:t>。その全体的な成果は、ステップ2の分析に</w:t>
            </w:r>
            <w:r w:rsidRPr="00F258E7">
              <w:rPr>
                <w:rFonts w:hint="eastAsia"/>
              </w:rPr>
              <w:t>引き継がれるVC</w:t>
            </w:r>
            <w:r>
              <w:rPr>
                <w:rFonts w:hint="eastAsia"/>
              </w:rPr>
              <w:t>（</w:t>
            </w:r>
            <w:r>
              <w:rPr>
                <w:sz w:val="22"/>
                <w:szCs w:val="22"/>
              </w:rPr>
              <w:t>Valued Component</w:t>
            </w:r>
            <w:r>
              <w:rPr>
                <w:rFonts w:hint="eastAsia"/>
                <w:sz w:val="22"/>
                <w:szCs w:val="22"/>
              </w:rPr>
              <w:t>）</w:t>
            </w:r>
            <w:r w:rsidRPr="00F258E7">
              <w:rPr>
                <w:rFonts w:hint="eastAsia"/>
              </w:rPr>
              <w:t>のリストと、ス</w:t>
            </w:r>
            <w:r>
              <w:rPr>
                <w:rFonts w:hint="eastAsia"/>
              </w:rPr>
              <w:t>コーピング</w:t>
            </w:r>
            <w:r w:rsidRPr="00F258E7">
              <w:rPr>
                <w:rFonts w:hint="eastAsia"/>
              </w:rPr>
              <w:t>で検討されたが引き継がれなかったVCの根拠</w:t>
            </w:r>
            <w:r w:rsidRPr="005E0C6C">
              <w:rPr>
                <w:rFonts w:hint="eastAsia"/>
              </w:rPr>
              <w:t>である。スコーピングは、</w:t>
            </w:r>
            <w:r w:rsidRPr="0062260C">
              <w:rPr>
                <w:rFonts w:hint="eastAsia"/>
              </w:rPr>
              <w:t>科学的証拠とアドバイス、および一般市民と</w:t>
            </w:r>
            <w:r>
              <w:rPr>
                <w:rFonts w:hint="eastAsia"/>
              </w:rPr>
              <w:t>アボリジニ</w:t>
            </w:r>
            <w:r w:rsidRPr="0062260C">
              <w:rPr>
                <w:rFonts w:hint="eastAsia"/>
              </w:rPr>
              <w:t>グループからのフィー</w:t>
            </w:r>
            <w:r w:rsidRPr="0062260C">
              <w:rPr>
                <w:rFonts w:hint="eastAsia"/>
              </w:rPr>
              <w:lastRenderedPageBreak/>
              <w:t>ドバックを文書化し、さらなる評価が必要かどうかを判断するために使用され</w:t>
            </w:r>
            <w:r>
              <w:rPr>
                <w:rFonts w:hint="eastAsia"/>
              </w:rPr>
              <w:t>る</w:t>
            </w:r>
            <w:r w:rsidRPr="005E0C6C">
              <w:rPr>
                <w:rFonts w:hint="eastAsia"/>
              </w:rPr>
              <w:t>。</w:t>
            </w:r>
          </w:p>
          <w:p w14:paraId="67E02680" w14:textId="77777777" w:rsidR="0035629A" w:rsidRPr="003378BF" w:rsidRDefault="0035629A" w:rsidP="0035629A">
            <w:pPr>
              <w:snapToGrid w:val="0"/>
              <w:rPr>
                <w:b/>
                <w:bCs/>
              </w:rPr>
            </w:pPr>
            <w:r w:rsidRPr="00BA6534">
              <w:rPr>
                <w:rFonts w:ascii="ＭＳ ゴシック" w:eastAsia="ＭＳ ゴシック" w:hAnsi="ＭＳ ゴシック" w:hint="eastAsia"/>
                <w:b/>
                <w:bCs/>
              </w:rPr>
              <w:t>＜ステップ2：分析＞</w:t>
            </w:r>
            <w:r w:rsidRPr="0065153D">
              <w:rPr>
                <w:rFonts w:hint="eastAsia"/>
                <w:color w:val="FF0000"/>
              </w:rPr>
              <w:t>（原文</w:t>
            </w:r>
            <w:r>
              <w:rPr>
                <w:rFonts w:hint="eastAsia"/>
                <w:color w:val="FF0000"/>
              </w:rPr>
              <w:t>p.36</w:t>
            </w:r>
            <w:r w:rsidRPr="0065153D">
              <w:rPr>
                <w:rFonts w:hint="eastAsia"/>
                <w:color w:val="FF0000"/>
              </w:rPr>
              <w:t>）（日本語訳</w:t>
            </w:r>
            <w:r>
              <w:rPr>
                <w:rFonts w:hint="eastAsia"/>
                <w:color w:val="FF0000"/>
              </w:rPr>
              <w:t>p.36</w:t>
            </w:r>
            <w:r w:rsidRPr="0065153D">
              <w:rPr>
                <w:rFonts w:hint="eastAsia"/>
                <w:color w:val="FF0000"/>
              </w:rPr>
              <w:t>）</w:t>
            </w:r>
          </w:p>
          <w:p w14:paraId="1D31FC55" w14:textId="77777777" w:rsidR="0035629A" w:rsidRDefault="0035629A" w:rsidP="0035629A">
            <w:pPr>
              <w:snapToGrid w:val="0"/>
              <w:ind w:firstLineChars="100" w:firstLine="210"/>
            </w:pPr>
            <w:r>
              <w:rPr>
                <w:rFonts w:hint="eastAsia"/>
              </w:rPr>
              <w:t>このステップでは、スコーピング（ステップ1）の結果を基に、スコーピング段階で特定されたすべての物理的活動が、累積的影響評価のために決定された空間的・時間的境界線内のVCにどのような影響を及ぼす可能性があるかを検討する。</w:t>
            </w:r>
          </w:p>
          <w:p w14:paraId="1090C8C0" w14:textId="17E2094A" w:rsidR="0035629A" w:rsidRPr="00D3063D" w:rsidRDefault="0035629A" w:rsidP="006F2E03">
            <w:pPr>
              <w:snapToGrid w:val="0"/>
              <w:ind w:firstLine="100"/>
            </w:pPr>
            <w:r>
              <w:rPr>
                <w:rFonts w:hint="eastAsia"/>
              </w:rPr>
              <w:t>ステップ2の分析は、さらなる分析のために保持された各VCの累積的影響を理解することに重点を置く。</w:t>
            </w:r>
          </w:p>
          <w:p w14:paraId="1D723A1B" w14:textId="77777777" w:rsidR="0035629A" w:rsidRPr="00324D25" w:rsidRDefault="0035629A" w:rsidP="0035629A">
            <w:pPr>
              <w:snapToGrid w:val="0"/>
              <w:rPr>
                <w:b/>
                <w:bCs/>
              </w:rPr>
            </w:pPr>
            <w:r w:rsidRPr="00BA6534">
              <w:rPr>
                <w:rFonts w:ascii="ＭＳ ゴシック" w:eastAsia="ＭＳ ゴシック" w:hAnsi="ＭＳ ゴシック" w:hint="eastAsia"/>
                <w:b/>
                <w:bCs/>
              </w:rPr>
              <w:t>＜ステップ3:ミティゲーション＞</w:t>
            </w:r>
            <w:r w:rsidRPr="0065153D">
              <w:rPr>
                <w:rFonts w:hint="eastAsia"/>
                <w:color w:val="FF0000"/>
              </w:rPr>
              <w:t>（原文</w:t>
            </w:r>
            <w:r>
              <w:rPr>
                <w:rFonts w:hint="eastAsia"/>
                <w:color w:val="FF0000"/>
              </w:rPr>
              <w:t>p.5</w:t>
            </w:r>
            <w:r w:rsidRPr="0065153D">
              <w:rPr>
                <w:rFonts w:hint="eastAsia"/>
                <w:color w:val="FF0000"/>
              </w:rPr>
              <w:t>）（日本語訳</w:t>
            </w:r>
            <w:r>
              <w:rPr>
                <w:rFonts w:hint="eastAsia"/>
                <w:color w:val="FF0000"/>
              </w:rPr>
              <w:t>p.5</w:t>
            </w:r>
            <w:r w:rsidRPr="0065153D">
              <w:rPr>
                <w:rFonts w:hint="eastAsia"/>
                <w:color w:val="FF0000"/>
              </w:rPr>
              <w:t>）</w:t>
            </w:r>
          </w:p>
          <w:p w14:paraId="268FC91D" w14:textId="558B0EE8" w:rsidR="0035629A" w:rsidRDefault="0035629A" w:rsidP="006F2E03">
            <w:pPr>
              <w:snapToGrid w:val="0"/>
              <w:ind w:firstLineChars="100" w:firstLine="210"/>
            </w:pPr>
            <w:r>
              <w:rPr>
                <w:rFonts w:hint="eastAsia"/>
              </w:rPr>
              <w:t>技術的かつ経済的に実行可能な方法で累積的影響を軽減する手法を特定する。軽減策には、影響の除去、削減、制御、または代替・復元・代償といった行為が含まれる。</w:t>
            </w:r>
          </w:p>
          <w:p w14:paraId="7523350C" w14:textId="2BC36C79" w:rsidR="0035629A" w:rsidRPr="00324D25" w:rsidRDefault="0035629A" w:rsidP="0035629A">
            <w:pPr>
              <w:snapToGrid w:val="0"/>
              <w:rPr>
                <w:b/>
                <w:bCs/>
              </w:rPr>
            </w:pPr>
            <w:r w:rsidRPr="00BA6534">
              <w:rPr>
                <w:rFonts w:ascii="ＭＳ ゴシック" w:eastAsia="ＭＳ ゴシック" w:hAnsi="ＭＳ ゴシック" w:hint="eastAsia"/>
                <w:b/>
                <w:bCs/>
              </w:rPr>
              <w:t>＜ステップ4:</w:t>
            </w:r>
            <w:r w:rsidR="005F5A77">
              <w:rPr>
                <w:rFonts w:ascii="ＭＳ ゴシック" w:eastAsia="ＭＳ ゴシック" w:hAnsi="ＭＳ ゴシック" w:hint="eastAsia"/>
                <w:b/>
                <w:bCs/>
              </w:rPr>
              <w:t>影響の大きさ</w:t>
            </w:r>
            <w:r w:rsidRPr="00BA6534">
              <w:rPr>
                <w:rFonts w:ascii="ＭＳ ゴシック" w:eastAsia="ＭＳ ゴシック" w:hAnsi="ＭＳ ゴシック" w:hint="eastAsia"/>
                <w:b/>
                <w:bCs/>
              </w:rPr>
              <w:t>の評価＞</w:t>
            </w:r>
            <w:r w:rsidRPr="0065153D">
              <w:rPr>
                <w:rFonts w:hint="eastAsia"/>
                <w:color w:val="FF0000"/>
              </w:rPr>
              <w:t>（原文</w:t>
            </w:r>
            <w:r>
              <w:rPr>
                <w:rFonts w:hint="eastAsia"/>
                <w:color w:val="FF0000"/>
              </w:rPr>
              <w:t>p.5</w:t>
            </w:r>
            <w:r w:rsidRPr="0065153D">
              <w:rPr>
                <w:rFonts w:hint="eastAsia"/>
                <w:color w:val="FF0000"/>
              </w:rPr>
              <w:t>）（日本語訳</w:t>
            </w:r>
            <w:r>
              <w:rPr>
                <w:rFonts w:hint="eastAsia"/>
                <w:color w:val="FF0000"/>
              </w:rPr>
              <w:t>p.5</w:t>
            </w:r>
            <w:r w:rsidRPr="0065153D">
              <w:rPr>
                <w:rFonts w:hint="eastAsia"/>
                <w:color w:val="FF0000"/>
              </w:rPr>
              <w:t>）</w:t>
            </w:r>
          </w:p>
          <w:p w14:paraId="247614B7" w14:textId="52C7CEDE" w:rsidR="0035629A" w:rsidRDefault="0035629A" w:rsidP="006F2E03">
            <w:pPr>
              <w:snapToGrid w:val="0"/>
              <w:ind w:firstLineChars="100" w:firstLine="210"/>
            </w:pPr>
            <w:r>
              <w:rPr>
                <w:rFonts w:hint="eastAsia"/>
              </w:rPr>
              <w:t>ミティゲーションを考慮した上で、指定されたプロジェクトと他の物理的活動が組み合わさった結果として予想される悪影響の環境的</w:t>
            </w:r>
            <w:r w:rsidR="005F5A77">
              <w:rPr>
                <w:rFonts w:hint="eastAsia"/>
              </w:rPr>
              <w:t>影響の大きさ</w:t>
            </w:r>
            <w:r>
              <w:rPr>
                <w:rFonts w:hint="eastAsia"/>
              </w:rPr>
              <w:t>を評価する。</w:t>
            </w:r>
          </w:p>
          <w:p w14:paraId="61057A0F" w14:textId="77777777" w:rsidR="0035629A" w:rsidRPr="00324D25" w:rsidRDefault="0035629A" w:rsidP="0035629A">
            <w:pPr>
              <w:snapToGrid w:val="0"/>
              <w:rPr>
                <w:b/>
                <w:bCs/>
              </w:rPr>
            </w:pPr>
            <w:r w:rsidRPr="00BA6534">
              <w:rPr>
                <w:rFonts w:ascii="ＭＳ ゴシック" w:eastAsia="ＭＳ ゴシック" w:hAnsi="ＭＳ ゴシック" w:hint="eastAsia"/>
                <w:b/>
                <w:bCs/>
              </w:rPr>
              <w:t>＜ステップ5:フォローアップ＞</w:t>
            </w:r>
            <w:r w:rsidRPr="0065153D">
              <w:rPr>
                <w:rFonts w:hint="eastAsia"/>
                <w:color w:val="FF0000"/>
              </w:rPr>
              <w:t>（原文</w:t>
            </w:r>
            <w:r>
              <w:rPr>
                <w:rFonts w:hint="eastAsia"/>
                <w:color w:val="FF0000"/>
              </w:rPr>
              <w:t>p.5</w:t>
            </w:r>
            <w:r w:rsidRPr="0065153D">
              <w:rPr>
                <w:rFonts w:hint="eastAsia"/>
                <w:color w:val="FF0000"/>
              </w:rPr>
              <w:t>）（日本語訳</w:t>
            </w:r>
            <w:r>
              <w:rPr>
                <w:rFonts w:hint="eastAsia"/>
                <w:color w:val="FF0000"/>
              </w:rPr>
              <w:t>p.5</w:t>
            </w:r>
            <w:r w:rsidRPr="0065153D">
              <w:rPr>
                <w:rFonts w:hint="eastAsia"/>
                <w:color w:val="FF0000"/>
              </w:rPr>
              <w:t>）</w:t>
            </w:r>
          </w:p>
          <w:p w14:paraId="66EA421E" w14:textId="5C0873E9" w:rsidR="0035629A" w:rsidRPr="002A2372" w:rsidRDefault="0035629A" w:rsidP="002A2372">
            <w:pPr>
              <w:snapToGrid w:val="0"/>
              <w:ind w:firstLineChars="100" w:firstLine="210"/>
            </w:pPr>
            <w:r>
              <w:rPr>
                <w:rFonts w:hint="eastAsia"/>
              </w:rPr>
              <w:t>プロジェクト固有の環境影響と累積的影響を対象としたフォローアッププログラムを策定する。このプログラムは、環境評価の正確性を検証し、実施されたミティゲーションの有効性を確認する役割を持つ。</w:t>
            </w:r>
          </w:p>
        </w:tc>
      </w:tr>
      <w:tr w:rsidR="0035629A" w14:paraId="0672083A" w14:textId="77777777" w:rsidTr="00117E04">
        <w:tc>
          <w:tcPr>
            <w:tcW w:w="2122" w:type="dxa"/>
          </w:tcPr>
          <w:p w14:paraId="46F6015B" w14:textId="77777777" w:rsidR="0035629A" w:rsidRDefault="0035629A" w:rsidP="0035629A">
            <w:pPr>
              <w:snapToGrid w:val="0"/>
              <w:spacing w:line="280" w:lineRule="exact"/>
            </w:pPr>
            <w:r>
              <w:rPr>
                <w:rFonts w:hint="eastAsia"/>
              </w:rPr>
              <w:lastRenderedPageBreak/>
              <w:t>累積的影響を受ける要素（VE、VEC等）の範囲、条件</w:t>
            </w:r>
          </w:p>
          <w:p w14:paraId="5776B194" w14:textId="5D7EDAFA" w:rsidR="00717E51" w:rsidRDefault="00717E51" w:rsidP="00717E51">
            <w:pPr>
              <w:snapToGrid w:val="0"/>
              <w:spacing w:line="280" w:lineRule="exact"/>
              <w:jc w:val="left"/>
            </w:pPr>
            <w:r>
              <w:rPr>
                <w:rFonts w:hint="eastAsia"/>
              </w:rPr>
              <w:t>(p.11～13、1.1</w:t>
            </w:r>
            <w:r>
              <w:t xml:space="preserve"> </w:t>
            </w:r>
            <w:r>
              <w:rPr>
                <w:rFonts w:hint="eastAsia"/>
              </w:rPr>
              <w:t>Identifying Valued Components)</w:t>
            </w:r>
          </w:p>
        </w:tc>
        <w:tc>
          <w:tcPr>
            <w:tcW w:w="7654" w:type="dxa"/>
          </w:tcPr>
          <w:p w14:paraId="7F875919" w14:textId="1F703B90" w:rsidR="0035629A" w:rsidRPr="00DF4F79" w:rsidRDefault="00A275BB" w:rsidP="00647279">
            <w:pPr>
              <w:snapToGrid w:val="0"/>
              <w:ind w:firstLineChars="100" w:firstLine="210"/>
            </w:pPr>
            <w:r w:rsidRPr="00A275BB">
              <w:rPr>
                <w:rFonts w:hint="eastAsia"/>
              </w:rPr>
              <w:t>VCとは、プロジェクトによって影響を受ける可能性があり、事業者、政府機関、先住民、科学者コミュニティ、または一般市民によって懸念が指摘されている環境特性を指す。</w:t>
            </w:r>
            <w:r w:rsidR="00D46B86">
              <w:rPr>
                <w:rFonts w:hint="eastAsia"/>
              </w:rPr>
              <w:t>VC</w:t>
            </w:r>
            <w:r w:rsidRPr="00A275BB">
              <w:rPr>
                <w:rFonts w:hint="eastAsia"/>
              </w:rPr>
              <w:t>の価値は、生態系におけるその役割に関係するだけでなく、</w:t>
            </w:r>
            <w:r w:rsidR="00D46B86" w:rsidRPr="00D46B86">
              <w:rPr>
                <w:rFonts w:hint="eastAsia"/>
              </w:rPr>
              <w:t>人々がその要素に対して持つ価値にも関係する。</w:t>
            </w:r>
            <w:r w:rsidRPr="00A275BB">
              <w:rPr>
                <w:rFonts w:hint="eastAsia"/>
              </w:rPr>
              <w:t>例えば、科学的、社会的、文化的、経済的、歴史的、考古学的、あるいは美的な重要性を持つものとして特定されることがある。</w:t>
            </w:r>
          </w:p>
        </w:tc>
      </w:tr>
      <w:tr w:rsidR="0035629A" w14:paraId="0277B971" w14:textId="77777777" w:rsidTr="00117E04">
        <w:tc>
          <w:tcPr>
            <w:tcW w:w="2122" w:type="dxa"/>
          </w:tcPr>
          <w:p w14:paraId="0971198B" w14:textId="613F3F93" w:rsidR="0035629A" w:rsidRDefault="0035629A" w:rsidP="00717E51">
            <w:pPr>
              <w:snapToGrid w:val="0"/>
              <w:spacing w:line="280" w:lineRule="exact"/>
              <w:jc w:val="left"/>
            </w:pPr>
            <w:r>
              <w:rPr>
                <w:rFonts w:hint="eastAsia"/>
              </w:rPr>
              <w:t>対象とする時間的な範囲</w:t>
            </w:r>
            <w:r w:rsidR="00AF1B4E">
              <w:rPr>
                <w:rFonts w:hint="eastAsia"/>
              </w:rPr>
              <w:t>（p.19～24、</w:t>
            </w:r>
            <w:r w:rsidR="00AF1B4E">
              <w:t>1.3 Determining Temporal Boundaries</w:t>
            </w:r>
            <w:r w:rsidR="00AF1B4E">
              <w:rPr>
                <w:rFonts w:hint="eastAsia"/>
              </w:rPr>
              <w:t>）</w:t>
            </w:r>
          </w:p>
        </w:tc>
        <w:tc>
          <w:tcPr>
            <w:tcW w:w="7654" w:type="dxa"/>
          </w:tcPr>
          <w:p w14:paraId="4F7A722A" w14:textId="2714D076" w:rsidR="00D46B86" w:rsidRDefault="00D46B86" w:rsidP="00AF1B4E">
            <w:pPr>
              <w:snapToGrid w:val="0"/>
              <w:ind w:firstLineChars="100" w:firstLine="210"/>
            </w:pPr>
            <w:r>
              <w:rPr>
                <w:rFonts w:hint="eastAsia"/>
              </w:rPr>
              <w:t>実務者は、時間的境界を設定する際に、</w:t>
            </w:r>
            <w:r w:rsidRPr="00D46B86">
              <w:rPr>
                <w:rFonts w:hint="eastAsia"/>
              </w:rPr>
              <w:t>環境の攪乱</w:t>
            </w:r>
            <w:r>
              <w:rPr>
                <w:rFonts w:hint="eastAsia"/>
              </w:rPr>
              <w:t>の性質及び潜在的</w:t>
            </w:r>
            <w:r w:rsidR="0049470E">
              <w:rPr>
                <w:rFonts w:hint="eastAsia"/>
              </w:rPr>
              <w:t>累積的影響</w:t>
            </w:r>
            <w:r>
              <w:rPr>
                <w:rFonts w:hint="eastAsia"/>
              </w:rPr>
              <w:t>の持続性を理解するよう努めるべきである。</w:t>
            </w:r>
          </w:p>
          <w:p w14:paraId="277AA0A2" w14:textId="2892BB46" w:rsidR="00D46B86" w:rsidRDefault="00D46B86" w:rsidP="00AF1B4E">
            <w:pPr>
              <w:snapToGrid w:val="0"/>
              <w:ind w:firstLineChars="100" w:firstLine="210"/>
            </w:pPr>
            <w:r>
              <w:rPr>
                <w:rFonts w:hint="eastAsia"/>
              </w:rPr>
              <w:t>プロジェクト又は選択された物理的活動の</w:t>
            </w:r>
            <w:r w:rsidR="00647279">
              <w:rPr>
                <w:rFonts w:hint="eastAsia"/>
              </w:rPr>
              <w:t>時間的境界</w:t>
            </w:r>
            <w:r>
              <w:rPr>
                <w:rFonts w:hint="eastAsia"/>
              </w:rPr>
              <w:t>は、建設、操業、廃止措置及び廃棄</w:t>
            </w:r>
            <w:r w:rsidRPr="00D46B86">
              <w:rPr>
                <w:rFonts w:hint="eastAsia"/>
              </w:rPr>
              <w:t>に関連する期間が含まれる必要がある。</w:t>
            </w:r>
          </w:p>
          <w:p w14:paraId="52EDA8F6" w14:textId="6ED72132" w:rsidR="0035629A" w:rsidRPr="00F92680" w:rsidRDefault="0049470E" w:rsidP="00AF1B4E">
            <w:pPr>
              <w:snapToGrid w:val="0"/>
              <w:ind w:firstLineChars="100" w:firstLine="210"/>
            </w:pPr>
            <w:r>
              <w:rPr>
                <w:rFonts w:hint="eastAsia"/>
              </w:rPr>
              <w:t>累積的影響</w:t>
            </w:r>
            <w:r w:rsidR="00D46B86">
              <w:rPr>
                <w:rFonts w:hint="eastAsia"/>
              </w:rPr>
              <w:t>アセスメントの</w:t>
            </w:r>
            <w:r w:rsidR="00D46B86" w:rsidRPr="00D46B86">
              <w:rPr>
                <w:rFonts w:hint="eastAsia"/>
              </w:rPr>
              <w:t>時間的範囲</w:t>
            </w:r>
            <w:r w:rsidR="00D46B86">
              <w:rPr>
                <w:rFonts w:hint="eastAsia"/>
              </w:rPr>
              <w:t>を決定するために、</w:t>
            </w:r>
            <w:r w:rsidR="00D46B86" w:rsidRPr="00D46B86">
              <w:rPr>
                <w:rFonts w:hint="eastAsia"/>
              </w:rPr>
              <w:t>以下の方法のいずれか、またはそれらの組み合わせを用いるべきである。</w:t>
            </w:r>
            <w:r w:rsidR="00D46B86">
              <w:rPr>
                <w:rFonts w:hint="eastAsia"/>
              </w:rPr>
              <w:t>時間的境界は、</w:t>
            </w:r>
            <w:r>
              <w:rPr>
                <w:rFonts w:hint="eastAsia"/>
              </w:rPr>
              <w:t>累積的影響</w:t>
            </w:r>
            <w:r w:rsidR="00D46B86">
              <w:rPr>
                <w:rFonts w:hint="eastAsia"/>
              </w:rPr>
              <w:t>アセスメント用に特定された各VCの</w:t>
            </w:r>
            <w:r>
              <w:rPr>
                <w:rFonts w:hint="eastAsia"/>
              </w:rPr>
              <w:t>累積的影響</w:t>
            </w:r>
            <w:r w:rsidR="00D46B86">
              <w:rPr>
                <w:rFonts w:hint="eastAsia"/>
              </w:rPr>
              <w:t>の検討を支援するものでなければならない。</w:t>
            </w:r>
          </w:p>
        </w:tc>
      </w:tr>
      <w:tr w:rsidR="0035629A" w14:paraId="576708A9" w14:textId="77777777" w:rsidTr="00117E04">
        <w:tc>
          <w:tcPr>
            <w:tcW w:w="2122" w:type="dxa"/>
          </w:tcPr>
          <w:p w14:paraId="597BA831" w14:textId="5CCB4AD6" w:rsidR="0035629A" w:rsidRDefault="0035629A" w:rsidP="00717E51">
            <w:pPr>
              <w:snapToGrid w:val="0"/>
              <w:spacing w:line="280" w:lineRule="exact"/>
              <w:jc w:val="left"/>
            </w:pPr>
            <w:r>
              <w:rPr>
                <w:rFonts w:hint="eastAsia"/>
              </w:rPr>
              <w:t>対象とする空間的範囲</w:t>
            </w:r>
            <w:r w:rsidR="00717E51">
              <w:br/>
            </w:r>
            <w:r w:rsidR="00717E51">
              <w:rPr>
                <w:rFonts w:hint="eastAsia"/>
              </w:rPr>
              <w:t>(p.14～18</w:t>
            </w:r>
            <w:r w:rsidR="00717E51" w:rsidRPr="00717E51">
              <w:t xml:space="preserve"> 1.2 </w:t>
            </w:r>
            <w:r w:rsidR="00717E51">
              <w:rPr>
                <w:rFonts w:hint="eastAsia"/>
              </w:rPr>
              <w:t>Determining Spatial Boundaries)</w:t>
            </w:r>
          </w:p>
        </w:tc>
        <w:tc>
          <w:tcPr>
            <w:tcW w:w="7654" w:type="dxa"/>
          </w:tcPr>
          <w:p w14:paraId="6B6C58C9" w14:textId="729658BD" w:rsidR="00BB52F9" w:rsidRDefault="00BB52F9" w:rsidP="00BB52F9">
            <w:pPr>
              <w:snapToGrid w:val="0"/>
              <w:ind w:firstLineChars="100" w:firstLine="210"/>
            </w:pPr>
            <w:r w:rsidRPr="00BB52F9">
              <w:rPr>
                <w:rFonts w:hint="eastAsia"/>
              </w:rPr>
              <w:t>空間的境界を決定するには、以下の方法論オプションのいずれか、またはそれらの組み合わせを使用すべきである。空間的境界は、累積的影響評価のために特定された各VCの累積的影響の検討をサポートしなければならない。</w:t>
            </w:r>
          </w:p>
          <w:p w14:paraId="5AA27736" w14:textId="1D08A5A0" w:rsidR="00BB52F9" w:rsidRPr="00BB52F9" w:rsidRDefault="00BB52F9" w:rsidP="00BB52F9">
            <w:pPr>
              <w:snapToGrid w:val="0"/>
              <w:rPr>
                <w:b/>
                <w:bCs/>
              </w:rPr>
            </w:pPr>
            <w:r w:rsidRPr="00BB52F9">
              <w:rPr>
                <w:b/>
                <w:bCs/>
              </w:rPr>
              <w:t>1. VC（重要な構成要素）を中心とした空間的境界</w:t>
            </w:r>
          </w:p>
          <w:p w14:paraId="0F5C456A" w14:textId="52F0392D" w:rsidR="00BB52F9" w:rsidRDefault="00647279" w:rsidP="00BB52F9">
            <w:pPr>
              <w:snapToGrid w:val="0"/>
              <w:ind w:firstLineChars="100" w:firstLine="210"/>
            </w:pPr>
            <w:commentRangeStart w:id="0"/>
            <w:r>
              <w:rPr>
                <w:rFonts w:hint="eastAsia"/>
              </w:rPr>
              <w:t>この</w:t>
            </w:r>
            <w:commentRangeEnd w:id="0"/>
            <w:r w:rsidR="00474590">
              <w:rPr>
                <w:rStyle w:val="af3"/>
              </w:rPr>
              <w:commentReference w:id="0"/>
            </w:r>
            <w:r>
              <w:rPr>
                <w:rFonts w:hint="eastAsia"/>
              </w:rPr>
              <w:t>アプローチでは、累積</w:t>
            </w:r>
            <w:r w:rsidR="00BB52F9">
              <w:rPr>
                <w:rFonts w:hint="eastAsia"/>
              </w:rPr>
              <w:t>的</w:t>
            </w:r>
            <w:r>
              <w:rPr>
                <w:rFonts w:hint="eastAsia"/>
              </w:rPr>
              <w:t>影響評価</w:t>
            </w:r>
            <w:r w:rsidR="00BB52F9">
              <w:rPr>
                <w:rFonts w:hint="eastAsia"/>
              </w:rPr>
              <w:t>における</w:t>
            </w:r>
            <w:r>
              <w:rPr>
                <w:rFonts w:hint="eastAsia"/>
              </w:rPr>
              <w:t>空間的境界は、主にVCの地理的範囲と、VCに対するプロジェクトの影響範囲（ZOI）に基づ</w:t>
            </w:r>
            <w:r w:rsidR="00BB52F9">
              <w:rPr>
                <w:rFonts w:hint="eastAsia"/>
              </w:rPr>
              <w:t>いて設定される。</w:t>
            </w:r>
            <w:r>
              <w:rPr>
                <w:rFonts w:hint="eastAsia"/>
              </w:rPr>
              <w:t>（ZOI</w:t>
            </w:r>
            <w:r w:rsidR="00BB52F9">
              <w:rPr>
                <w:rFonts w:hint="eastAsia"/>
              </w:rPr>
              <w:t>と</w:t>
            </w:r>
            <w:r>
              <w:rPr>
                <w:rFonts w:hint="eastAsia"/>
              </w:rPr>
              <w:t>は、指定されたプロジェクトや他の物理的活動がVCに及ぼす残留環境影響が検出できない空間的限界を</w:t>
            </w:r>
            <w:r w:rsidR="00BB52F9">
              <w:rPr>
                <w:rFonts w:hint="eastAsia"/>
              </w:rPr>
              <w:t>意味</w:t>
            </w:r>
            <w:r>
              <w:rPr>
                <w:rFonts w:hint="eastAsia"/>
              </w:rPr>
              <w:t>する）。</w:t>
            </w:r>
            <w:r w:rsidR="00BB52F9">
              <w:rPr>
                <w:rFonts w:hint="eastAsia"/>
              </w:rPr>
              <w:t>たとえば、渡り鳥のような移動性のある種に対しては、管轄区域にかかわらず季節的な移動経路を空間的境界に含めることが考慮される。</w:t>
            </w:r>
          </w:p>
          <w:p w14:paraId="68DD0D90" w14:textId="77777777" w:rsidR="0035629A" w:rsidRDefault="00BB52F9" w:rsidP="00BB52F9">
            <w:pPr>
              <w:snapToGrid w:val="0"/>
              <w:ind w:firstLineChars="100" w:firstLine="210"/>
            </w:pPr>
            <w:r>
              <w:rPr>
                <w:rFonts w:hint="eastAsia"/>
              </w:rPr>
              <w:t>この選択肢は、累積的影響評価で特定されたVCに対して最も意味のある空間的境界を設定できるため、一般的に推奨される方法である。</w:t>
            </w:r>
          </w:p>
          <w:p w14:paraId="5DE124C9" w14:textId="14698F6D" w:rsidR="00BB52F9" w:rsidRDefault="00BB52F9" w:rsidP="00BB52F9">
            <w:pPr>
              <w:snapToGrid w:val="0"/>
            </w:pPr>
            <w:r w:rsidRPr="00BB52F9">
              <w:rPr>
                <w:rFonts w:hint="eastAsia"/>
                <w:b/>
                <w:bCs/>
              </w:rPr>
              <w:t>2. 生態系を中心とした空間的境界</w:t>
            </w:r>
          </w:p>
          <w:p w14:paraId="214D1E65" w14:textId="7450740E" w:rsidR="00BB52F9" w:rsidRDefault="00BB52F9" w:rsidP="00BB52F9">
            <w:pPr>
              <w:snapToGrid w:val="0"/>
              <w:ind w:firstLineChars="100" w:firstLine="210"/>
            </w:pPr>
            <w:r>
              <w:rPr>
                <w:rFonts w:hint="eastAsia"/>
              </w:rPr>
              <w:t>このアプローチでは、生態系の境界やプロセスに関する十分な理解がある場合に、生態系を基盤として空間的境界を設定する。たとえば、</w:t>
            </w:r>
            <w:r w:rsidR="0049470E">
              <w:rPr>
                <w:rFonts w:hint="eastAsia"/>
              </w:rPr>
              <w:t>VC</w:t>
            </w:r>
            <w:r>
              <w:rPr>
                <w:rFonts w:hint="eastAsia"/>
              </w:rPr>
              <w:t>の地理的範囲</w:t>
            </w:r>
            <w:r>
              <w:rPr>
                <w:rFonts w:hint="eastAsia"/>
              </w:rPr>
              <w:lastRenderedPageBreak/>
              <w:t>が、地形、気候、土壌、地質などの生態系特性に依存している場合がある。この場合、空間的境界は、生態系の構造とVCがその中でどのような位置づけにあるかという知識に基づいて設定される。</w:t>
            </w:r>
          </w:p>
          <w:p w14:paraId="1BCFAB59" w14:textId="11F05D81" w:rsidR="00BB52F9" w:rsidRDefault="00BB52F9" w:rsidP="00BB52F9">
            <w:pPr>
              <w:snapToGrid w:val="0"/>
              <w:ind w:firstLineChars="100" w:firstLine="210"/>
            </w:pPr>
            <w:r>
              <w:rPr>
                <w:rFonts w:hint="eastAsia"/>
              </w:rPr>
              <w:t>この手法には、生態系の境界やプロセスに対する十分な理解が必要となる。たとえば、流域のような生態学的な境界が、ある魚種の個体群の分布範囲として機能する可能性がある。十分な情報があれば、VCごとに生息するシステムを基準として空間的境界を設定することができる。例えば、水生生物については流域全体の分布を対象とすることで、生息地の可用性や再生産過程の成功なども考慮に入れることができる。</w:t>
            </w:r>
          </w:p>
          <w:p w14:paraId="0E2394C9" w14:textId="4D3FE891" w:rsidR="00BB52F9" w:rsidRDefault="00BB52F9" w:rsidP="00BB52F9">
            <w:pPr>
              <w:snapToGrid w:val="0"/>
              <w:ind w:firstLineChars="100" w:firstLine="210"/>
            </w:pPr>
            <w:r>
              <w:rPr>
                <w:rFonts w:hint="eastAsia"/>
              </w:rPr>
              <w:t>プロジェクトの生態学的な位置づけを理解することで、空間的境界の設定に有用な知見が得られる。たとえば、生態系区分（例：エコリージョン）などの土地分類情報は、特に景観スケールで発生するVCにおいて、空間的境界の設定に役立つ。また、エコタイプ（特定の環境に適応した遺伝的に独立した亜種や個体群）といった、より小さなスケールでのVCにも有効である。エコタイプは、希少性や生息地の消失により高いリスクにさらされていることがあり、その場合、エコタイプの分布域が累積的影響評価における主要な関心領域となり、より広範なエコリージョンではなく、その分布域が空間的境界として選択される可能性がある。</w:t>
            </w:r>
          </w:p>
          <w:p w14:paraId="060FADE0" w14:textId="77777777" w:rsidR="00BB52F9" w:rsidRDefault="00BB52F9" w:rsidP="00BB52F9">
            <w:pPr>
              <w:snapToGrid w:val="0"/>
              <w:ind w:firstLineChars="100" w:firstLine="210"/>
            </w:pPr>
            <w:r>
              <w:rPr>
                <w:rFonts w:hint="eastAsia"/>
              </w:rPr>
              <w:t>生態系はスケールが大きく複雑であるため、このアプローチは、地域的な研究や地域環境評価、または生態系ベースの計画など、地域データが利用できる場合に特に有効とされる。</w:t>
            </w:r>
          </w:p>
          <w:p w14:paraId="228E2F76" w14:textId="27C9E030" w:rsidR="00BB52F9" w:rsidRDefault="00BB52F9" w:rsidP="00BB52F9">
            <w:pPr>
              <w:snapToGrid w:val="0"/>
            </w:pPr>
            <w:r w:rsidRPr="00BB52F9">
              <w:rPr>
                <w:rFonts w:hint="eastAsia"/>
                <w:b/>
                <w:bCs/>
              </w:rPr>
              <w:t>3. 活動を中心とした空間的境界</w:t>
            </w:r>
          </w:p>
          <w:p w14:paraId="6401C082" w14:textId="145B846D" w:rsidR="00BB52F9" w:rsidRDefault="00BB52F9" w:rsidP="00BB52F9">
            <w:pPr>
              <w:snapToGrid w:val="0"/>
              <w:ind w:firstLineChars="100" w:firstLine="210"/>
            </w:pPr>
            <w:r>
              <w:rPr>
                <w:rFonts w:hint="eastAsia"/>
              </w:rPr>
              <w:t>このアプローチでは、プロジェクト周辺における物理的な活動（例：鉱業、森林伐採など）の分布を基に空間的境界を設定する。これらの活動が主たる土地利用となっている場合に適用されることがある。</w:t>
            </w:r>
          </w:p>
          <w:p w14:paraId="32431764" w14:textId="77777777" w:rsidR="00BB52F9" w:rsidRDefault="00BB52F9" w:rsidP="00BB52F9">
            <w:pPr>
              <w:snapToGrid w:val="0"/>
              <w:ind w:firstLineChars="100" w:firstLine="210"/>
            </w:pPr>
            <w:r>
              <w:rPr>
                <w:rFonts w:hint="eastAsia"/>
              </w:rPr>
              <w:t>ただし、この手法は一般的には推奨されない。なぜなら、この方法ではVCに影響を与えるすべての環境要因をカバーできない可能性があり、また、VCの種類や分布範囲など、評価対象となるVCの特性が十分に反映されない可能性があるからである。</w:t>
            </w:r>
          </w:p>
          <w:p w14:paraId="52E51AD6" w14:textId="77777777" w:rsidR="00BB52F9" w:rsidRDefault="00BB52F9" w:rsidP="00BB52F9">
            <w:pPr>
              <w:snapToGrid w:val="0"/>
              <w:ind w:firstLineChars="100" w:firstLine="210"/>
            </w:pPr>
            <w:r>
              <w:rPr>
                <w:rFonts w:hint="eastAsia"/>
              </w:rPr>
              <w:t>この選択肢の利用を検討する場合は、カナダ環境評価庁（Agency）との事前協議が推奨されている。</w:t>
            </w:r>
          </w:p>
          <w:p w14:paraId="4932A338" w14:textId="15F41248" w:rsidR="00BB52F9" w:rsidRPr="00BB52F9" w:rsidRDefault="00BB52F9" w:rsidP="00BB52F9">
            <w:pPr>
              <w:snapToGrid w:val="0"/>
              <w:rPr>
                <w:b/>
                <w:bCs/>
              </w:rPr>
            </w:pPr>
            <w:r w:rsidRPr="00BB52F9">
              <w:rPr>
                <w:rFonts w:hint="eastAsia"/>
                <w:b/>
                <w:bCs/>
              </w:rPr>
              <w:t>4. 行政的・政治的・その他の人為的境界</w:t>
            </w:r>
          </w:p>
          <w:p w14:paraId="0FDF0BD9" w14:textId="461467BE" w:rsidR="00BB52F9" w:rsidRDefault="00BB52F9" w:rsidP="00BB52F9">
            <w:pPr>
              <w:snapToGrid w:val="0"/>
              <w:ind w:firstLineChars="100" w:firstLine="210"/>
            </w:pPr>
            <w:r>
              <w:rPr>
                <w:rFonts w:hint="eastAsia"/>
              </w:rPr>
              <w:t>このアプローチでは、行政区画や政治的区画、その他の人為的な境界を空間的境界として採用する。社会経済的・文化的VCを対象とする場合に特に有用である。</w:t>
            </w:r>
          </w:p>
          <w:p w14:paraId="0557176C" w14:textId="17DCCBA7" w:rsidR="00BB52F9" w:rsidRDefault="00BB52F9" w:rsidP="00BB52F9">
            <w:pPr>
              <w:snapToGrid w:val="0"/>
              <w:ind w:firstLineChars="100" w:firstLine="210"/>
            </w:pPr>
            <w:r>
              <w:rPr>
                <w:rFonts w:hint="eastAsia"/>
              </w:rPr>
              <w:t>たとえば、州・市町村・統計単位（例：国勢調査区画）、または先住民族の伝統的な領域をもとに空間的境界を設定し、土地や資源の現在の利用、レクリエーション、観光、健康、漁業などのVCを評価する。</w:t>
            </w:r>
          </w:p>
          <w:p w14:paraId="792A2FEC" w14:textId="71EB13B2" w:rsidR="00BB52F9" w:rsidRDefault="00BB52F9" w:rsidP="00BB52F9">
            <w:pPr>
              <w:snapToGrid w:val="0"/>
              <w:ind w:firstLineChars="100" w:firstLine="210"/>
            </w:pPr>
            <w:r>
              <w:rPr>
                <w:rFonts w:hint="eastAsia"/>
              </w:rPr>
              <w:t>このような行政的境界は、物理的なVCに対しても適用されることがある。たとえば、野生生物の情報や管理は、定義された管理区域に基づいて行われており、それが</w:t>
            </w:r>
            <w:r w:rsidR="0049470E">
              <w:rPr>
                <w:rFonts w:hint="eastAsia"/>
              </w:rPr>
              <w:t>累積的影響</w:t>
            </w:r>
            <w:r>
              <w:rPr>
                <w:rFonts w:hint="eastAsia"/>
              </w:rPr>
              <w:t>評価において有効な境界となり得る。また、自然保護区、公園、その他の保護地域も、対象となる生物物理的条件を反映している場合には有効な境界となる。</w:t>
            </w:r>
          </w:p>
          <w:p w14:paraId="7DBC4309" w14:textId="77777777" w:rsidR="00BB52F9" w:rsidRDefault="00BB52F9" w:rsidP="00BB52F9">
            <w:pPr>
              <w:snapToGrid w:val="0"/>
              <w:ind w:firstLineChars="100" w:firstLine="210"/>
            </w:pPr>
            <w:r>
              <w:rPr>
                <w:rFonts w:hint="eastAsia"/>
              </w:rPr>
              <w:t>ただし、こうした人為的な境界は、生態系の空間的なパターン（たとえば、連続的な環境勾配）や、移動性の高い種の分布を十分に反映しない可能性がある。</w:t>
            </w:r>
          </w:p>
          <w:p w14:paraId="4556F252" w14:textId="77777777" w:rsidR="00BB52F9" w:rsidRDefault="00BB52F9" w:rsidP="00BB52F9">
            <w:pPr>
              <w:snapToGrid w:val="0"/>
              <w:ind w:firstLineChars="100" w:firstLine="210"/>
            </w:pPr>
            <w:r>
              <w:rPr>
                <w:rFonts w:hint="eastAsia"/>
              </w:rPr>
              <w:t>一方で、VCの状態（健康、存続状況など）が行政区域内で管理されている場合、データ収集や対策の実施を効率的に行えるという利点もある。ただし、このような境界の使用は、状況に応じて適切である必要があり、特定のVCに対する累積的影響の評価を正しく支援できるものでなければならない。使用を検討する際は、Agencyとの協議が推奨される。</w:t>
            </w:r>
          </w:p>
          <w:p w14:paraId="339B07DC" w14:textId="77777777" w:rsidR="00BB52F9" w:rsidRPr="00BB52F9" w:rsidRDefault="00BB52F9" w:rsidP="00BB52F9">
            <w:pPr>
              <w:snapToGrid w:val="0"/>
              <w:rPr>
                <w:b/>
                <w:bCs/>
              </w:rPr>
            </w:pPr>
            <w:r w:rsidRPr="00BB52F9">
              <w:rPr>
                <w:rFonts w:hint="eastAsia"/>
                <w:b/>
                <w:bCs/>
              </w:rPr>
              <w:t>5. その他の選択肢（Any other option）</w:t>
            </w:r>
          </w:p>
          <w:p w14:paraId="789343B3" w14:textId="77777777" w:rsidR="00BB52F9" w:rsidRDefault="00BB52F9" w:rsidP="00BB52F9">
            <w:pPr>
              <w:snapToGrid w:val="0"/>
              <w:ind w:firstLineChars="100" w:firstLine="210"/>
            </w:pPr>
            <w:r>
              <w:rPr>
                <w:rFonts w:hint="eastAsia"/>
              </w:rPr>
              <w:lastRenderedPageBreak/>
              <w:t>上記以外の選択肢を採用する場合は、その選択がプロジェクトの文脈において十分に正当化されていることが必要である。また、OPS（Operational Policy Statement）を考慮しつつ、EIS（環境影響評価書）の要件やCEAA 2012の法的要件を満たす必要がある。</w:t>
            </w:r>
          </w:p>
          <w:p w14:paraId="77F043D4" w14:textId="49B77855" w:rsidR="00BB52F9" w:rsidRPr="00BB52F9" w:rsidRDefault="00BB52F9" w:rsidP="00BB52F9">
            <w:pPr>
              <w:snapToGrid w:val="0"/>
              <w:ind w:firstLineChars="100" w:firstLine="210"/>
            </w:pPr>
            <w:r>
              <w:rPr>
                <w:rFonts w:hint="eastAsia"/>
              </w:rPr>
              <w:t>このような独自の選択肢を採用する前には、Agencyとの事前の協議が推奨される。</w:t>
            </w:r>
          </w:p>
        </w:tc>
      </w:tr>
      <w:tr w:rsidR="0035629A" w14:paraId="7DCB42D8" w14:textId="77777777" w:rsidTr="008C394E">
        <w:tc>
          <w:tcPr>
            <w:tcW w:w="2122" w:type="dxa"/>
          </w:tcPr>
          <w:p w14:paraId="34B78025" w14:textId="77777777" w:rsidR="0035629A" w:rsidRDefault="0035629A" w:rsidP="0035629A">
            <w:pPr>
              <w:snapToGrid w:val="0"/>
              <w:spacing w:line="280" w:lineRule="exact"/>
            </w:pPr>
            <w:r>
              <w:rPr>
                <w:rFonts w:hint="eastAsia"/>
              </w:rPr>
              <w:lastRenderedPageBreak/>
              <w:t>累積影響の解析の対象とする事業の範囲</w:t>
            </w:r>
          </w:p>
          <w:p w14:paraId="324445AA" w14:textId="42B3BF42" w:rsidR="00AF1B4E" w:rsidRDefault="00AF1B4E" w:rsidP="00AF1B4E">
            <w:pPr>
              <w:snapToGrid w:val="0"/>
              <w:spacing w:line="280" w:lineRule="exact"/>
              <w:jc w:val="left"/>
            </w:pPr>
            <w:r>
              <w:rPr>
                <w:rFonts w:hint="eastAsia"/>
              </w:rPr>
              <w:t>（p.</w:t>
            </w:r>
            <w:r>
              <w:t>25</w:t>
            </w:r>
            <w:r>
              <w:rPr>
                <w:rFonts w:hint="eastAsia"/>
              </w:rPr>
              <w:t>～</w:t>
            </w:r>
            <w:r>
              <w:t>30</w:t>
            </w:r>
            <w:r>
              <w:rPr>
                <w:rFonts w:hint="eastAsia"/>
              </w:rPr>
              <w:t>、</w:t>
            </w:r>
            <w:r w:rsidRPr="00AF1B4E">
              <w:t>Examining Physical Activities that have been and will be carried out</w:t>
            </w:r>
            <w:r>
              <w:rPr>
                <w:rFonts w:hint="eastAsia"/>
              </w:rPr>
              <w:t>）</w:t>
            </w:r>
          </w:p>
        </w:tc>
        <w:tc>
          <w:tcPr>
            <w:tcW w:w="7654" w:type="dxa"/>
          </w:tcPr>
          <w:p w14:paraId="2598BC4C" w14:textId="0714A4D8" w:rsidR="0035629A" w:rsidRDefault="0049470E" w:rsidP="0035629A">
            <w:pPr>
              <w:snapToGrid w:val="0"/>
              <w:spacing w:line="280" w:lineRule="exact"/>
              <w:jc w:val="left"/>
            </w:pPr>
            <w:r>
              <w:rPr>
                <w:rFonts w:hint="eastAsia"/>
              </w:rPr>
              <w:t>累積的影響</w:t>
            </w:r>
            <w:r w:rsidR="00004340" w:rsidRPr="00004340">
              <w:rPr>
                <w:rFonts w:hint="eastAsia"/>
              </w:rPr>
              <w:t>の分析では、スコーピング（ステップ1）の結果を基に、スコーピング段階で特定されたすべての物理的活動が、空間的・時間的境界内のVCにどのような影響を及ぼすかを検討する。</w:t>
            </w:r>
          </w:p>
          <w:p w14:paraId="00314907" w14:textId="6F7C767D" w:rsidR="00BB52F9" w:rsidRPr="00D5314F" w:rsidRDefault="00BB52F9" w:rsidP="0035629A">
            <w:pPr>
              <w:snapToGrid w:val="0"/>
              <w:spacing w:line="280" w:lineRule="exact"/>
              <w:jc w:val="left"/>
            </w:pPr>
            <w:r>
              <w:rPr>
                <w:rFonts w:hint="eastAsia"/>
              </w:rPr>
              <w:t xml:space="preserve">　</w:t>
            </w:r>
          </w:p>
        </w:tc>
      </w:tr>
      <w:tr w:rsidR="0035629A" w14:paraId="6B5C0951" w14:textId="77777777" w:rsidTr="00117E04">
        <w:tc>
          <w:tcPr>
            <w:tcW w:w="2122" w:type="dxa"/>
          </w:tcPr>
          <w:p w14:paraId="22356B06" w14:textId="77777777" w:rsidR="00717E51" w:rsidRDefault="0035629A" w:rsidP="0035629A">
            <w:pPr>
              <w:snapToGrid w:val="0"/>
              <w:spacing w:line="280" w:lineRule="exact"/>
            </w:pPr>
            <w:r>
              <w:rPr>
                <w:rFonts w:hint="eastAsia"/>
              </w:rPr>
              <w:t>解析ツール</w:t>
            </w:r>
          </w:p>
          <w:p w14:paraId="5149E6E4" w14:textId="77777777" w:rsidR="00717E51" w:rsidRDefault="00717E51" w:rsidP="00717E51">
            <w:pPr>
              <w:snapToGrid w:val="0"/>
              <w:spacing w:line="280" w:lineRule="exact"/>
            </w:pPr>
            <w:r>
              <w:rPr>
                <w:rFonts w:hint="eastAsia"/>
              </w:rPr>
              <w:t>(p.</w:t>
            </w:r>
            <w:r>
              <w:t>46</w:t>
            </w:r>
            <w:r>
              <w:rPr>
                <w:rFonts w:hint="eastAsia"/>
              </w:rPr>
              <w:t>～</w:t>
            </w:r>
            <w:r>
              <w:t>51</w:t>
            </w:r>
          </w:p>
          <w:p w14:paraId="322BB8A2" w14:textId="232B5ADF" w:rsidR="0035629A" w:rsidRPr="00117E04" w:rsidRDefault="00717E51" w:rsidP="00717E51">
            <w:pPr>
              <w:snapToGrid w:val="0"/>
              <w:spacing w:line="280" w:lineRule="exact"/>
              <w:jc w:val="left"/>
            </w:pPr>
            <w:r>
              <w:t>項目名: Appendix 3: Methods for Cumulative Effects Assessment</w:t>
            </w:r>
          </w:p>
        </w:tc>
        <w:tc>
          <w:tcPr>
            <w:tcW w:w="7654" w:type="dxa"/>
          </w:tcPr>
          <w:p w14:paraId="1FFC0541" w14:textId="1576BB27" w:rsidR="00024197" w:rsidRPr="00024197" w:rsidRDefault="00024197" w:rsidP="00024197">
            <w:pPr>
              <w:snapToGrid w:val="0"/>
              <w:spacing w:line="280" w:lineRule="exact"/>
              <w:jc w:val="left"/>
            </w:pPr>
            <w:r w:rsidRPr="00024197">
              <w:rPr>
                <w:rFonts w:hint="eastAsia"/>
                <w:b/>
                <w:bCs/>
              </w:rPr>
              <w:t>アンケート及びインタビュー</w:t>
            </w:r>
            <w:r>
              <w:rPr>
                <w:rFonts w:hint="eastAsia"/>
                <w:b/>
                <w:bCs/>
              </w:rPr>
              <w:t>：</w:t>
            </w:r>
            <w:r w:rsidRPr="00024197">
              <w:rPr>
                <w:rFonts w:hint="eastAsia"/>
              </w:rPr>
              <w:t>知見のある個人や関係者から広範な情報を収集するための手法。過去・現在・将来の開発計画、基礎データ、社会経済環境の変化、</w:t>
            </w:r>
            <w:r w:rsidR="007F16FD">
              <w:rPr>
                <w:rFonts w:hint="eastAsia"/>
              </w:rPr>
              <w:t>累積的影響</w:t>
            </w:r>
            <w:r w:rsidRPr="00024197">
              <w:rPr>
                <w:rFonts w:hint="eastAsia"/>
              </w:rPr>
              <w:t>の発生場所や理由に関する意見を収集できる。</w:t>
            </w:r>
          </w:p>
          <w:p w14:paraId="3311CA0A" w14:textId="3CE22E8A" w:rsidR="00024197" w:rsidRDefault="00024197" w:rsidP="00024197">
            <w:pPr>
              <w:snapToGrid w:val="0"/>
              <w:spacing w:line="280" w:lineRule="exact"/>
              <w:jc w:val="left"/>
            </w:pPr>
            <w:r w:rsidRPr="00024197">
              <w:rPr>
                <w:rFonts w:hint="eastAsia"/>
                <w:b/>
                <w:bCs/>
              </w:rPr>
              <w:t>チェックリストおよびマトリックス</w:t>
            </w:r>
            <w:r>
              <w:rPr>
                <w:rFonts w:hint="eastAsia"/>
              </w:rPr>
              <w:t>：チェックリストはVCと</w:t>
            </w:r>
            <w:r w:rsidR="007F16FD">
              <w:rPr>
                <w:rFonts w:hint="eastAsia"/>
              </w:rPr>
              <w:t>累積的影響</w:t>
            </w:r>
            <w:r>
              <w:rPr>
                <w:rFonts w:hint="eastAsia"/>
              </w:rPr>
              <w:t>を記録する簡易手法で、主に情報の整理に用いられる。マトリックスは、情報を簡潔に整理・表示する2次元グリッドで、VCとプロジェクトの物理的活動を軸に情報（テキスト、記号、数値）を記録する。</w:t>
            </w:r>
          </w:p>
          <w:p w14:paraId="1FA0A980" w14:textId="005305A8" w:rsidR="00487F80" w:rsidRDefault="00487F80" w:rsidP="00024197">
            <w:pPr>
              <w:snapToGrid w:val="0"/>
              <w:spacing w:line="280" w:lineRule="exact"/>
              <w:jc w:val="left"/>
            </w:pPr>
            <w:r w:rsidRPr="00487F80">
              <w:rPr>
                <w:b/>
                <w:bCs/>
              </w:rPr>
              <w:t>ネットワークおよびシステム分析／図解</w:t>
            </w:r>
            <w:r>
              <w:rPr>
                <w:rFonts w:hint="eastAsia"/>
              </w:rPr>
              <w:t>：</w:t>
            </w:r>
            <w:r w:rsidRPr="00487F80">
              <w:rPr>
                <w:rFonts w:hint="eastAsia"/>
              </w:rPr>
              <w:t>ネットワークやシステム分析は、累積的影響の経路を、提案された活動とVCとの間の一連の連鎖やネットワークを用いて特定する手法である。</w:t>
            </w:r>
          </w:p>
          <w:p w14:paraId="2071ABC3" w14:textId="77777777" w:rsidR="00487F80" w:rsidRPr="004D3D9B" w:rsidRDefault="00487F80" w:rsidP="00487F80">
            <w:pPr>
              <w:snapToGrid w:val="0"/>
              <w:spacing w:line="280" w:lineRule="exact"/>
              <w:jc w:val="left"/>
              <w:rPr>
                <w:rFonts w:hAnsi="ＭＳ 明朝" w:cstheme="minorBidi"/>
                <w:szCs w:val="22"/>
              </w:rPr>
            </w:pPr>
            <w:r w:rsidRPr="004D3D9B">
              <w:rPr>
                <w:rFonts w:hAnsi="ＭＳ 明朝"/>
                <w:b/>
                <w:bCs/>
              </w:rPr>
              <w:t>指標・指数</w:t>
            </w:r>
            <w:r w:rsidRPr="004D3D9B">
              <w:rPr>
                <w:rFonts w:hAnsi="ＭＳ 明朝"/>
              </w:rPr>
              <w:t>:</w:t>
            </w:r>
            <w:r>
              <w:rPr>
                <w:rFonts w:hint="eastAsia"/>
              </w:rPr>
              <w:t xml:space="preserve"> </w:t>
            </w:r>
            <w:r w:rsidRPr="00487F80">
              <w:rPr>
                <w:rFonts w:hAnsi="ＭＳ 明朝" w:hint="eastAsia"/>
              </w:rPr>
              <w:t>EAにおける指標は測定可能な変数であり、指標値は複数の変数を集約したものである。両者はVCの状態（健康、状況、または条件）を表すことができる。たとえば、カリブーがVCとして選定された場合、指標には群れの総数、生息地の密度、死亡率や出生率などが含まれる。</w:t>
            </w:r>
          </w:p>
          <w:p w14:paraId="6E251F7D" w14:textId="55D9E471" w:rsidR="00487F80" w:rsidRPr="00487F80" w:rsidRDefault="00487F80" w:rsidP="00487F80">
            <w:pPr>
              <w:snapToGrid w:val="0"/>
              <w:spacing w:line="280" w:lineRule="exact"/>
              <w:jc w:val="left"/>
              <w:rPr>
                <w:b/>
                <w:bCs/>
              </w:rPr>
            </w:pPr>
            <w:r w:rsidRPr="00487F80">
              <w:rPr>
                <w:b/>
                <w:bCs/>
              </w:rPr>
              <w:t>概念モデルおよび数値モデル</w:t>
            </w:r>
            <w:r w:rsidRPr="00487F80">
              <w:rPr>
                <w:rFonts w:hint="eastAsia"/>
              </w:rPr>
              <w:t>：</w:t>
            </w:r>
            <w:r>
              <w:rPr>
                <w:rFonts w:hint="eastAsia"/>
              </w:rPr>
              <w:t>概念モデルおよび数値モデルは、プロジェクト、VC、およびその他の物理的活動間の環境相互作用を表現またはシミュレートする手法である。これらのモデルは、質的（概念モデル）または量的（数値モデル）である。</w:t>
            </w:r>
          </w:p>
          <w:p w14:paraId="1D83D9BF" w14:textId="388BD1DA" w:rsidR="00487F80" w:rsidRPr="00487F80" w:rsidRDefault="00487F80" w:rsidP="00487F80">
            <w:pPr>
              <w:snapToGrid w:val="0"/>
              <w:spacing w:line="280" w:lineRule="exact"/>
              <w:jc w:val="left"/>
            </w:pPr>
            <w:r>
              <w:rPr>
                <w:rFonts w:hAnsi="ＭＳ 明朝" w:hint="eastAsia"/>
                <w:b/>
                <w:bCs/>
              </w:rPr>
              <w:t>傾向</w:t>
            </w:r>
            <w:r w:rsidRPr="004D3D9B">
              <w:rPr>
                <w:rFonts w:hAnsi="ＭＳ 明朝"/>
                <w:b/>
                <w:bCs/>
              </w:rPr>
              <w:t>分析</w:t>
            </w:r>
            <w:r w:rsidRPr="00487F80">
              <w:rPr>
                <w:rFonts w:hAnsi="ＭＳ 明朝" w:hint="eastAsia"/>
              </w:rPr>
              <w:t>：傾向分析は、時間の経過に伴うVCの健康、状態、状況を評価するものであり、過去や将来の条件の予測に一般的に用いられる。傾向は通常、環境のベンチマークと比較して記述される。傾向分析の目的は、VCの挙動を表す数学的式の形でパターンを特定することである。</w:t>
            </w:r>
          </w:p>
          <w:p w14:paraId="57AE9653" w14:textId="79297F8A" w:rsidR="00024197" w:rsidRPr="004D3D9B" w:rsidRDefault="00024197" w:rsidP="00024197">
            <w:pPr>
              <w:snapToGrid w:val="0"/>
              <w:spacing w:line="280" w:lineRule="exact"/>
              <w:jc w:val="left"/>
              <w:rPr>
                <w:rFonts w:hAnsi="ＭＳ 明朝" w:cstheme="minorBidi"/>
                <w:szCs w:val="22"/>
              </w:rPr>
            </w:pPr>
            <w:r>
              <w:rPr>
                <w:rFonts w:hAnsi="ＭＳ 明朝" w:hint="eastAsia"/>
                <w:b/>
                <w:bCs/>
              </w:rPr>
              <w:t>空間分析</w:t>
            </w:r>
            <w:r w:rsidRPr="004D3D9B">
              <w:rPr>
                <w:rFonts w:hAnsi="ＭＳ 明朝"/>
              </w:rPr>
              <w:t>:</w:t>
            </w:r>
            <w:r>
              <w:rPr>
                <w:rFonts w:hint="eastAsia"/>
              </w:rPr>
              <w:t xml:space="preserve"> </w:t>
            </w:r>
            <w:r w:rsidRPr="00024197">
              <w:rPr>
                <w:rFonts w:hAnsi="ＭＳ 明朝" w:hint="eastAsia"/>
              </w:rPr>
              <w:t>空間分析は、影響の空間分布を特定したり、地理情報を分析したりするための手法である。空間分析は、さまざま物理的活動や環境適用でき、地理的位置から物理的影響を特定するために用いられる。地理情報システム（GIS）は、空間分析において最も一般的に使用されるツールである。</w:t>
            </w:r>
          </w:p>
          <w:p w14:paraId="5256EA01" w14:textId="23464084" w:rsidR="0035629A" w:rsidRPr="00CC3569" w:rsidRDefault="0035629A" w:rsidP="004D3D9B">
            <w:pPr>
              <w:snapToGrid w:val="0"/>
              <w:spacing w:line="280" w:lineRule="exact"/>
              <w:jc w:val="left"/>
            </w:pPr>
          </w:p>
        </w:tc>
      </w:tr>
      <w:tr w:rsidR="0035629A" w14:paraId="49B4B5C5" w14:textId="77777777" w:rsidTr="00117E04">
        <w:tc>
          <w:tcPr>
            <w:tcW w:w="2122" w:type="dxa"/>
          </w:tcPr>
          <w:p w14:paraId="013E49E1" w14:textId="7F0B3B03" w:rsidR="0035629A" w:rsidRDefault="0035629A" w:rsidP="0035629A">
            <w:pPr>
              <w:snapToGrid w:val="0"/>
              <w:spacing w:line="280" w:lineRule="exact"/>
            </w:pPr>
            <w:r>
              <w:rPr>
                <w:rFonts w:hint="eastAsia"/>
              </w:rPr>
              <w:t>評価の考え方、閾値の設定方法・設定者等</w:t>
            </w:r>
          </w:p>
        </w:tc>
        <w:tc>
          <w:tcPr>
            <w:tcW w:w="7654" w:type="dxa"/>
          </w:tcPr>
          <w:p w14:paraId="4DA4E367" w14:textId="7ADD3141" w:rsidR="0035629A" w:rsidRDefault="00AF1B4E" w:rsidP="0035629A">
            <w:pPr>
              <w:snapToGrid w:val="0"/>
              <w:spacing w:line="280" w:lineRule="exact"/>
              <w:jc w:val="left"/>
            </w:pPr>
            <w:r w:rsidRPr="00C35463">
              <w:rPr>
                <w:rFonts w:hint="eastAsia"/>
              </w:rPr>
              <w:t>この文書では、</w:t>
            </w:r>
            <w:r>
              <w:rPr>
                <w:rFonts w:hint="eastAsia"/>
              </w:rPr>
              <w:t>スコーピング</w:t>
            </w:r>
            <w:r w:rsidRPr="00C35463">
              <w:rPr>
                <w:rFonts w:hint="eastAsia"/>
              </w:rPr>
              <w:t>および</w:t>
            </w:r>
            <w:r>
              <w:rPr>
                <w:rFonts w:hint="eastAsia"/>
              </w:rPr>
              <w:t>分析</w:t>
            </w:r>
            <w:r w:rsidRPr="00C35463">
              <w:rPr>
                <w:rFonts w:hint="eastAsia"/>
              </w:rPr>
              <w:t>の方法についてのみ言及されており、</w:t>
            </w:r>
            <w:r w:rsidR="005F5A77">
              <w:rPr>
                <w:rFonts w:hint="eastAsia"/>
              </w:rPr>
              <w:t>影響の大きさ</w:t>
            </w:r>
            <w:r w:rsidRPr="00C35463">
              <w:rPr>
                <w:rFonts w:hint="eastAsia"/>
              </w:rPr>
              <w:t>の評価やミティゲーションに関する記載はなかった。</w:t>
            </w:r>
          </w:p>
        </w:tc>
      </w:tr>
      <w:tr w:rsidR="0035629A" w14:paraId="11B63C26" w14:textId="77777777" w:rsidTr="00117E04">
        <w:tc>
          <w:tcPr>
            <w:tcW w:w="2122" w:type="dxa"/>
          </w:tcPr>
          <w:p w14:paraId="47DCE21B" w14:textId="1580DED9" w:rsidR="0035629A" w:rsidRDefault="0035629A" w:rsidP="0035629A">
            <w:pPr>
              <w:snapToGrid w:val="0"/>
              <w:spacing w:line="280" w:lineRule="exact"/>
            </w:pPr>
            <w:r>
              <w:rPr>
                <w:rFonts w:hint="eastAsia"/>
              </w:rPr>
              <w:t>ミティゲーションの責務（誰が責任を負うか）</w:t>
            </w:r>
          </w:p>
        </w:tc>
        <w:tc>
          <w:tcPr>
            <w:tcW w:w="7654" w:type="dxa"/>
          </w:tcPr>
          <w:p w14:paraId="7FDB0E08" w14:textId="43ED9811" w:rsidR="0035629A" w:rsidRDefault="0035629A" w:rsidP="0035629A">
            <w:pPr>
              <w:snapToGrid w:val="0"/>
              <w:spacing w:line="280" w:lineRule="exact"/>
              <w:jc w:val="left"/>
            </w:pPr>
            <w:r w:rsidRPr="009966BB">
              <w:rPr>
                <w:rFonts w:hint="eastAsia"/>
              </w:rPr>
              <w:t>記載なし</w:t>
            </w:r>
          </w:p>
        </w:tc>
      </w:tr>
      <w:tr w:rsidR="0035629A" w14:paraId="2BE4C036" w14:textId="77777777" w:rsidTr="00117E04">
        <w:tc>
          <w:tcPr>
            <w:tcW w:w="2122" w:type="dxa"/>
          </w:tcPr>
          <w:p w14:paraId="722B4D91" w14:textId="4845866F" w:rsidR="0035629A" w:rsidRPr="00117E04" w:rsidRDefault="0035629A" w:rsidP="0035629A">
            <w:pPr>
              <w:snapToGrid w:val="0"/>
              <w:spacing w:line="280" w:lineRule="exact"/>
            </w:pPr>
            <w:r>
              <w:rPr>
                <w:rFonts w:hint="eastAsia"/>
              </w:rPr>
              <w:t>モニタリングの責務、範囲</w:t>
            </w:r>
          </w:p>
        </w:tc>
        <w:tc>
          <w:tcPr>
            <w:tcW w:w="7654" w:type="dxa"/>
          </w:tcPr>
          <w:p w14:paraId="024BAAD1" w14:textId="22F40CAD" w:rsidR="0035629A" w:rsidRDefault="0035629A" w:rsidP="00A275BB">
            <w:pPr>
              <w:snapToGrid w:val="0"/>
              <w:jc w:val="left"/>
            </w:pPr>
            <w:r w:rsidRPr="00C35463">
              <w:rPr>
                <w:rFonts w:hint="eastAsia"/>
              </w:rPr>
              <w:t>この文書では、</w:t>
            </w:r>
            <w:r>
              <w:rPr>
                <w:rFonts w:hint="eastAsia"/>
              </w:rPr>
              <w:t>スコーピング</w:t>
            </w:r>
            <w:r w:rsidRPr="00C35463">
              <w:rPr>
                <w:rFonts w:hint="eastAsia"/>
              </w:rPr>
              <w:t>および</w:t>
            </w:r>
            <w:r>
              <w:rPr>
                <w:rFonts w:hint="eastAsia"/>
              </w:rPr>
              <w:t>分析</w:t>
            </w:r>
            <w:r w:rsidRPr="00C35463">
              <w:rPr>
                <w:rFonts w:hint="eastAsia"/>
              </w:rPr>
              <w:t>の方法についてのみ言及されており、</w:t>
            </w:r>
            <w:r w:rsidR="005F5A77">
              <w:rPr>
                <w:rFonts w:hint="eastAsia"/>
              </w:rPr>
              <w:t>影響の大きさ</w:t>
            </w:r>
            <w:r w:rsidRPr="00C35463">
              <w:rPr>
                <w:rFonts w:hint="eastAsia"/>
              </w:rPr>
              <w:t>の評価やミティゲーションに関する記載はなかった。</w:t>
            </w:r>
          </w:p>
        </w:tc>
      </w:tr>
      <w:tr w:rsidR="0035629A" w14:paraId="7C86B46F" w14:textId="77777777" w:rsidTr="00117E04">
        <w:tc>
          <w:tcPr>
            <w:tcW w:w="2122" w:type="dxa"/>
          </w:tcPr>
          <w:p w14:paraId="66532716" w14:textId="77777777" w:rsidR="0035629A" w:rsidRDefault="0035629A" w:rsidP="00AF1B4E">
            <w:pPr>
              <w:snapToGrid w:val="0"/>
              <w:spacing w:line="280" w:lineRule="exact"/>
              <w:jc w:val="left"/>
            </w:pPr>
            <w:r>
              <w:rPr>
                <w:rFonts w:hint="eastAsia"/>
              </w:rPr>
              <w:t>累積的影響評価にお</w:t>
            </w:r>
            <w:r>
              <w:rPr>
                <w:rFonts w:hint="eastAsia"/>
              </w:rPr>
              <w:lastRenderedPageBreak/>
              <w:t>ける住民参加</w:t>
            </w:r>
          </w:p>
          <w:p w14:paraId="31E1CCAD" w14:textId="77777777" w:rsidR="00717E51" w:rsidRDefault="00AF1B4E" w:rsidP="00AF1B4E">
            <w:pPr>
              <w:snapToGrid w:val="0"/>
              <w:spacing w:line="280" w:lineRule="exact"/>
              <w:jc w:val="left"/>
            </w:pPr>
            <w:r>
              <w:rPr>
                <w:rFonts w:hint="eastAsia"/>
              </w:rPr>
              <w:t>（p.</w:t>
            </w:r>
            <w:r>
              <w:t>11</w:t>
            </w:r>
            <w:r w:rsidR="00717E51">
              <w:rPr>
                <w:rFonts w:hint="eastAsia"/>
              </w:rPr>
              <w:t>～</w:t>
            </w:r>
            <w:r>
              <w:t>12</w:t>
            </w:r>
            <w:r>
              <w:rPr>
                <w:rFonts w:hint="eastAsia"/>
              </w:rPr>
              <w:t>,</w:t>
            </w:r>
          </w:p>
          <w:p w14:paraId="7D4CF8D1" w14:textId="5536C99F" w:rsidR="00AF1B4E" w:rsidRDefault="00AF1B4E" w:rsidP="00AF1B4E">
            <w:pPr>
              <w:snapToGrid w:val="0"/>
              <w:spacing w:line="280" w:lineRule="exact"/>
              <w:jc w:val="left"/>
            </w:pPr>
            <w:r>
              <w:t>1.1Identifying Valued Components,</w:t>
            </w:r>
          </w:p>
          <w:p w14:paraId="533E4003" w14:textId="18CEADB4" w:rsidR="00AF1B4E" w:rsidRDefault="00AF1B4E" w:rsidP="00AF1B4E">
            <w:pPr>
              <w:snapToGrid w:val="0"/>
              <w:spacing w:line="280" w:lineRule="exact"/>
              <w:jc w:val="left"/>
            </w:pPr>
            <w:r>
              <w:rPr>
                <w:rFonts w:hint="eastAsia"/>
              </w:rPr>
              <w:t>p.</w:t>
            </w:r>
            <w:r>
              <w:t>35-37, 2.1Analyzing Various Types of Data and Information</w:t>
            </w:r>
            <w:r>
              <w:rPr>
                <w:rFonts w:hint="eastAsia"/>
              </w:rPr>
              <w:t>）</w:t>
            </w:r>
          </w:p>
        </w:tc>
        <w:tc>
          <w:tcPr>
            <w:tcW w:w="7654" w:type="dxa"/>
          </w:tcPr>
          <w:p w14:paraId="072CCFC7" w14:textId="73E54FD2" w:rsidR="00CC3569" w:rsidRDefault="00CC3569" w:rsidP="00AF1B4E">
            <w:pPr>
              <w:snapToGrid w:val="0"/>
              <w:spacing w:line="280" w:lineRule="exact"/>
              <w:ind w:left="211" w:hangingChars="100" w:hanging="211"/>
              <w:jc w:val="left"/>
              <w:rPr>
                <w:b/>
                <w:bCs/>
              </w:rPr>
            </w:pPr>
            <w:r>
              <w:rPr>
                <w:rStyle w:val="af2"/>
              </w:rPr>
              <w:lastRenderedPageBreak/>
              <w:t>情報収集と意見反映</w:t>
            </w:r>
            <w:r>
              <w:t>:住民、先住民団体、自治体、NGOなどの意見を収集し、</w:t>
            </w:r>
            <w:r>
              <w:rPr>
                <w:rFonts w:hint="eastAsia"/>
              </w:rPr>
              <w:t>VC</w:t>
            </w:r>
            <w:r>
              <w:lastRenderedPageBreak/>
              <w:t>の</w:t>
            </w:r>
            <w:r>
              <w:rPr>
                <w:rFonts w:hint="eastAsia"/>
              </w:rPr>
              <w:t>特定する際に考慮さ</w:t>
            </w:r>
            <w:r>
              <w:t>れる。</w:t>
            </w:r>
          </w:p>
          <w:p w14:paraId="162AA19D" w14:textId="6DCFAA99" w:rsidR="0035629A" w:rsidRDefault="001A738A" w:rsidP="00AF1B4E">
            <w:pPr>
              <w:snapToGrid w:val="0"/>
              <w:spacing w:line="280" w:lineRule="exact"/>
              <w:ind w:left="211" w:hangingChars="100" w:hanging="211"/>
              <w:jc w:val="left"/>
            </w:pPr>
            <w:r w:rsidRPr="001A738A">
              <w:rPr>
                <w:b/>
                <w:bCs/>
              </w:rPr>
              <w:t>伝統的知識の活用</w:t>
            </w:r>
            <w:r w:rsidRPr="001A738A">
              <w:t>:先住民の伝統的土地利用や文化的知識（Aboriginal Traditional Knowledge, ATK）は、</w:t>
            </w:r>
            <w:r w:rsidR="0049470E">
              <w:t>累積的影響</w:t>
            </w:r>
            <w:r w:rsidRPr="001A738A">
              <w:t>評価の精度を高めるために重要であり、適切な形で活用されるべきである。</w:t>
            </w:r>
          </w:p>
        </w:tc>
      </w:tr>
      <w:tr w:rsidR="0035629A" w14:paraId="2556573E" w14:textId="77777777" w:rsidTr="00717E51">
        <w:trPr>
          <w:trHeight w:val="618"/>
        </w:trPr>
        <w:tc>
          <w:tcPr>
            <w:tcW w:w="2122" w:type="dxa"/>
          </w:tcPr>
          <w:p w14:paraId="2EBAD001" w14:textId="3BFB765B" w:rsidR="0035629A" w:rsidRDefault="0035629A" w:rsidP="0035629A">
            <w:pPr>
              <w:snapToGrid w:val="0"/>
              <w:spacing w:line="280" w:lineRule="exact"/>
            </w:pPr>
            <w:r>
              <w:rPr>
                <w:rFonts w:hint="eastAsia"/>
              </w:rPr>
              <w:lastRenderedPageBreak/>
              <w:t>データベース等支援システムの有無</w:t>
            </w:r>
          </w:p>
        </w:tc>
        <w:tc>
          <w:tcPr>
            <w:tcW w:w="7654" w:type="dxa"/>
          </w:tcPr>
          <w:p w14:paraId="4FCA777A" w14:textId="4FBACD48" w:rsidR="0035629A" w:rsidRDefault="001A738A" w:rsidP="0035629A">
            <w:pPr>
              <w:snapToGrid w:val="0"/>
              <w:spacing w:line="280" w:lineRule="exact"/>
              <w:jc w:val="left"/>
            </w:pPr>
            <w:r w:rsidRPr="009966BB">
              <w:rPr>
                <w:rFonts w:hint="eastAsia"/>
              </w:rPr>
              <w:t>記載なし</w:t>
            </w:r>
          </w:p>
        </w:tc>
      </w:tr>
      <w:tr w:rsidR="0035629A" w14:paraId="263836C4" w14:textId="77777777" w:rsidTr="00117E04">
        <w:tc>
          <w:tcPr>
            <w:tcW w:w="2122" w:type="dxa"/>
          </w:tcPr>
          <w:p w14:paraId="749BDFBF" w14:textId="7BF746C9" w:rsidR="0035629A" w:rsidRDefault="0035629A" w:rsidP="0035629A">
            <w:pPr>
              <w:snapToGrid w:val="0"/>
              <w:spacing w:line="280" w:lineRule="exact"/>
            </w:pPr>
            <w:r w:rsidRPr="00117E04">
              <w:rPr>
                <w:rFonts w:hint="eastAsia"/>
              </w:rPr>
              <w:t>推奨されている優良事例とそのポイント</w:t>
            </w:r>
          </w:p>
        </w:tc>
        <w:tc>
          <w:tcPr>
            <w:tcW w:w="7654" w:type="dxa"/>
          </w:tcPr>
          <w:p w14:paraId="1AE38A2A" w14:textId="3271B292" w:rsidR="0035629A" w:rsidRDefault="0035629A" w:rsidP="0035629A">
            <w:pPr>
              <w:snapToGrid w:val="0"/>
              <w:spacing w:line="280" w:lineRule="exact"/>
            </w:pPr>
            <w:r w:rsidRPr="009966BB">
              <w:rPr>
                <w:rFonts w:hint="eastAsia"/>
              </w:rPr>
              <w:t>記載なし</w:t>
            </w:r>
          </w:p>
        </w:tc>
      </w:tr>
      <w:tr w:rsidR="0035629A" w14:paraId="7034AC13" w14:textId="77777777" w:rsidTr="00117E04">
        <w:tc>
          <w:tcPr>
            <w:tcW w:w="2122" w:type="dxa"/>
          </w:tcPr>
          <w:p w14:paraId="077A78D6" w14:textId="4FB2D2D7" w:rsidR="0035629A" w:rsidRDefault="0035629A" w:rsidP="0035629A">
            <w:pPr>
              <w:snapToGrid w:val="0"/>
              <w:spacing w:line="280" w:lineRule="exact"/>
            </w:pPr>
            <w:r>
              <w:rPr>
                <w:rFonts w:hint="eastAsia"/>
              </w:rPr>
              <w:t>累積的影響評価を実施する上での課題等</w:t>
            </w:r>
          </w:p>
        </w:tc>
        <w:tc>
          <w:tcPr>
            <w:tcW w:w="7654" w:type="dxa"/>
          </w:tcPr>
          <w:p w14:paraId="007A55A8" w14:textId="0EE03FDF" w:rsidR="0035629A" w:rsidRDefault="0035629A" w:rsidP="0035629A">
            <w:pPr>
              <w:snapToGrid w:val="0"/>
              <w:spacing w:line="280" w:lineRule="exact"/>
            </w:pPr>
            <w:r w:rsidRPr="008C316C">
              <w:rPr>
                <w:rFonts w:hint="eastAsia"/>
              </w:rPr>
              <w:t>記載なし</w:t>
            </w:r>
          </w:p>
        </w:tc>
      </w:tr>
      <w:tr w:rsidR="0035629A" w14:paraId="0370DAE4" w14:textId="77777777" w:rsidTr="00117E04">
        <w:tc>
          <w:tcPr>
            <w:tcW w:w="2122" w:type="dxa"/>
          </w:tcPr>
          <w:p w14:paraId="76E0BB69" w14:textId="77777777" w:rsidR="0035629A" w:rsidRDefault="0035629A" w:rsidP="0035629A">
            <w:pPr>
              <w:snapToGrid w:val="0"/>
              <w:spacing w:line="280" w:lineRule="exact"/>
            </w:pPr>
            <w:r>
              <w:rPr>
                <w:rFonts w:hint="eastAsia"/>
              </w:rPr>
              <w:t>その他特記事項</w:t>
            </w:r>
          </w:p>
          <w:p w14:paraId="5599B7F2" w14:textId="6D092445" w:rsidR="0035629A" w:rsidRDefault="0035629A" w:rsidP="0035629A">
            <w:pPr>
              <w:snapToGrid w:val="0"/>
              <w:spacing w:line="280" w:lineRule="exact"/>
              <w:jc w:val="right"/>
            </w:pPr>
          </w:p>
        </w:tc>
        <w:tc>
          <w:tcPr>
            <w:tcW w:w="7654" w:type="dxa"/>
          </w:tcPr>
          <w:p w14:paraId="12A0B34D" w14:textId="77777777" w:rsidR="0035629A" w:rsidRDefault="0035629A" w:rsidP="0035629A">
            <w:pPr>
              <w:snapToGrid w:val="0"/>
              <w:ind w:left="210" w:hangingChars="100" w:hanging="210"/>
            </w:pPr>
            <w:r>
              <w:rPr>
                <w:rFonts w:hint="eastAsia"/>
              </w:rPr>
              <w:t>・この文書の位置付けは、CEAA2012（</w:t>
            </w:r>
            <w:r w:rsidRPr="00D51AA7">
              <w:rPr>
                <w:rFonts w:hint="eastAsia"/>
              </w:rPr>
              <w:t>カナダ環境アセスメント法</w:t>
            </w:r>
            <w:r>
              <w:rPr>
                <w:rFonts w:hint="eastAsia"/>
              </w:rPr>
              <w:t>2012年）に基づく、</w:t>
            </w:r>
            <w:r w:rsidRPr="00D51AA7">
              <w:rPr>
                <w:rFonts w:hint="eastAsia"/>
              </w:rPr>
              <w:t>累積環境影響評価</w:t>
            </w:r>
            <w:r>
              <w:rPr>
                <w:rFonts w:hint="eastAsia"/>
              </w:rPr>
              <w:t>の</w:t>
            </w:r>
            <w:r w:rsidRPr="00D51AA7">
              <w:rPr>
                <w:rFonts w:hint="eastAsia"/>
              </w:rPr>
              <w:t>運用方針書</w:t>
            </w:r>
            <w:r>
              <w:rPr>
                <w:rFonts w:hint="eastAsia"/>
              </w:rPr>
              <w:t>のテクニカルガイドである。</w:t>
            </w:r>
          </w:p>
          <w:p w14:paraId="3A0B5C0D" w14:textId="77777777" w:rsidR="0035629A" w:rsidRDefault="0035629A" w:rsidP="0035629A">
            <w:pPr>
              <w:snapToGrid w:val="0"/>
              <w:ind w:left="210" w:hangingChars="100" w:hanging="210"/>
            </w:pPr>
            <w:r>
              <w:rPr>
                <w:rFonts w:hint="eastAsia"/>
              </w:rPr>
              <w:t>・</w:t>
            </w:r>
            <w:r w:rsidRPr="00DE6B64">
              <w:rPr>
                <w:rFonts w:hint="eastAsia"/>
              </w:rPr>
              <w:t>このガイダンスは、CEAA2012（カナダ環境アセスメント法2012）に基づい</w:t>
            </w:r>
            <w:r>
              <w:rPr>
                <w:rFonts w:hint="eastAsia"/>
              </w:rPr>
              <w:t>たものとなっているが</w:t>
            </w:r>
            <w:r w:rsidRPr="00DE6B64">
              <w:rPr>
                <w:rFonts w:hint="eastAsia"/>
              </w:rPr>
              <w:t>、2024年6月20日に環境評価法（IAA）の改正が施行されたため、CEAA2012は廃止された。</w:t>
            </w:r>
          </w:p>
          <w:p w14:paraId="0532A858" w14:textId="60D738B6" w:rsidR="0035629A" w:rsidRDefault="0035629A" w:rsidP="0035629A">
            <w:pPr>
              <w:snapToGrid w:val="0"/>
              <w:spacing w:line="280" w:lineRule="exact"/>
              <w:ind w:left="210" w:hangingChars="100" w:hanging="210"/>
            </w:pPr>
            <w:r>
              <w:rPr>
                <w:rFonts w:hint="eastAsia"/>
              </w:rPr>
              <w:t>・</w:t>
            </w:r>
            <w:r w:rsidRPr="00DE6B64">
              <w:rPr>
                <w:rFonts w:hint="eastAsia"/>
              </w:rPr>
              <w:t>この文書は、主にステップ1およびステップ2に焦点を当てており、ステップ3から5に関しては、OPS（Operational Policy Statement）を参照するよう記載があ</w:t>
            </w:r>
            <w:r>
              <w:rPr>
                <w:rFonts w:hint="eastAsia"/>
              </w:rPr>
              <w:t>る</w:t>
            </w:r>
            <w:r w:rsidRPr="00DE6B64">
              <w:rPr>
                <w:rFonts w:hint="eastAsia"/>
              </w:rPr>
              <w:t>。</w:t>
            </w:r>
          </w:p>
        </w:tc>
      </w:tr>
    </w:tbl>
    <w:p w14:paraId="5EDFF910" w14:textId="77777777" w:rsidR="00117E04" w:rsidRDefault="00117E04" w:rsidP="00117E04"/>
    <w:sectPr w:rsidR="00117E04" w:rsidSect="00117E04">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茂木　紀夫" w:date="2025-02-13T16:00:00Z" w:initials="紀茂">
    <w:p w14:paraId="78D17D48" w14:textId="77777777" w:rsidR="003E53B7" w:rsidRDefault="00474590" w:rsidP="003E53B7">
      <w:pPr>
        <w:pStyle w:val="af4"/>
      </w:pPr>
      <w:r>
        <w:rPr>
          <w:rStyle w:val="af3"/>
        </w:rPr>
        <w:annotationRef/>
      </w:r>
      <w:r w:rsidR="003E53B7">
        <w:rPr>
          <w:rFonts w:hint="eastAsia"/>
        </w:rPr>
        <w:t>p14「空間的境界の決定には、以下の方法論的選択肢のいずれか、またはそれらの組み合わせが使用され るべきである」とあり、1.VC中心の空間境界、2.生態系中心の空間境界、3.アクティビティ中心の空間境界、4.行政、政治、その他人間が作り出した空間的境界、5.その他の選択肢があげれれています。書いてあるのは1.だけでともうのですが、2～5を書かない理由は何です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D17D4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80E8DF" w16cex:dateUtc="2025-02-13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D17D48" w16cid:durableId="5280E8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83E59" w14:textId="77777777" w:rsidR="00203D9B" w:rsidRDefault="00203D9B" w:rsidP="00320C2B">
      <w:r>
        <w:separator/>
      </w:r>
    </w:p>
  </w:endnote>
  <w:endnote w:type="continuationSeparator" w:id="0">
    <w:p w14:paraId="51F41ED2" w14:textId="77777777" w:rsidR="00203D9B" w:rsidRDefault="00203D9B" w:rsidP="0032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E3812" w14:textId="77777777" w:rsidR="00203D9B" w:rsidRDefault="00203D9B" w:rsidP="00320C2B">
      <w:r>
        <w:separator/>
      </w:r>
    </w:p>
  </w:footnote>
  <w:footnote w:type="continuationSeparator" w:id="0">
    <w:p w14:paraId="34AD1606" w14:textId="77777777" w:rsidR="00203D9B" w:rsidRDefault="00203D9B" w:rsidP="00320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01356"/>
    <w:multiLevelType w:val="multilevel"/>
    <w:tmpl w:val="F09C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01862"/>
    <w:multiLevelType w:val="hybridMultilevel"/>
    <w:tmpl w:val="5B0E8C7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553613536">
    <w:abstractNumId w:val="0"/>
  </w:num>
  <w:num w:numId="2" w16cid:durableId="19271829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茂木　紀夫">
    <w15:presenceInfo w15:providerId="AD" w15:userId="S::n-motegi@prec.co.jp::bf0548a4-60fc-4dbc-a99c-77e91ce321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00261"/>
    <w:rsid w:val="00004340"/>
    <w:rsid w:val="000059F0"/>
    <w:rsid w:val="000111A8"/>
    <w:rsid w:val="00013EEA"/>
    <w:rsid w:val="00016CE7"/>
    <w:rsid w:val="00024197"/>
    <w:rsid w:val="00040238"/>
    <w:rsid w:val="00042B93"/>
    <w:rsid w:val="00054C97"/>
    <w:rsid w:val="00090EC1"/>
    <w:rsid w:val="00092AE5"/>
    <w:rsid w:val="00097C22"/>
    <w:rsid w:val="000B7C1E"/>
    <w:rsid w:val="000C3F36"/>
    <w:rsid w:val="00110F96"/>
    <w:rsid w:val="00117E04"/>
    <w:rsid w:val="00123B26"/>
    <w:rsid w:val="001734A8"/>
    <w:rsid w:val="001A2163"/>
    <w:rsid w:val="001A738A"/>
    <w:rsid w:val="001A7A96"/>
    <w:rsid w:val="001B53DA"/>
    <w:rsid w:val="00201EBB"/>
    <w:rsid w:val="00203D9B"/>
    <w:rsid w:val="00210AFD"/>
    <w:rsid w:val="00212294"/>
    <w:rsid w:val="00217FD8"/>
    <w:rsid w:val="00226935"/>
    <w:rsid w:val="00226BBF"/>
    <w:rsid w:val="00244661"/>
    <w:rsid w:val="00252B73"/>
    <w:rsid w:val="0026628A"/>
    <w:rsid w:val="00286028"/>
    <w:rsid w:val="00294640"/>
    <w:rsid w:val="002A2372"/>
    <w:rsid w:val="002A4F57"/>
    <w:rsid w:val="002B763A"/>
    <w:rsid w:val="002D002E"/>
    <w:rsid w:val="002D5BBA"/>
    <w:rsid w:val="002D5C0A"/>
    <w:rsid w:val="002E3055"/>
    <w:rsid w:val="002E3CD6"/>
    <w:rsid w:val="002E75E4"/>
    <w:rsid w:val="00301AA0"/>
    <w:rsid w:val="00320C2B"/>
    <w:rsid w:val="003321B7"/>
    <w:rsid w:val="0035629A"/>
    <w:rsid w:val="00366AC3"/>
    <w:rsid w:val="00370A05"/>
    <w:rsid w:val="00373248"/>
    <w:rsid w:val="003B1E71"/>
    <w:rsid w:val="003D0D20"/>
    <w:rsid w:val="003E53B7"/>
    <w:rsid w:val="004062F8"/>
    <w:rsid w:val="004128D5"/>
    <w:rsid w:val="004226AE"/>
    <w:rsid w:val="00437EFC"/>
    <w:rsid w:val="00474590"/>
    <w:rsid w:val="00483385"/>
    <w:rsid w:val="00484A18"/>
    <w:rsid w:val="00486175"/>
    <w:rsid w:val="00486ADB"/>
    <w:rsid w:val="004871EA"/>
    <w:rsid w:val="00487F80"/>
    <w:rsid w:val="0049470E"/>
    <w:rsid w:val="004A2342"/>
    <w:rsid w:val="004D3D9B"/>
    <w:rsid w:val="0050042E"/>
    <w:rsid w:val="00505073"/>
    <w:rsid w:val="005109C9"/>
    <w:rsid w:val="00514ADA"/>
    <w:rsid w:val="00521555"/>
    <w:rsid w:val="00543A2B"/>
    <w:rsid w:val="00562F62"/>
    <w:rsid w:val="00565F3D"/>
    <w:rsid w:val="005806C1"/>
    <w:rsid w:val="00580946"/>
    <w:rsid w:val="00583E52"/>
    <w:rsid w:val="005868BF"/>
    <w:rsid w:val="005915BA"/>
    <w:rsid w:val="00593248"/>
    <w:rsid w:val="005B7880"/>
    <w:rsid w:val="005C55EF"/>
    <w:rsid w:val="005F5A77"/>
    <w:rsid w:val="005F7CE0"/>
    <w:rsid w:val="00601335"/>
    <w:rsid w:val="00606CA7"/>
    <w:rsid w:val="0063239F"/>
    <w:rsid w:val="00647279"/>
    <w:rsid w:val="00661032"/>
    <w:rsid w:val="00672A5D"/>
    <w:rsid w:val="006A3BBA"/>
    <w:rsid w:val="006E1D78"/>
    <w:rsid w:val="006E222A"/>
    <w:rsid w:val="006F2E03"/>
    <w:rsid w:val="006F3AE7"/>
    <w:rsid w:val="00717E51"/>
    <w:rsid w:val="00720CBB"/>
    <w:rsid w:val="00753524"/>
    <w:rsid w:val="00757F6E"/>
    <w:rsid w:val="007A7214"/>
    <w:rsid w:val="007B3B20"/>
    <w:rsid w:val="007F16FD"/>
    <w:rsid w:val="007F41A1"/>
    <w:rsid w:val="008049DA"/>
    <w:rsid w:val="00826D81"/>
    <w:rsid w:val="00832D1B"/>
    <w:rsid w:val="00836732"/>
    <w:rsid w:val="00867CE3"/>
    <w:rsid w:val="00875ACF"/>
    <w:rsid w:val="0088177F"/>
    <w:rsid w:val="008C2817"/>
    <w:rsid w:val="008C316C"/>
    <w:rsid w:val="008C32BB"/>
    <w:rsid w:val="008D1BEC"/>
    <w:rsid w:val="008E3861"/>
    <w:rsid w:val="00901F7D"/>
    <w:rsid w:val="00933C5B"/>
    <w:rsid w:val="0093749D"/>
    <w:rsid w:val="00944470"/>
    <w:rsid w:val="0096210A"/>
    <w:rsid w:val="00985548"/>
    <w:rsid w:val="00987C6F"/>
    <w:rsid w:val="009966BB"/>
    <w:rsid w:val="00996F2B"/>
    <w:rsid w:val="009A435C"/>
    <w:rsid w:val="009B1BFD"/>
    <w:rsid w:val="009B3F54"/>
    <w:rsid w:val="009C111D"/>
    <w:rsid w:val="009E026B"/>
    <w:rsid w:val="009E528C"/>
    <w:rsid w:val="009E6B8F"/>
    <w:rsid w:val="00A10DE4"/>
    <w:rsid w:val="00A25675"/>
    <w:rsid w:val="00A25E31"/>
    <w:rsid w:val="00A275BB"/>
    <w:rsid w:val="00A63888"/>
    <w:rsid w:val="00A65845"/>
    <w:rsid w:val="00A761D7"/>
    <w:rsid w:val="00A87D85"/>
    <w:rsid w:val="00A95C39"/>
    <w:rsid w:val="00AA2A26"/>
    <w:rsid w:val="00AC33F1"/>
    <w:rsid w:val="00AC5160"/>
    <w:rsid w:val="00AD787C"/>
    <w:rsid w:val="00AE24DD"/>
    <w:rsid w:val="00AE4A91"/>
    <w:rsid w:val="00AE5295"/>
    <w:rsid w:val="00AE6A02"/>
    <w:rsid w:val="00AF0A3F"/>
    <w:rsid w:val="00AF1B4E"/>
    <w:rsid w:val="00AF270E"/>
    <w:rsid w:val="00AF3A9D"/>
    <w:rsid w:val="00B00E24"/>
    <w:rsid w:val="00B03B5E"/>
    <w:rsid w:val="00B36527"/>
    <w:rsid w:val="00B4486D"/>
    <w:rsid w:val="00B97238"/>
    <w:rsid w:val="00BA371A"/>
    <w:rsid w:val="00BB52F9"/>
    <w:rsid w:val="00BE4429"/>
    <w:rsid w:val="00BE6253"/>
    <w:rsid w:val="00BE7CB7"/>
    <w:rsid w:val="00C16EC3"/>
    <w:rsid w:val="00C57E84"/>
    <w:rsid w:val="00C64E35"/>
    <w:rsid w:val="00C65F87"/>
    <w:rsid w:val="00CB20E1"/>
    <w:rsid w:val="00CC3569"/>
    <w:rsid w:val="00CE0D4E"/>
    <w:rsid w:val="00CF5A57"/>
    <w:rsid w:val="00CF608F"/>
    <w:rsid w:val="00D00E13"/>
    <w:rsid w:val="00D0173E"/>
    <w:rsid w:val="00D16F29"/>
    <w:rsid w:val="00D33032"/>
    <w:rsid w:val="00D355E0"/>
    <w:rsid w:val="00D37479"/>
    <w:rsid w:val="00D42DF5"/>
    <w:rsid w:val="00D46B86"/>
    <w:rsid w:val="00D5314F"/>
    <w:rsid w:val="00D55907"/>
    <w:rsid w:val="00D57421"/>
    <w:rsid w:val="00D74128"/>
    <w:rsid w:val="00D80258"/>
    <w:rsid w:val="00DB7B49"/>
    <w:rsid w:val="00DC4193"/>
    <w:rsid w:val="00DC7A24"/>
    <w:rsid w:val="00DF4F79"/>
    <w:rsid w:val="00E0707C"/>
    <w:rsid w:val="00E11B22"/>
    <w:rsid w:val="00E2550F"/>
    <w:rsid w:val="00E46CB0"/>
    <w:rsid w:val="00E51DC3"/>
    <w:rsid w:val="00E66224"/>
    <w:rsid w:val="00EE4088"/>
    <w:rsid w:val="00EE7D5C"/>
    <w:rsid w:val="00EF29F0"/>
    <w:rsid w:val="00F0420D"/>
    <w:rsid w:val="00F1076E"/>
    <w:rsid w:val="00F11F1D"/>
    <w:rsid w:val="00F44D6D"/>
    <w:rsid w:val="00F71DED"/>
    <w:rsid w:val="00F908BB"/>
    <w:rsid w:val="00F92680"/>
    <w:rsid w:val="00FB5C9B"/>
    <w:rsid w:val="00FC561B"/>
    <w:rsid w:val="00FE0A9E"/>
    <w:rsid w:val="00FE10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AFA8F763-9559-4A2B-81F0-628ABF20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486D"/>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34"/>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320C2B"/>
    <w:pPr>
      <w:tabs>
        <w:tab w:val="center" w:pos="4252"/>
        <w:tab w:val="right" w:pos="8504"/>
      </w:tabs>
      <w:snapToGrid w:val="0"/>
    </w:pPr>
  </w:style>
  <w:style w:type="character" w:customStyle="1" w:styleId="ae">
    <w:name w:val="ヘッダー (文字)"/>
    <w:basedOn w:val="a0"/>
    <w:link w:val="ad"/>
    <w:uiPriority w:val="99"/>
    <w:rsid w:val="00320C2B"/>
    <w:rPr>
      <w:rFonts w:ascii="ＭＳ 明朝" w:eastAsia="ＭＳ 明朝" w:hAnsi="Century" w:cs="Times New Roman"/>
      <w:szCs w:val="20"/>
    </w:rPr>
  </w:style>
  <w:style w:type="paragraph" w:styleId="af">
    <w:name w:val="footer"/>
    <w:basedOn w:val="a"/>
    <w:link w:val="af0"/>
    <w:uiPriority w:val="99"/>
    <w:unhideWhenUsed/>
    <w:rsid w:val="00320C2B"/>
    <w:pPr>
      <w:tabs>
        <w:tab w:val="center" w:pos="4252"/>
        <w:tab w:val="right" w:pos="8504"/>
      </w:tabs>
      <w:snapToGrid w:val="0"/>
    </w:pPr>
  </w:style>
  <w:style w:type="character" w:customStyle="1" w:styleId="af0">
    <w:name w:val="フッター (文字)"/>
    <w:basedOn w:val="a0"/>
    <w:link w:val="af"/>
    <w:uiPriority w:val="99"/>
    <w:rsid w:val="00320C2B"/>
    <w:rPr>
      <w:rFonts w:ascii="ＭＳ 明朝" w:eastAsia="ＭＳ 明朝" w:hAnsi="Century" w:cs="Times New Roman"/>
      <w:szCs w:val="20"/>
    </w:rPr>
  </w:style>
  <w:style w:type="character" w:customStyle="1" w:styleId="rynqvb">
    <w:name w:val="rynqvb"/>
    <w:basedOn w:val="a0"/>
    <w:rsid w:val="00A10DE4"/>
  </w:style>
  <w:style w:type="character" w:styleId="af1">
    <w:name w:val="Emphasis"/>
    <w:basedOn w:val="a0"/>
    <w:uiPriority w:val="20"/>
    <w:qFormat/>
    <w:rsid w:val="0035629A"/>
    <w:rPr>
      <w:i/>
      <w:iCs/>
    </w:rPr>
  </w:style>
  <w:style w:type="character" w:styleId="af2">
    <w:name w:val="Strong"/>
    <w:basedOn w:val="a0"/>
    <w:uiPriority w:val="22"/>
    <w:qFormat/>
    <w:rsid w:val="00CC3569"/>
    <w:rPr>
      <w:b/>
      <w:bCs/>
    </w:rPr>
  </w:style>
  <w:style w:type="character" w:styleId="af3">
    <w:name w:val="annotation reference"/>
    <w:basedOn w:val="a0"/>
    <w:uiPriority w:val="99"/>
    <w:semiHidden/>
    <w:unhideWhenUsed/>
    <w:rsid w:val="00474590"/>
    <w:rPr>
      <w:sz w:val="18"/>
      <w:szCs w:val="18"/>
    </w:rPr>
  </w:style>
  <w:style w:type="paragraph" w:styleId="af4">
    <w:name w:val="annotation text"/>
    <w:basedOn w:val="a"/>
    <w:link w:val="af5"/>
    <w:uiPriority w:val="99"/>
    <w:unhideWhenUsed/>
    <w:rsid w:val="00474590"/>
    <w:pPr>
      <w:jc w:val="left"/>
    </w:pPr>
  </w:style>
  <w:style w:type="character" w:customStyle="1" w:styleId="af5">
    <w:name w:val="コメント文字列 (文字)"/>
    <w:basedOn w:val="a0"/>
    <w:link w:val="af4"/>
    <w:uiPriority w:val="99"/>
    <w:rsid w:val="00474590"/>
    <w:rPr>
      <w:rFonts w:ascii="ＭＳ 明朝" w:eastAsia="ＭＳ 明朝" w:hAnsi="Century" w:cs="Times New Roman"/>
      <w:szCs w:val="20"/>
    </w:rPr>
  </w:style>
  <w:style w:type="paragraph" w:styleId="af6">
    <w:name w:val="annotation subject"/>
    <w:basedOn w:val="af4"/>
    <w:next w:val="af4"/>
    <w:link w:val="af7"/>
    <w:uiPriority w:val="99"/>
    <w:semiHidden/>
    <w:unhideWhenUsed/>
    <w:rsid w:val="00474590"/>
    <w:rPr>
      <w:b/>
      <w:bCs/>
    </w:rPr>
  </w:style>
  <w:style w:type="character" w:customStyle="1" w:styleId="af7">
    <w:name w:val="コメント内容 (文字)"/>
    <w:basedOn w:val="af5"/>
    <w:link w:val="af6"/>
    <w:uiPriority w:val="99"/>
    <w:semiHidden/>
    <w:rsid w:val="00474590"/>
    <w:rPr>
      <w:rFonts w:ascii="ＭＳ 明朝" w:eastAsia="ＭＳ 明朝" w:hAnsi="Century"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06921">
      <w:bodyDiv w:val="1"/>
      <w:marLeft w:val="0"/>
      <w:marRight w:val="0"/>
      <w:marTop w:val="0"/>
      <w:marBottom w:val="0"/>
      <w:divBdr>
        <w:top w:val="none" w:sz="0" w:space="0" w:color="auto"/>
        <w:left w:val="none" w:sz="0" w:space="0" w:color="auto"/>
        <w:bottom w:val="none" w:sz="0" w:space="0" w:color="auto"/>
        <w:right w:val="none" w:sz="0" w:space="0" w:color="auto"/>
      </w:divBdr>
    </w:div>
    <w:div w:id="367031578">
      <w:bodyDiv w:val="1"/>
      <w:marLeft w:val="0"/>
      <w:marRight w:val="0"/>
      <w:marTop w:val="0"/>
      <w:marBottom w:val="0"/>
      <w:divBdr>
        <w:top w:val="none" w:sz="0" w:space="0" w:color="auto"/>
        <w:left w:val="none" w:sz="0" w:space="0" w:color="auto"/>
        <w:bottom w:val="none" w:sz="0" w:space="0" w:color="auto"/>
        <w:right w:val="none" w:sz="0" w:space="0" w:color="auto"/>
      </w:divBdr>
    </w:div>
    <w:div w:id="389697035">
      <w:bodyDiv w:val="1"/>
      <w:marLeft w:val="0"/>
      <w:marRight w:val="0"/>
      <w:marTop w:val="0"/>
      <w:marBottom w:val="0"/>
      <w:divBdr>
        <w:top w:val="none" w:sz="0" w:space="0" w:color="auto"/>
        <w:left w:val="none" w:sz="0" w:space="0" w:color="auto"/>
        <w:bottom w:val="none" w:sz="0" w:space="0" w:color="auto"/>
        <w:right w:val="none" w:sz="0" w:space="0" w:color="auto"/>
      </w:divBdr>
    </w:div>
    <w:div w:id="466817753">
      <w:bodyDiv w:val="1"/>
      <w:marLeft w:val="0"/>
      <w:marRight w:val="0"/>
      <w:marTop w:val="0"/>
      <w:marBottom w:val="0"/>
      <w:divBdr>
        <w:top w:val="none" w:sz="0" w:space="0" w:color="auto"/>
        <w:left w:val="none" w:sz="0" w:space="0" w:color="auto"/>
        <w:bottom w:val="none" w:sz="0" w:space="0" w:color="auto"/>
        <w:right w:val="none" w:sz="0" w:space="0" w:color="auto"/>
      </w:divBdr>
    </w:div>
    <w:div w:id="667246510">
      <w:bodyDiv w:val="1"/>
      <w:marLeft w:val="0"/>
      <w:marRight w:val="0"/>
      <w:marTop w:val="0"/>
      <w:marBottom w:val="0"/>
      <w:divBdr>
        <w:top w:val="none" w:sz="0" w:space="0" w:color="auto"/>
        <w:left w:val="none" w:sz="0" w:space="0" w:color="auto"/>
        <w:bottom w:val="none" w:sz="0" w:space="0" w:color="auto"/>
        <w:right w:val="none" w:sz="0" w:space="0" w:color="auto"/>
      </w:divBdr>
    </w:div>
    <w:div w:id="1175152331">
      <w:bodyDiv w:val="1"/>
      <w:marLeft w:val="0"/>
      <w:marRight w:val="0"/>
      <w:marTop w:val="0"/>
      <w:marBottom w:val="0"/>
      <w:divBdr>
        <w:top w:val="none" w:sz="0" w:space="0" w:color="auto"/>
        <w:left w:val="none" w:sz="0" w:space="0" w:color="auto"/>
        <w:bottom w:val="none" w:sz="0" w:space="0" w:color="auto"/>
        <w:right w:val="none" w:sz="0" w:space="0" w:color="auto"/>
      </w:divBdr>
    </w:div>
    <w:div w:id="1260406840">
      <w:bodyDiv w:val="1"/>
      <w:marLeft w:val="0"/>
      <w:marRight w:val="0"/>
      <w:marTop w:val="0"/>
      <w:marBottom w:val="0"/>
      <w:divBdr>
        <w:top w:val="none" w:sz="0" w:space="0" w:color="auto"/>
        <w:left w:val="none" w:sz="0" w:space="0" w:color="auto"/>
        <w:bottom w:val="none" w:sz="0" w:space="0" w:color="auto"/>
        <w:right w:val="none" w:sz="0" w:space="0" w:color="auto"/>
      </w:divBdr>
    </w:div>
    <w:div w:id="1934047831">
      <w:bodyDiv w:val="1"/>
      <w:marLeft w:val="0"/>
      <w:marRight w:val="0"/>
      <w:marTop w:val="0"/>
      <w:marBottom w:val="0"/>
      <w:divBdr>
        <w:top w:val="none" w:sz="0" w:space="0" w:color="auto"/>
        <w:left w:val="none" w:sz="0" w:space="0" w:color="auto"/>
        <w:bottom w:val="none" w:sz="0" w:space="0" w:color="auto"/>
        <w:right w:val="none" w:sz="0" w:space="0" w:color="auto"/>
      </w:divBdr>
      <w:divsChild>
        <w:div w:id="269510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1022</Words>
  <Characters>5827</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2025-01-06T09:33:00Z</cp:lastPrinted>
  <dcterms:created xsi:type="dcterms:W3CDTF">2025-03-31T07:12:00Z</dcterms:created>
  <dcterms:modified xsi:type="dcterms:W3CDTF">2025-03-31T07:12:00Z</dcterms:modified>
</cp:coreProperties>
</file>