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32E8C10E" w:rsidR="000C3F36" w:rsidRPr="00817650" w:rsidRDefault="004D0041" w:rsidP="00117E04">
      <w:pPr>
        <w:rPr>
          <w:rFonts w:ascii="ＭＳ ゴシック" w:eastAsia="ＭＳ ゴシック" w:hAnsi="ＭＳ ゴシック"/>
        </w:rPr>
      </w:pPr>
      <w:r w:rsidRPr="00817650">
        <w:rPr>
          <w:rFonts w:ascii="ＭＳ ゴシック" w:eastAsia="ＭＳ ゴシック" w:hAnsi="ＭＳ ゴシック" w:hint="eastAsia"/>
        </w:rPr>
        <w:t>事例</w:t>
      </w:r>
      <w:r w:rsidR="00117E04" w:rsidRPr="00817650">
        <w:rPr>
          <w:rFonts w:ascii="ＭＳ ゴシック" w:eastAsia="ＭＳ ゴシック" w:hAnsi="ＭＳ ゴシック" w:hint="eastAsia"/>
        </w:rPr>
        <w:t>個票</w:t>
      </w:r>
      <w:r w:rsidR="009E6B8F" w:rsidRPr="00817650">
        <w:rPr>
          <w:rFonts w:ascii="ＭＳ ゴシック" w:eastAsia="ＭＳ ゴシック" w:hAnsi="ＭＳ ゴシック" w:hint="eastAsia"/>
        </w:rPr>
        <w:t xml:space="preserve">　</w:t>
      </w:r>
      <w:r w:rsidR="00583B12">
        <w:rPr>
          <w:rFonts w:ascii="ＭＳ ゴシック" w:eastAsia="ＭＳ ゴシック" w:hAnsi="ＭＳ ゴシック" w:hint="eastAsia"/>
        </w:rPr>
        <w:t>オランダ埋立</w:t>
      </w:r>
    </w:p>
    <w:tbl>
      <w:tblPr>
        <w:tblStyle w:val="ac"/>
        <w:tblW w:w="9774" w:type="dxa"/>
        <w:tblLook w:val="04A0" w:firstRow="1" w:lastRow="0" w:firstColumn="1" w:lastColumn="0" w:noHBand="0" w:noVBand="1"/>
      </w:tblPr>
      <w:tblGrid>
        <w:gridCol w:w="2120"/>
        <w:gridCol w:w="7654"/>
      </w:tblGrid>
      <w:tr w:rsidR="007F237C" w14:paraId="6B8E1257" w14:textId="77777777" w:rsidTr="00357D32">
        <w:tc>
          <w:tcPr>
            <w:tcW w:w="2120" w:type="dxa"/>
          </w:tcPr>
          <w:p w14:paraId="007A0AFC" w14:textId="1F546269" w:rsidR="008A5DE9" w:rsidRPr="00817650" w:rsidRDefault="008A5DE9"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所在地</w:t>
            </w:r>
          </w:p>
        </w:tc>
        <w:tc>
          <w:tcPr>
            <w:tcW w:w="7654" w:type="dxa"/>
          </w:tcPr>
          <w:p w14:paraId="65042862" w14:textId="0BC597EC" w:rsidR="008A5DE9" w:rsidRDefault="008E3E20" w:rsidP="000E6220">
            <w:pPr>
              <w:snapToGrid w:val="0"/>
              <w:spacing w:line="280" w:lineRule="exact"/>
              <w:rPr>
                <w:rFonts w:hAnsi="ＭＳ 明朝"/>
              </w:rPr>
            </w:pPr>
            <w:r>
              <w:rPr>
                <w:rFonts w:hAnsi="ＭＳ 明朝" w:hint="eastAsia"/>
              </w:rPr>
              <w:t>オランダ、ロッテルダム市、ロッテルダム港湾地区</w:t>
            </w:r>
          </w:p>
        </w:tc>
      </w:tr>
      <w:tr w:rsidR="007F237C" w14:paraId="02FD2B03" w14:textId="77777777" w:rsidTr="00357D32">
        <w:tc>
          <w:tcPr>
            <w:tcW w:w="2120" w:type="dxa"/>
          </w:tcPr>
          <w:p w14:paraId="2B50C1B5" w14:textId="5319CA3E" w:rsidR="009E6B8F" w:rsidRPr="00817650" w:rsidRDefault="008A5DE9"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事業名</w:t>
            </w:r>
          </w:p>
        </w:tc>
        <w:tc>
          <w:tcPr>
            <w:tcW w:w="7654" w:type="dxa"/>
          </w:tcPr>
          <w:p w14:paraId="5423F865" w14:textId="3509D1C3" w:rsidR="009E6B8F" w:rsidRPr="00551945" w:rsidRDefault="00EB6E04" w:rsidP="000E6B86">
            <w:pPr>
              <w:snapToGrid w:val="0"/>
              <w:spacing w:line="280" w:lineRule="exact"/>
              <w:rPr>
                <w:rFonts w:hAnsi="ＭＳ 明朝"/>
              </w:rPr>
            </w:pPr>
            <w:proofErr w:type="spellStart"/>
            <w:r w:rsidRPr="008E3E20">
              <w:rPr>
                <w:rFonts w:hAnsi="ＭＳ 明朝" w:hint="eastAsia"/>
              </w:rPr>
              <w:t>Maasvlakte</w:t>
            </w:r>
            <w:proofErr w:type="spellEnd"/>
            <w:r w:rsidRPr="008E3E20">
              <w:rPr>
                <w:rFonts w:hAnsi="ＭＳ 明朝" w:hint="eastAsia"/>
              </w:rPr>
              <w:t xml:space="preserve"> 2 </w:t>
            </w:r>
          </w:p>
        </w:tc>
      </w:tr>
      <w:tr w:rsidR="007F237C" w14:paraId="2A87144B" w14:textId="77777777" w:rsidTr="00357D32">
        <w:tc>
          <w:tcPr>
            <w:tcW w:w="2120" w:type="dxa"/>
          </w:tcPr>
          <w:p w14:paraId="54C11E0E" w14:textId="3CDF309C" w:rsidR="008A5DE9" w:rsidRPr="00817650" w:rsidRDefault="008A5DE9"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図書名</w:t>
            </w:r>
          </w:p>
        </w:tc>
        <w:tc>
          <w:tcPr>
            <w:tcW w:w="7654" w:type="dxa"/>
          </w:tcPr>
          <w:p w14:paraId="47046023" w14:textId="2AE1D76E" w:rsidR="00583B12" w:rsidRPr="00551945" w:rsidRDefault="008E3E20" w:rsidP="008E3E20">
            <w:pPr>
              <w:snapToGrid w:val="0"/>
              <w:spacing w:line="280" w:lineRule="exact"/>
              <w:rPr>
                <w:rFonts w:hAnsi="ＭＳ 明朝"/>
              </w:rPr>
            </w:pPr>
            <w:r w:rsidRPr="008E3E20">
              <w:rPr>
                <w:rFonts w:hAnsi="ＭＳ 明朝" w:hint="eastAsia"/>
              </w:rPr>
              <w:t xml:space="preserve">環境影響報告書 </w:t>
            </w:r>
            <w:proofErr w:type="spellStart"/>
            <w:r w:rsidRPr="008E3E20">
              <w:rPr>
                <w:rFonts w:hAnsi="ＭＳ 明朝" w:hint="eastAsia"/>
              </w:rPr>
              <w:t>Maasvlakte</w:t>
            </w:r>
            <w:proofErr w:type="spellEnd"/>
            <w:r w:rsidRPr="008E3E20">
              <w:rPr>
                <w:rFonts w:hAnsi="ＭＳ 明朝" w:hint="eastAsia"/>
              </w:rPr>
              <w:t xml:space="preserve"> 2 目的地</w:t>
            </w:r>
            <w:r w:rsidR="00D609C5">
              <w:rPr>
                <w:rFonts w:hAnsi="ＭＳ 明朝" w:hint="eastAsia"/>
              </w:rPr>
              <w:t xml:space="preserve">　</w:t>
            </w:r>
            <w:r w:rsidR="00583B12">
              <w:rPr>
                <w:rFonts w:hAnsi="ＭＳ 明朝" w:hint="eastAsia"/>
              </w:rPr>
              <w:t>（</w:t>
            </w:r>
            <w:r w:rsidR="00C4779F">
              <w:rPr>
                <w:rFonts w:hAnsi="ＭＳ 明朝" w:hint="eastAsia"/>
              </w:rPr>
              <w:t>2007年</w:t>
            </w:r>
            <w:r w:rsidR="00583B12">
              <w:rPr>
                <w:rFonts w:hAnsi="ＭＳ 明朝" w:hint="eastAsia"/>
              </w:rPr>
              <w:t>）</w:t>
            </w:r>
          </w:p>
          <w:p w14:paraId="0FAAE7B0" w14:textId="351257ED" w:rsidR="008A5DE9" w:rsidRDefault="008E3E20" w:rsidP="00583B12">
            <w:pPr>
              <w:snapToGrid w:val="0"/>
              <w:spacing w:line="280" w:lineRule="exact"/>
              <w:rPr>
                <w:rFonts w:hAnsi="ＭＳ 明朝"/>
              </w:rPr>
            </w:pPr>
            <w:proofErr w:type="spellStart"/>
            <w:r w:rsidRPr="008E3E20">
              <w:rPr>
                <w:rFonts w:hAnsi="ＭＳ 明朝"/>
              </w:rPr>
              <w:t>Milieueffectrapport</w:t>
            </w:r>
            <w:proofErr w:type="spellEnd"/>
            <w:r w:rsidRPr="008E3E20">
              <w:rPr>
                <w:rFonts w:hAnsi="ＭＳ 明朝"/>
              </w:rPr>
              <w:t xml:space="preserve"> </w:t>
            </w:r>
            <w:proofErr w:type="spellStart"/>
            <w:r w:rsidRPr="008E3E20">
              <w:rPr>
                <w:rFonts w:hAnsi="ＭＳ 明朝"/>
              </w:rPr>
              <w:t>Bestemming</w:t>
            </w:r>
            <w:proofErr w:type="spellEnd"/>
            <w:r w:rsidRPr="008E3E20">
              <w:rPr>
                <w:rFonts w:hAnsi="ＭＳ 明朝"/>
              </w:rPr>
              <w:t xml:space="preserve"> </w:t>
            </w:r>
            <w:proofErr w:type="spellStart"/>
            <w:r w:rsidRPr="008E3E20">
              <w:rPr>
                <w:rFonts w:hAnsi="ＭＳ 明朝"/>
              </w:rPr>
              <w:t>Maasvlakte</w:t>
            </w:r>
            <w:proofErr w:type="spellEnd"/>
            <w:r w:rsidRPr="008E3E20">
              <w:rPr>
                <w:rFonts w:hAnsi="ＭＳ 明朝"/>
              </w:rPr>
              <w:t xml:space="preserve"> 2</w:t>
            </w:r>
            <w:r w:rsidR="00583B12">
              <w:rPr>
                <w:rFonts w:hAnsi="ＭＳ 明朝" w:hint="eastAsia"/>
              </w:rPr>
              <w:t xml:space="preserve"> (2007)</w:t>
            </w:r>
          </w:p>
        </w:tc>
      </w:tr>
      <w:tr w:rsidR="007F237C" w14:paraId="31D46898" w14:textId="77777777" w:rsidTr="00357D32">
        <w:tc>
          <w:tcPr>
            <w:tcW w:w="2120" w:type="dxa"/>
          </w:tcPr>
          <w:p w14:paraId="63F394E4" w14:textId="432242D2" w:rsidR="00F24787" w:rsidRPr="00817650" w:rsidRDefault="00F24787"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累積的影響評価実施主体</w:t>
            </w:r>
          </w:p>
        </w:tc>
        <w:tc>
          <w:tcPr>
            <w:tcW w:w="7654" w:type="dxa"/>
          </w:tcPr>
          <w:p w14:paraId="12A3D2A3" w14:textId="34313CB3" w:rsidR="00F24787" w:rsidRDefault="00EB6E04" w:rsidP="00F24787">
            <w:pPr>
              <w:snapToGrid w:val="0"/>
              <w:spacing w:line="280" w:lineRule="exact"/>
              <w:rPr>
                <w:rFonts w:hAnsi="ＭＳ 明朝"/>
              </w:rPr>
            </w:pPr>
            <w:r>
              <w:rPr>
                <w:rFonts w:hAnsi="ＭＳ 明朝" w:hint="eastAsia"/>
              </w:rPr>
              <w:t>ロッテルダム港管理局</w:t>
            </w:r>
          </w:p>
        </w:tc>
      </w:tr>
      <w:tr w:rsidR="007F237C" w14:paraId="73326558" w14:textId="77777777" w:rsidTr="00357D32">
        <w:tc>
          <w:tcPr>
            <w:tcW w:w="2120" w:type="dxa"/>
          </w:tcPr>
          <w:p w14:paraId="406D6276" w14:textId="5A3EA863"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事業主体</w:t>
            </w:r>
          </w:p>
        </w:tc>
        <w:tc>
          <w:tcPr>
            <w:tcW w:w="7654" w:type="dxa"/>
          </w:tcPr>
          <w:p w14:paraId="7366AB97" w14:textId="1BC3E515" w:rsidR="00010B92" w:rsidRPr="00010B92" w:rsidRDefault="00010B92" w:rsidP="00010B92">
            <w:pPr>
              <w:snapToGrid w:val="0"/>
              <w:spacing w:line="280" w:lineRule="exact"/>
              <w:rPr>
                <w:rFonts w:hAnsi="ＭＳ 明朝"/>
              </w:rPr>
            </w:pPr>
            <w:r w:rsidRPr="00010B92">
              <w:rPr>
                <w:rFonts w:hAnsi="ＭＳ 明朝" w:hint="eastAsia"/>
              </w:rPr>
              <w:t>プロジェクト組織 Maasvlakte2</w:t>
            </w:r>
          </w:p>
          <w:p w14:paraId="3F67263A" w14:textId="45382321" w:rsidR="00D441CF" w:rsidRPr="00551945" w:rsidRDefault="00010B92" w:rsidP="00010B92">
            <w:pPr>
              <w:snapToGrid w:val="0"/>
              <w:spacing w:line="280" w:lineRule="exact"/>
              <w:rPr>
                <w:rFonts w:hAnsi="ＭＳ 明朝"/>
              </w:rPr>
            </w:pPr>
            <w:r w:rsidRPr="00010B92">
              <w:rPr>
                <w:rFonts w:hAnsi="ＭＳ 明朝" w:hint="eastAsia"/>
              </w:rPr>
              <w:t>Project Organization Maasvlakte2</w:t>
            </w:r>
          </w:p>
        </w:tc>
      </w:tr>
      <w:tr w:rsidR="007F237C" w14:paraId="3A93BE00" w14:textId="77777777" w:rsidTr="00357D32">
        <w:tc>
          <w:tcPr>
            <w:tcW w:w="2120" w:type="dxa"/>
          </w:tcPr>
          <w:p w14:paraId="19121C14" w14:textId="0B5A7E0E"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事業種別</w:t>
            </w:r>
          </w:p>
        </w:tc>
        <w:tc>
          <w:tcPr>
            <w:tcW w:w="7654" w:type="dxa"/>
          </w:tcPr>
          <w:p w14:paraId="66CBFC1C" w14:textId="1E3F4C14" w:rsidR="0081466F" w:rsidRPr="00551945" w:rsidRDefault="00B04883" w:rsidP="000E6220">
            <w:pPr>
              <w:snapToGrid w:val="0"/>
              <w:spacing w:line="280" w:lineRule="exact"/>
              <w:rPr>
                <w:rFonts w:hAnsi="ＭＳ 明朝"/>
              </w:rPr>
            </w:pPr>
            <w:r>
              <w:rPr>
                <w:rFonts w:hint="eastAsia"/>
              </w:rPr>
              <w:t>埋立て及び干拓・面整備事業</w:t>
            </w:r>
          </w:p>
        </w:tc>
      </w:tr>
      <w:tr w:rsidR="007F237C" w14:paraId="68AAAA06" w14:textId="77777777" w:rsidTr="00357D32">
        <w:tc>
          <w:tcPr>
            <w:tcW w:w="2120" w:type="dxa"/>
          </w:tcPr>
          <w:p w14:paraId="51D1B157" w14:textId="77F244C8"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規模</w:t>
            </w:r>
          </w:p>
        </w:tc>
        <w:tc>
          <w:tcPr>
            <w:tcW w:w="7654" w:type="dxa"/>
          </w:tcPr>
          <w:p w14:paraId="748D3802" w14:textId="18A40ABE" w:rsidR="00D34B70" w:rsidRPr="00551945" w:rsidRDefault="00A81679" w:rsidP="00D34B70">
            <w:pPr>
              <w:snapToGrid w:val="0"/>
              <w:spacing w:line="280" w:lineRule="exact"/>
              <w:rPr>
                <w:rFonts w:hAnsi="ＭＳ 明朝"/>
              </w:rPr>
            </w:pPr>
            <w:r>
              <w:rPr>
                <w:rFonts w:hAnsi="ＭＳ 明朝" w:hint="eastAsia"/>
                <w:kern w:val="0"/>
              </w:rPr>
              <w:t>約2000ha</w:t>
            </w:r>
          </w:p>
        </w:tc>
      </w:tr>
      <w:tr w:rsidR="007F237C" w14:paraId="4F438E78" w14:textId="77777777" w:rsidTr="00357D32">
        <w:tc>
          <w:tcPr>
            <w:tcW w:w="2120" w:type="dxa"/>
          </w:tcPr>
          <w:p w14:paraId="4E5F9C16" w14:textId="77777777" w:rsidR="0081466F"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事業概要</w:t>
            </w:r>
          </w:p>
          <w:p w14:paraId="2D2620C9" w14:textId="0710F775" w:rsidR="00010B92" w:rsidRPr="00817650" w:rsidRDefault="00010B92" w:rsidP="009E6B8F">
            <w:pPr>
              <w:snapToGrid w:val="0"/>
              <w:spacing w:line="280" w:lineRule="exact"/>
              <w:rPr>
                <w:rFonts w:ascii="ＭＳ ゴシック" w:eastAsia="ＭＳ ゴシック" w:hAnsi="ＭＳ ゴシック"/>
              </w:rPr>
            </w:pPr>
          </w:p>
        </w:tc>
        <w:tc>
          <w:tcPr>
            <w:tcW w:w="7654" w:type="dxa"/>
          </w:tcPr>
          <w:p w14:paraId="6C382702" w14:textId="5A66B145" w:rsidR="00D20625" w:rsidRPr="00D20625" w:rsidRDefault="00D20625" w:rsidP="00583B12">
            <w:pPr>
              <w:snapToGrid w:val="0"/>
              <w:spacing w:line="280" w:lineRule="exact"/>
              <w:ind w:firstLineChars="100" w:firstLine="210"/>
              <w:rPr>
                <w:rFonts w:hAnsi="ＭＳ 明朝"/>
              </w:rPr>
            </w:pPr>
            <w:r w:rsidRPr="00D20625">
              <w:rPr>
                <w:rFonts w:hAnsi="ＭＳ 明朝" w:hint="eastAsia"/>
              </w:rPr>
              <w:t>マースフラクテ2は、ロッテルダム港の現在のマースフラクテの隣に</w:t>
            </w:r>
            <w:r w:rsidR="00641629">
              <w:rPr>
                <w:rFonts w:hAnsi="ＭＳ 明朝" w:hint="eastAsia"/>
              </w:rPr>
              <w:t>位置する</w:t>
            </w:r>
            <w:r w:rsidRPr="00D20625">
              <w:rPr>
                <w:rFonts w:hAnsi="ＭＳ 明朝" w:hint="eastAsia"/>
              </w:rPr>
              <w:t>港湾および工業地域</w:t>
            </w:r>
            <w:r w:rsidR="00641629">
              <w:rPr>
                <w:rFonts w:hAnsi="ＭＳ 明朝" w:hint="eastAsia"/>
              </w:rPr>
              <w:t>の開発計画</w:t>
            </w:r>
            <w:r w:rsidRPr="00D20625">
              <w:rPr>
                <w:rFonts w:hAnsi="ＭＳ 明朝" w:hint="eastAsia"/>
              </w:rPr>
              <w:t>である。</w:t>
            </w:r>
            <w:r w:rsidR="00E81617" w:rsidRPr="00D20625">
              <w:rPr>
                <w:rFonts w:hAnsi="ＭＳ 明朝" w:hint="eastAsia"/>
              </w:rPr>
              <w:t>マースフラクテ2は、</w:t>
            </w:r>
            <w:r w:rsidRPr="00D20625">
              <w:rPr>
                <w:rFonts w:hAnsi="ＭＳ 明朝" w:hint="eastAsia"/>
              </w:rPr>
              <w:t>面積、立地、大規模さ、そして利用開始までに長期間</w:t>
            </w:r>
            <w:r w:rsidR="001848C4">
              <w:rPr>
                <w:rFonts w:hAnsi="ＭＳ 明朝" w:hint="eastAsia"/>
              </w:rPr>
              <w:t>を要する大規模開発計画</w:t>
            </w:r>
            <w:r w:rsidRPr="00D20625">
              <w:rPr>
                <w:rFonts w:hAnsi="ＭＳ 明朝" w:hint="eastAsia"/>
              </w:rPr>
              <w:t>である。建設工事そのもの、埋め立て地の存在、そしてそこに進出する企業の活動も</w:t>
            </w:r>
            <w:r w:rsidR="006A2496">
              <w:rPr>
                <w:rFonts w:hAnsi="ＭＳ 明朝" w:hint="eastAsia"/>
              </w:rPr>
              <w:t>加わって</w:t>
            </w:r>
            <w:r w:rsidRPr="00D20625">
              <w:rPr>
                <w:rFonts w:hAnsi="ＭＳ 明朝" w:hint="eastAsia"/>
              </w:rPr>
              <w:t>、さまざまな影響を及ぼす。そのため、このプロジェクトの実現には、広範な調査、多数の関係者との協議、さまざまな意思決定手続きなど、入念な準備が</w:t>
            </w:r>
            <w:r>
              <w:rPr>
                <w:rFonts w:hAnsi="ＭＳ 明朝" w:hint="eastAsia"/>
              </w:rPr>
              <w:t>必要である</w:t>
            </w:r>
            <w:r w:rsidRPr="00D20625">
              <w:rPr>
                <w:rFonts w:hAnsi="ＭＳ 明朝" w:hint="eastAsia"/>
              </w:rPr>
              <w:t>。</w:t>
            </w:r>
          </w:p>
          <w:p w14:paraId="413D5B02" w14:textId="77777777" w:rsidR="00D20625" w:rsidRPr="00D20625" w:rsidRDefault="00D20625" w:rsidP="00583B12">
            <w:pPr>
              <w:snapToGrid w:val="0"/>
              <w:spacing w:line="280" w:lineRule="exact"/>
              <w:ind w:firstLineChars="100" w:firstLine="210"/>
              <w:rPr>
                <w:rFonts w:hAnsi="ＭＳ 明朝"/>
              </w:rPr>
            </w:pPr>
            <w:r w:rsidRPr="00D20625">
              <w:rPr>
                <w:rFonts w:hAnsi="ＭＳ 明朝" w:hint="eastAsia"/>
              </w:rPr>
              <w:t>マースフラクテ2は北海に新たに建設される埋立地であり、フォールデルタへと自然に変化する護岸で囲まれる。さらに、現在のマースフラクテと同様に、マースフラクテ2にもレクリエーション用のスペースが設けられる予定であり、特にビーチが整備される。港湾および工業地域は段階的に開発される。2008年に作業を開始する予定である。2013年までの期間には、護岸が建設され、必要な港湾施設やインフラが建設され、最初の用地が開発される。2013年以降のマースフラクテ2のさらなる開発のペースは、市場の動向に左右される。</w:t>
            </w:r>
          </w:p>
          <w:p w14:paraId="2AC47EDC" w14:textId="69D92920" w:rsidR="0081466F" w:rsidRPr="00551945" w:rsidRDefault="00D20625" w:rsidP="00583B12">
            <w:pPr>
              <w:snapToGrid w:val="0"/>
              <w:spacing w:line="280" w:lineRule="exact"/>
              <w:ind w:firstLineChars="100" w:firstLine="210"/>
              <w:rPr>
                <w:rFonts w:hAnsi="ＭＳ 明朝"/>
              </w:rPr>
            </w:pPr>
            <w:r w:rsidRPr="00D20625">
              <w:rPr>
                <w:rFonts w:hAnsi="ＭＳ 明朝" w:hint="eastAsia"/>
              </w:rPr>
              <w:t>最終的には、1,000ヘクタールの港湾および工業用地が実現することになる。さらに、港の水域、防潮堤、乾燥したインフラおよびその他の施設として、約1,000ヘクタールが必要となる。</w:t>
            </w:r>
          </w:p>
        </w:tc>
      </w:tr>
      <w:tr w:rsidR="007F237C" w14:paraId="163C4096" w14:textId="77777777" w:rsidTr="00357D32">
        <w:tc>
          <w:tcPr>
            <w:tcW w:w="2120" w:type="dxa"/>
          </w:tcPr>
          <w:p w14:paraId="0E012C03" w14:textId="366BA3D5" w:rsidR="00F24787" w:rsidRPr="00817650" w:rsidRDefault="00F24787"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累積的影響評価の位置付け</w:t>
            </w:r>
          </w:p>
        </w:tc>
        <w:tc>
          <w:tcPr>
            <w:tcW w:w="7654" w:type="dxa"/>
          </w:tcPr>
          <w:p w14:paraId="306BF36B" w14:textId="40294683" w:rsidR="00A81679" w:rsidRDefault="00A81679" w:rsidP="00A81679">
            <w:pPr>
              <w:snapToGrid w:val="0"/>
              <w:spacing w:line="280" w:lineRule="exact"/>
              <w:rPr>
                <w:rFonts w:hAnsi="ＭＳ 明朝"/>
              </w:rPr>
            </w:pPr>
            <w:r>
              <w:rPr>
                <w:rFonts w:hAnsi="ＭＳ 明朝" w:hint="eastAsia"/>
              </w:rPr>
              <w:t>個別の事業</w:t>
            </w:r>
            <w:r w:rsidR="003A7E57">
              <w:rPr>
                <w:rFonts w:hAnsi="ＭＳ 明朝" w:hint="eastAsia"/>
              </w:rPr>
              <w:t>の環境アセスメント</w:t>
            </w:r>
            <w:r>
              <w:rPr>
                <w:rFonts w:hAnsi="ＭＳ 明朝" w:hint="eastAsia"/>
              </w:rPr>
              <w:t>の中で</w:t>
            </w:r>
            <w:r w:rsidR="00B95877">
              <w:rPr>
                <w:rFonts w:hAnsi="ＭＳ 明朝" w:hint="eastAsia"/>
              </w:rPr>
              <w:t>行われている</w:t>
            </w:r>
            <w:r w:rsidR="003A7E57">
              <w:rPr>
                <w:rFonts w:hAnsi="ＭＳ 明朝" w:hint="eastAsia"/>
              </w:rPr>
              <w:t>累積的影響評価</w:t>
            </w:r>
          </w:p>
          <w:p w14:paraId="5E023871" w14:textId="3B225D8E" w:rsidR="00ED3B60" w:rsidRPr="00A81679" w:rsidRDefault="00ED3B60" w:rsidP="000E6220">
            <w:pPr>
              <w:snapToGrid w:val="0"/>
              <w:spacing w:line="280" w:lineRule="exact"/>
              <w:rPr>
                <w:rFonts w:hAnsi="ＭＳ 明朝"/>
              </w:rPr>
            </w:pPr>
          </w:p>
        </w:tc>
      </w:tr>
      <w:tr w:rsidR="007F237C" w14:paraId="1FC7BCC7" w14:textId="77777777" w:rsidTr="00357D32">
        <w:tc>
          <w:tcPr>
            <w:tcW w:w="2120" w:type="dxa"/>
          </w:tcPr>
          <w:p w14:paraId="66AD7F0E" w14:textId="6A063E3D"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累積</w:t>
            </w:r>
            <w:r w:rsidR="00ED3B60">
              <w:rPr>
                <w:rFonts w:ascii="ＭＳ ゴシック" w:eastAsia="ＭＳ ゴシック" w:hAnsi="ＭＳ ゴシック" w:hint="eastAsia"/>
              </w:rPr>
              <w:t>的</w:t>
            </w:r>
            <w:r w:rsidRPr="00817650">
              <w:rPr>
                <w:rFonts w:ascii="ＭＳ ゴシック" w:eastAsia="ＭＳ ゴシック" w:hAnsi="ＭＳ ゴシック" w:hint="eastAsia"/>
              </w:rPr>
              <w:t>影響の対象環境要素・項目</w:t>
            </w:r>
          </w:p>
        </w:tc>
        <w:tc>
          <w:tcPr>
            <w:tcW w:w="7654" w:type="dxa"/>
          </w:tcPr>
          <w:p w14:paraId="28F024FD" w14:textId="6A473DDC" w:rsidR="006B5AB9" w:rsidRPr="00CA09B4" w:rsidRDefault="00D422A6" w:rsidP="00CA09B4">
            <w:pPr>
              <w:snapToGrid w:val="0"/>
              <w:spacing w:line="280" w:lineRule="exact"/>
              <w:rPr>
                <w:rFonts w:hAnsi="ＭＳ 明朝"/>
              </w:rPr>
            </w:pPr>
            <w:r>
              <w:rPr>
                <w:rFonts w:hAnsi="ＭＳ 明朝" w:hint="eastAsia"/>
              </w:rPr>
              <w:t>騒音</w:t>
            </w:r>
          </w:p>
        </w:tc>
      </w:tr>
      <w:tr w:rsidR="007F237C" w14:paraId="15A6CBEA" w14:textId="77777777" w:rsidTr="00357D32">
        <w:tc>
          <w:tcPr>
            <w:tcW w:w="2120" w:type="dxa"/>
          </w:tcPr>
          <w:p w14:paraId="413A2664" w14:textId="5B269F5F"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累積</w:t>
            </w:r>
            <w:r w:rsidR="00ED3B60">
              <w:rPr>
                <w:rFonts w:ascii="ＭＳ ゴシック" w:eastAsia="ＭＳ ゴシック" w:hAnsi="ＭＳ ゴシック" w:hint="eastAsia"/>
              </w:rPr>
              <w:t>的</w:t>
            </w:r>
            <w:r w:rsidRPr="00817650">
              <w:rPr>
                <w:rFonts w:ascii="ＭＳ ゴシック" w:eastAsia="ＭＳ ゴシック" w:hAnsi="ＭＳ ゴシック" w:hint="eastAsia"/>
              </w:rPr>
              <w:t>影響の内容</w:t>
            </w:r>
          </w:p>
        </w:tc>
        <w:tc>
          <w:tcPr>
            <w:tcW w:w="7654" w:type="dxa"/>
          </w:tcPr>
          <w:p w14:paraId="41F3DABA" w14:textId="31BD71D8" w:rsidR="004802CF" w:rsidRDefault="00240961" w:rsidP="004955A6">
            <w:pPr>
              <w:snapToGrid w:val="0"/>
              <w:spacing w:line="280" w:lineRule="exact"/>
              <w:rPr>
                <w:rFonts w:hAnsi="ＭＳ 明朝"/>
              </w:rPr>
            </w:pPr>
            <w:r w:rsidRPr="00240961">
              <w:rPr>
                <w:rFonts w:hAnsi="ＭＳ 明朝" w:hint="eastAsia"/>
              </w:rPr>
              <w:t>産業騒音と交通騒音を足し合わせ、騒音</w:t>
            </w:r>
            <w:r w:rsidR="0034673F">
              <w:rPr>
                <w:rFonts w:hAnsi="ＭＳ 明朝" w:hint="eastAsia"/>
              </w:rPr>
              <w:t>の影響を受ける</w:t>
            </w:r>
            <w:r w:rsidRPr="00240961">
              <w:rPr>
                <w:rFonts w:hAnsi="ＭＳ 明朝" w:hint="eastAsia"/>
              </w:rPr>
              <w:t>人数が割り出</w:t>
            </w:r>
            <w:r w:rsidR="002176BF">
              <w:rPr>
                <w:rFonts w:hAnsi="ＭＳ 明朝" w:hint="eastAsia"/>
              </w:rPr>
              <w:t>され</w:t>
            </w:r>
            <w:r>
              <w:rPr>
                <w:rFonts w:hAnsi="ＭＳ 明朝" w:hint="eastAsia"/>
              </w:rPr>
              <w:t>た</w:t>
            </w:r>
            <w:r w:rsidRPr="00240961">
              <w:rPr>
                <w:rFonts w:hAnsi="ＭＳ 明朝" w:hint="eastAsia"/>
              </w:rPr>
              <w:t>。</w:t>
            </w:r>
          </w:p>
          <w:p w14:paraId="5C8005CD" w14:textId="03ED78F8" w:rsidR="00240961" w:rsidRDefault="00E84CC0" w:rsidP="004955A6">
            <w:pPr>
              <w:snapToGrid w:val="0"/>
              <w:spacing w:line="280" w:lineRule="exact"/>
              <w:rPr>
                <w:rFonts w:hAnsi="ＭＳ 明朝"/>
              </w:rPr>
            </w:pPr>
            <w:r>
              <w:rPr>
                <w:rFonts w:hAnsi="ＭＳ 明朝" w:hint="eastAsia"/>
              </w:rPr>
              <w:t>騒音の程度</w:t>
            </w:r>
            <w:r w:rsidR="00240961">
              <w:rPr>
                <w:rFonts w:hAnsi="ＭＳ 明朝" w:hint="eastAsia"/>
              </w:rPr>
              <w:t>は</w:t>
            </w:r>
            <w:r w:rsidR="00253503">
              <w:rPr>
                <w:rFonts w:hAnsi="ＭＳ 明朝" w:hint="eastAsia"/>
              </w:rPr>
              <w:t>環境品質基準である</w:t>
            </w:r>
            <w:r w:rsidR="00240961">
              <w:rPr>
                <w:rFonts w:hAnsi="ＭＳ 明朝" w:hint="eastAsia"/>
              </w:rPr>
              <w:t>MKM値を用いて</w:t>
            </w:r>
            <w:r>
              <w:rPr>
                <w:rFonts w:hAnsi="ＭＳ 明朝" w:hint="eastAsia"/>
              </w:rPr>
              <w:t>評価された</w:t>
            </w:r>
            <w:r w:rsidR="00240961">
              <w:rPr>
                <w:rFonts w:hAnsi="ＭＳ 明朝" w:hint="eastAsia"/>
              </w:rPr>
              <w:t>。</w:t>
            </w:r>
          </w:p>
          <w:p w14:paraId="1B9D8F8E" w14:textId="25201913" w:rsidR="005A5131" w:rsidRDefault="005A5131" w:rsidP="005A5131">
            <w:pPr>
              <w:snapToGrid w:val="0"/>
              <w:spacing w:line="280" w:lineRule="exact"/>
              <w:rPr>
                <w:rFonts w:hAnsi="ＭＳ 明朝"/>
              </w:rPr>
            </w:pPr>
            <w:r w:rsidRPr="005A5131">
              <w:rPr>
                <w:rFonts w:hAnsi="ＭＳ 明朝" w:hint="eastAsia"/>
              </w:rPr>
              <w:t>地域住民に対するすべての発生源を合わせた影響はMKM等高線で示され</w:t>
            </w:r>
            <w:r w:rsidR="003266AD">
              <w:rPr>
                <w:rFonts w:hAnsi="ＭＳ 明朝" w:hint="eastAsia"/>
              </w:rPr>
              <w:t>てい</w:t>
            </w:r>
            <w:r w:rsidRPr="005A5131">
              <w:rPr>
                <w:rFonts w:hAnsi="ＭＳ 明朝" w:hint="eastAsia"/>
              </w:rPr>
              <w:t>る。</w:t>
            </w:r>
            <w:r w:rsidR="000845AD">
              <w:rPr>
                <w:rFonts w:hAnsi="ＭＳ 明朝" w:hint="eastAsia"/>
              </w:rPr>
              <w:t>地図上には</w:t>
            </w:r>
            <w:r w:rsidRPr="005A5131">
              <w:rPr>
                <w:rFonts w:hAnsi="ＭＳ 明朝" w:hint="eastAsia"/>
              </w:rPr>
              <w:t>55MKMと50MKMの両方の等値線が</w:t>
            </w:r>
            <w:r w:rsidR="0072223E">
              <w:rPr>
                <w:rFonts w:hAnsi="ＭＳ 明朝" w:hint="eastAsia"/>
              </w:rPr>
              <w:t>記され</w:t>
            </w:r>
            <w:r w:rsidR="000845AD">
              <w:rPr>
                <w:rFonts w:hAnsi="ＭＳ 明朝" w:hint="eastAsia"/>
              </w:rPr>
              <w:t>、</w:t>
            </w:r>
            <w:r w:rsidRPr="005A5131">
              <w:rPr>
                <w:rFonts w:hAnsi="ＭＳ 明朝" w:hint="eastAsia"/>
              </w:rPr>
              <w:t>住民が騒音公害にさらされる地域を示している。</w:t>
            </w:r>
          </w:p>
          <w:p w14:paraId="52834A1E" w14:textId="097D47C5" w:rsidR="005A5131" w:rsidRDefault="005A5131" w:rsidP="005A5131">
            <w:pPr>
              <w:snapToGrid w:val="0"/>
              <w:spacing w:line="280" w:lineRule="exact"/>
              <w:rPr>
                <w:rFonts w:hAnsi="ＭＳ 明朝"/>
              </w:rPr>
            </w:pPr>
            <w:r w:rsidRPr="00B87F1B">
              <w:rPr>
                <w:rFonts w:hAnsi="ＭＳ 明朝" w:hint="eastAsia"/>
              </w:rPr>
              <w:t>現</w:t>
            </w:r>
            <w:r>
              <w:rPr>
                <w:rFonts w:hAnsi="ＭＳ 明朝" w:hint="eastAsia"/>
              </w:rPr>
              <w:t>時点（2007年）</w:t>
            </w:r>
            <w:r w:rsidRPr="00B87F1B">
              <w:rPr>
                <w:rFonts w:hAnsi="ＭＳ 明朝" w:hint="eastAsia"/>
              </w:rPr>
              <w:t>では、約10万人がMKM50を超え</w:t>
            </w:r>
            <w:r w:rsidR="00320864">
              <w:rPr>
                <w:rFonts w:hAnsi="ＭＳ 明朝" w:hint="eastAsia"/>
              </w:rPr>
              <w:t>、</w:t>
            </w:r>
            <w:r w:rsidRPr="00B87F1B">
              <w:rPr>
                <w:rFonts w:hAnsi="ＭＳ 明朝" w:hint="eastAsia"/>
              </w:rPr>
              <w:t>2020年には約144,500人に増加すると予想され</w:t>
            </w:r>
            <w:r>
              <w:rPr>
                <w:rFonts w:hAnsi="ＭＳ 明朝" w:hint="eastAsia"/>
              </w:rPr>
              <w:t>る</w:t>
            </w:r>
            <w:r w:rsidRPr="00B87F1B">
              <w:rPr>
                <w:rFonts w:hAnsi="ＭＳ 明朝" w:hint="eastAsia"/>
              </w:rPr>
              <w:t>。2033年にはこの数は約13万人に減少する</w:t>
            </w:r>
            <w:r>
              <w:rPr>
                <w:rFonts w:hAnsi="ＭＳ 明朝" w:hint="eastAsia"/>
              </w:rPr>
              <w:t>と予測され</w:t>
            </w:r>
            <w:r w:rsidR="006002EA">
              <w:rPr>
                <w:rFonts w:hAnsi="ＭＳ 明朝" w:hint="eastAsia"/>
              </w:rPr>
              <w:t>てい</w:t>
            </w:r>
            <w:r>
              <w:rPr>
                <w:rFonts w:hAnsi="ＭＳ 明朝" w:hint="eastAsia"/>
              </w:rPr>
              <w:t>る。</w:t>
            </w:r>
          </w:p>
          <w:p w14:paraId="3A06F8C1" w14:textId="263713A1" w:rsidR="00847385" w:rsidRDefault="00973A9C" w:rsidP="00973A9C">
            <w:pPr>
              <w:snapToGrid w:val="0"/>
              <w:spacing w:line="280" w:lineRule="exact"/>
              <w:rPr>
                <w:rFonts w:hAnsi="ＭＳ 明朝"/>
              </w:rPr>
            </w:pPr>
            <w:r>
              <w:rPr>
                <w:rFonts w:hAnsi="ＭＳ 明朝" w:hint="eastAsia"/>
              </w:rPr>
              <w:t>自然</w:t>
            </w:r>
            <w:r w:rsidR="00AF5640">
              <w:rPr>
                <w:rFonts w:hAnsi="ＭＳ 明朝" w:hint="eastAsia"/>
              </w:rPr>
              <w:t>生態系</w:t>
            </w:r>
            <w:r>
              <w:rPr>
                <w:rFonts w:hAnsi="ＭＳ 明朝" w:hint="eastAsia"/>
              </w:rPr>
              <w:t>に対する累積的</w:t>
            </w:r>
            <w:r w:rsidR="00AF5640">
              <w:rPr>
                <w:rFonts w:hAnsi="ＭＳ 明朝" w:hint="eastAsia"/>
              </w:rPr>
              <w:t>騒音の</w:t>
            </w:r>
            <w:r>
              <w:rPr>
                <w:rFonts w:hAnsi="ＭＳ 明朝" w:hint="eastAsia"/>
              </w:rPr>
              <w:t>影響</w:t>
            </w:r>
            <w:r w:rsidR="00BE3559">
              <w:rPr>
                <w:rFonts w:hAnsi="ＭＳ 明朝" w:hint="eastAsia"/>
              </w:rPr>
              <w:t>範囲</w:t>
            </w:r>
            <w:r>
              <w:rPr>
                <w:rFonts w:hAnsi="ＭＳ 明朝" w:hint="eastAsia"/>
              </w:rPr>
              <w:t>は、</w:t>
            </w:r>
            <w:proofErr w:type="spellStart"/>
            <w:r w:rsidR="00BC451A" w:rsidRPr="00973A9C">
              <w:rPr>
                <w:rFonts w:hAnsi="ＭＳ 明朝" w:hint="eastAsia"/>
              </w:rPr>
              <w:t>Voornes</w:t>
            </w:r>
            <w:proofErr w:type="spellEnd"/>
            <w:r w:rsidR="00BC451A">
              <w:rPr>
                <w:rFonts w:hAnsi="ＭＳ 明朝" w:hint="eastAsia"/>
              </w:rPr>
              <w:t xml:space="preserve"> </w:t>
            </w:r>
            <w:r w:rsidR="00BC451A" w:rsidRPr="00973A9C">
              <w:rPr>
                <w:rFonts w:hAnsi="ＭＳ 明朝" w:hint="eastAsia"/>
              </w:rPr>
              <w:t>Duin</w:t>
            </w:r>
            <w:r w:rsidRPr="00973A9C">
              <w:rPr>
                <w:rFonts w:hAnsi="ＭＳ 明朝" w:hint="eastAsia"/>
              </w:rPr>
              <w:t>の</w:t>
            </w:r>
            <w:r>
              <w:rPr>
                <w:rFonts w:hAnsi="ＭＳ 明朝" w:hint="eastAsia"/>
              </w:rPr>
              <w:t>静穏区域における</w:t>
            </w:r>
            <w:r w:rsidRPr="00973A9C">
              <w:rPr>
                <w:rFonts w:hAnsi="ＭＳ 明朝" w:hint="eastAsia"/>
              </w:rPr>
              <w:t>40dB(A)等高線を用いて</w:t>
            </w:r>
            <w:r w:rsidR="00AF5640">
              <w:rPr>
                <w:rFonts w:hAnsi="ＭＳ 明朝" w:hint="eastAsia"/>
              </w:rPr>
              <w:t>表現</w:t>
            </w:r>
            <w:r w:rsidRPr="00973A9C">
              <w:rPr>
                <w:rFonts w:hAnsi="ＭＳ 明朝" w:hint="eastAsia"/>
              </w:rPr>
              <w:t>されている。</w:t>
            </w:r>
          </w:p>
          <w:p w14:paraId="008C3C65" w14:textId="6DBC0B06" w:rsidR="00973A9C" w:rsidRDefault="00847385" w:rsidP="00973A9C">
            <w:pPr>
              <w:snapToGrid w:val="0"/>
              <w:spacing w:line="280" w:lineRule="exact"/>
              <w:rPr>
                <w:rFonts w:hAnsi="ＭＳ 明朝"/>
              </w:rPr>
            </w:pPr>
            <w:r>
              <w:rPr>
                <w:rFonts w:hAnsi="ＭＳ 明朝" w:hint="eastAsia"/>
              </w:rPr>
              <w:t>当初案では、</w:t>
            </w:r>
            <w:r w:rsidR="00E57D5E">
              <w:rPr>
                <w:rFonts w:hAnsi="ＭＳ 明朝" w:hint="eastAsia"/>
              </w:rPr>
              <w:t>発生源対策を行うことで、</w:t>
            </w:r>
            <w:r>
              <w:rPr>
                <w:rFonts w:hAnsi="ＭＳ 明朝" w:hint="eastAsia"/>
              </w:rPr>
              <w:t>影響範囲が</w:t>
            </w:r>
            <w:r w:rsidR="00973A9C" w:rsidRPr="00973A9C">
              <w:rPr>
                <w:rFonts w:hAnsi="ＭＳ 明朝" w:hint="eastAsia"/>
              </w:rPr>
              <w:t>233</w:t>
            </w:r>
            <w:r w:rsidR="00E57D5E">
              <w:rPr>
                <w:rFonts w:hAnsi="ＭＳ 明朝" w:hint="eastAsia"/>
              </w:rPr>
              <w:t>ha</w:t>
            </w:r>
            <w:r w:rsidR="00973A9C" w:rsidRPr="00973A9C">
              <w:rPr>
                <w:rFonts w:hAnsi="ＭＳ 明朝" w:hint="eastAsia"/>
              </w:rPr>
              <w:t>から32</w:t>
            </w:r>
            <w:r w:rsidR="00E57D5E">
              <w:rPr>
                <w:rFonts w:hAnsi="ＭＳ 明朝" w:hint="eastAsia"/>
              </w:rPr>
              <w:t>ha</w:t>
            </w:r>
            <w:r w:rsidR="00973A9C" w:rsidRPr="00973A9C">
              <w:rPr>
                <w:rFonts w:hAnsi="ＭＳ 明朝" w:hint="eastAsia"/>
              </w:rPr>
              <w:t>に減少する</w:t>
            </w:r>
            <w:r w:rsidR="00E57D5E">
              <w:rPr>
                <w:rFonts w:hAnsi="ＭＳ 明朝" w:hint="eastAsia"/>
              </w:rPr>
              <w:t>と</w:t>
            </w:r>
            <w:r w:rsidR="005412C3">
              <w:rPr>
                <w:rFonts w:hAnsi="ＭＳ 明朝" w:hint="eastAsia"/>
              </w:rPr>
              <w:t>予測されている</w:t>
            </w:r>
            <w:r w:rsidR="00973A9C" w:rsidRPr="00973A9C">
              <w:rPr>
                <w:rFonts w:hAnsi="ＭＳ 明朝" w:hint="eastAsia"/>
              </w:rPr>
              <w:t>。</w:t>
            </w:r>
          </w:p>
          <w:p w14:paraId="6EDFAAC2" w14:textId="61FFD4D2" w:rsidR="005A5131" w:rsidRPr="00973A9C" w:rsidRDefault="00973A9C" w:rsidP="00973A9C">
            <w:pPr>
              <w:snapToGrid w:val="0"/>
              <w:spacing w:line="280" w:lineRule="exact"/>
              <w:rPr>
                <w:rFonts w:hAnsi="ＭＳ 明朝"/>
              </w:rPr>
            </w:pPr>
            <w:r w:rsidRPr="00973A9C">
              <w:rPr>
                <w:rFonts w:hAnsi="ＭＳ 明朝" w:hint="eastAsia"/>
              </w:rPr>
              <w:t>代替案では、2020年と2033年の両方において、</w:t>
            </w:r>
            <w:proofErr w:type="spellStart"/>
            <w:r w:rsidRPr="00973A9C">
              <w:rPr>
                <w:rFonts w:hAnsi="ＭＳ 明朝" w:hint="eastAsia"/>
              </w:rPr>
              <w:t>Voornes</w:t>
            </w:r>
            <w:proofErr w:type="spellEnd"/>
            <w:r w:rsidR="00BC451A">
              <w:rPr>
                <w:rFonts w:hAnsi="ＭＳ 明朝" w:hint="eastAsia"/>
              </w:rPr>
              <w:t xml:space="preserve"> </w:t>
            </w:r>
            <w:r w:rsidRPr="00973A9C">
              <w:rPr>
                <w:rFonts w:hAnsi="ＭＳ 明朝" w:hint="eastAsia"/>
              </w:rPr>
              <w:t>Duinの40dB(A)の輪郭の面積が増加する</w:t>
            </w:r>
            <w:r w:rsidR="004B1378">
              <w:rPr>
                <w:rFonts w:hAnsi="ＭＳ 明朝" w:hint="eastAsia"/>
              </w:rPr>
              <w:t>と予測されている</w:t>
            </w:r>
            <w:r w:rsidRPr="00973A9C">
              <w:rPr>
                <w:rFonts w:hAnsi="ＭＳ 明朝" w:hint="eastAsia"/>
              </w:rPr>
              <w:t>。</w:t>
            </w:r>
          </w:p>
        </w:tc>
      </w:tr>
      <w:tr w:rsidR="007F237C" w14:paraId="73F62EE9" w14:textId="77777777" w:rsidTr="00357D32">
        <w:tc>
          <w:tcPr>
            <w:tcW w:w="2120" w:type="dxa"/>
          </w:tcPr>
          <w:p w14:paraId="66760DA9" w14:textId="3700C990" w:rsidR="0081466F" w:rsidRPr="00817650" w:rsidRDefault="0081466F" w:rsidP="0081466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考慮した既存・将来事業の範囲</w:t>
            </w:r>
          </w:p>
        </w:tc>
        <w:tc>
          <w:tcPr>
            <w:tcW w:w="7654" w:type="dxa"/>
          </w:tcPr>
          <w:p w14:paraId="3F607347" w14:textId="2E946F01" w:rsidR="00A41842" w:rsidRDefault="00E466CE" w:rsidP="00CA09B4">
            <w:pPr>
              <w:snapToGrid w:val="0"/>
              <w:spacing w:line="280" w:lineRule="exact"/>
              <w:rPr>
                <w:rFonts w:hAnsi="ＭＳ 明朝"/>
                <w:noProof/>
              </w:rPr>
            </w:pPr>
            <w:r>
              <w:rPr>
                <w:rFonts w:hAnsi="ＭＳ 明朝" w:hint="eastAsia"/>
                <w:noProof/>
              </w:rPr>
              <w:t>既存の</w:t>
            </w:r>
            <w:r w:rsidR="008E290F">
              <w:rPr>
                <w:rFonts w:hAnsi="ＭＳ 明朝" w:hint="eastAsia"/>
                <w:noProof/>
              </w:rPr>
              <w:t>マースフラクテ</w:t>
            </w:r>
            <w:r w:rsidR="00A06D55">
              <w:rPr>
                <w:rFonts w:hAnsi="ＭＳ 明朝" w:hint="eastAsia"/>
                <w:noProof/>
              </w:rPr>
              <w:t>で計画されている</w:t>
            </w:r>
            <w:r w:rsidR="00316EFA">
              <w:rPr>
                <w:rFonts w:hAnsi="ＭＳ 明朝" w:hint="eastAsia"/>
                <w:noProof/>
              </w:rPr>
              <w:t>事業</w:t>
            </w:r>
          </w:p>
          <w:p w14:paraId="1793EE78" w14:textId="12493810" w:rsidR="00754E36" w:rsidRDefault="00A41842" w:rsidP="00CA09B4">
            <w:pPr>
              <w:snapToGrid w:val="0"/>
              <w:spacing w:line="280" w:lineRule="exact"/>
              <w:rPr>
                <w:rFonts w:hAnsi="ＭＳ 明朝"/>
                <w:noProof/>
              </w:rPr>
            </w:pPr>
            <w:r>
              <w:rPr>
                <w:rFonts w:hAnsi="ＭＳ 明朝" w:hint="eastAsia"/>
                <w:noProof/>
              </w:rPr>
              <w:t>・</w:t>
            </w:r>
            <w:r w:rsidR="00DB4BF1">
              <w:rPr>
                <w:rFonts w:hAnsi="ＭＳ 明朝" w:hint="eastAsia"/>
                <w:noProof/>
              </w:rPr>
              <w:t>石炭火力ユニットの増設、第二次拡張の可能性、</w:t>
            </w:r>
            <w:r w:rsidR="003A76D9" w:rsidRPr="003A76D9">
              <w:rPr>
                <w:rFonts w:hAnsi="ＭＳ 明朝" w:hint="eastAsia"/>
                <w:noProof/>
              </w:rPr>
              <w:t>2つの新しいエネルギー企業</w:t>
            </w:r>
            <w:r w:rsidR="003A76D9" w:rsidRPr="003A76D9">
              <w:rPr>
                <w:rFonts w:hAnsi="ＭＳ 明朝" w:hint="eastAsia"/>
                <w:noProof/>
              </w:rPr>
              <w:lastRenderedPageBreak/>
              <w:t>の立地が予定されている。加えて、港内には液化ガス（LNG）用のターミナルが2か所設置される計画</w:t>
            </w:r>
            <w:r w:rsidR="006A55D1">
              <w:rPr>
                <w:rFonts w:hAnsi="ＭＳ 明朝" w:hint="eastAsia"/>
                <w:noProof/>
              </w:rPr>
              <w:t>）</w:t>
            </w:r>
          </w:p>
          <w:p w14:paraId="59F70135" w14:textId="4F07D1FD" w:rsidR="00210177" w:rsidRPr="00551945" w:rsidRDefault="00A41842" w:rsidP="00CA09B4">
            <w:pPr>
              <w:snapToGrid w:val="0"/>
              <w:spacing w:line="280" w:lineRule="exact"/>
              <w:rPr>
                <w:rFonts w:hAnsi="ＭＳ 明朝"/>
                <w:noProof/>
              </w:rPr>
            </w:pPr>
            <w:r>
              <w:rPr>
                <w:rFonts w:hAnsi="ＭＳ 明朝" w:hint="eastAsia"/>
                <w:noProof/>
              </w:rPr>
              <w:t>・既存のマースフラクテと</w:t>
            </w:r>
            <w:r w:rsidR="006A499E">
              <w:rPr>
                <w:rFonts w:hAnsi="ＭＳ 明朝" w:hint="eastAsia"/>
                <w:noProof/>
              </w:rPr>
              <w:t>港湾地域の</w:t>
            </w:r>
            <w:r w:rsidR="00FC73DB">
              <w:rPr>
                <w:rFonts w:hAnsi="ＭＳ 明朝" w:hint="eastAsia"/>
                <w:noProof/>
              </w:rPr>
              <w:t>交通接続周辺の住宅地の拡張事業</w:t>
            </w:r>
            <w:r w:rsidR="005F11C1">
              <w:rPr>
                <w:rFonts w:hAnsi="ＭＳ 明朝" w:hint="eastAsia"/>
                <w:noProof/>
              </w:rPr>
              <w:t>が計画されている</w:t>
            </w:r>
          </w:p>
        </w:tc>
      </w:tr>
      <w:tr w:rsidR="007F237C" w14:paraId="16B116A7" w14:textId="77777777" w:rsidTr="00357D32">
        <w:tc>
          <w:tcPr>
            <w:tcW w:w="2120" w:type="dxa"/>
          </w:tcPr>
          <w:p w14:paraId="73B037BE" w14:textId="6444B755"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lastRenderedPageBreak/>
              <w:t>空間的範囲</w:t>
            </w:r>
          </w:p>
        </w:tc>
        <w:tc>
          <w:tcPr>
            <w:tcW w:w="7654" w:type="dxa"/>
          </w:tcPr>
          <w:p w14:paraId="2D06744E" w14:textId="12CA197A" w:rsidR="00097E97" w:rsidRDefault="00097E97" w:rsidP="00097E97">
            <w:pPr>
              <w:snapToGrid w:val="0"/>
              <w:spacing w:line="280" w:lineRule="exact"/>
              <w:rPr>
                <w:rFonts w:hAnsi="ＭＳ 明朝"/>
                <w:noProof/>
              </w:rPr>
            </w:pPr>
            <w:r>
              <w:rPr>
                <w:rFonts w:hAnsi="ＭＳ 明朝" w:hint="eastAsia"/>
                <w:noProof/>
              </w:rPr>
              <w:t>下の</w:t>
            </w:r>
            <w:r w:rsidRPr="00B470FC">
              <w:rPr>
                <w:rFonts w:hAnsi="ＭＳ 明朝" w:hint="eastAsia"/>
                <w:noProof/>
              </w:rPr>
              <w:t>図は、EIA</w:t>
            </w:r>
            <w:r w:rsidR="00B22A7C">
              <w:rPr>
                <w:rFonts w:hAnsi="ＭＳ 明朝" w:hint="eastAsia"/>
                <w:noProof/>
              </w:rPr>
              <w:t>の</w:t>
            </w:r>
            <w:r w:rsidRPr="00B470FC">
              <w:rPr>
                <w:rFonts w:hAnsi="ＭＳ 明朝" w:hint="eastAsia"/>
                <w:noProof/>
              </w:rPr>
              <w:t>調査地域</w:t>
            </w:r>
            <w:r>
              <w:rPr>
                <w:rFonts w:hAnsi="ＭＳ 明朝" w:hint="eastAsia"/>
                <w:noProof/>
              </w:rPr>
              <w:t>である</w:t>
            </w:r>
            <w:r w:rsidRPr="00B470FC">
              <w:rPr>
                <w:rFonts w:hAnsi="ＭＳ 明朝" w:hint="eastAsia"/>
                <w:noProof/>
              </w:rPr>
              <w:t>。</w:t>
            </w:r>
          </w:p>
          <w:p w14:paraId="2C93C38A" w14:textId="77777777" w:rsidR="00097E97" w:rsidRDefault="00097E97" w:rsidP="003B2CD1">
            <w:pPr>
              <w:snapToGrid w:val="0"/>
              <w:spacing w:line="280" w:lineRule="exact"/>
              <w:rPr>
                <w:rFonts w:hAnsi="ＭＳ 明朝"/>
                <w:noProof/>
              </w:rPr>
            </w:pPr>
          </w:p>
          <w:p w14:paraId="7CFF1DE9" w14:textId="77777777" w:rsidR="00097E97" w:rsidRDefault="00097E97" w:rsidP="003B2CD1">
            <w:pPr>
              <w:snapToGrid w:val="0"/>
              <w:spacing w:line="280" w:lineRule="exact"/>
              <w:rPr>
                <w:rFonts w:hAnsi="ＭＳ 明朝"/>
              </w:rPr>
            </w:pPr>
          </w:p>
          <w:p w14:paraId="292979B8" w14:textId="77777777" w:rsidR="00097E97" w:rsidRDefault="00097E97" w:rsidP="003B2CD1">
            <w:pPr>
              <w:snapToGrid w:val="0"/>
              <w:spacing w:line="280" w:lineRule="exact"/>
              <w:rPr>
                <w:rFonts w:hAnsi="ＭＳ 明朝"/>
              </w:rPr>
            </w:pPr>
          </w:p>
          <w:p w14:paraId="33C11006" w14:textId="77777777" w:rsidR="00097E97" w:rsidRDefault="00097E97" w:rsidP="003B2CD1">
            <w:pPr>
              <w:snapToGrid w:val="0"/>
              <w:spacing w:line="280" w:lineRule="exact"/>
              <w:rPr>
                <w:rFonts w:hAnsi="ＭＳ 明朝"/>
              </w:rPr>
            </w:pPr>
          </w:p>
          <w:p w14:paraId="2F8C6C5F" w14:textId="77777777" w:rsidR="00097E97" w:rsidRDefault="00097E97" w:rsidP="003B2CD1">
            <w:pPr>
              <w:snapToGrid w:val="0"/>
              <w:spacing w:line="280" w:lineRule="exact"/>
              <w:rPr>
                <w:rFonts w:hAnsi="ＭＳ 明朝"/>
              </w:rPr>
            </w:pPr>
          </w:p>
          <w:p w14:paraId="7018607E" w14:textId="77777777" w:rsidR="00097E97" w:rsidRDefault="00097E97" w:rsidP="003B2CD1">
            <w:pPr>
              <w:snapToGrid w:val="0"/>
              <w:spacing w:line="280" w:lineRule="exact"/>
              <w:rPr>
                <w:rFonts w:hAnsi="ＭＳ 明朝"/>
              </w:rPr>
            </w:pPr>
          </w:p>
          <w:p w14:paraId="43899614" w14:textId="77777777" w:rsidR="00097E97" w:rsidRDefault="00097E97" w:rsidP="003B2CD1">
            <w:pPr>
              <w:snapToGrid w:val="0"/>
              <w:spacing w:line="280" w:lineRule="exact"/>
              <w:rPr>
                <w:rFonts w:hAnsi="ＭＳ 明朝"/>
              </w:rPr>
            </w:pPr>
          </w:p>
          <w:p w14:paraId="659007A6" w14:textId="77777777" w:rsidR="00097E97" w:rsidRDefault="00097E97" w:rsidP="003B2CD1">
            <w:pPr>
              <w:snapToGrid w:val="0"/>
              <w:spacing w:line="280" w:lineRule="exact"/>
              <w:rPr>
                <w:rFonts w:hAnsi="ＭＳ 明朝"/>
              </w:rPr>
            </w:pPr>
          </w:p>
          <w:p w14:paraId="02A0FD9A" w14:textId="77777777" w:rsidR="00097E97" w:rsidRDefault="00097E97" w:rsidP="003B2CD1">
            <w:pPr>
              <w:snapToGrid w:val="0"/>
              <w:spacing w:line="280" w:lineRule="exact"/>
              <w:rPr>
                <w:rFonts w:hAnsi="ＭＳ 明朝"/>
              </w:rPr>
            </w:pPr>
          </w:p>
          <w:p w14:paraId="37157162" w14:textId="77777777" w:rsidR="00097E97" w:rsidRDefault="00097E97" w:rsidP="003B2CD1">
            <w:pPr>
              <w:snapToGrid w:val="0"/>
              <w:spacing w:line="280" w:lineRule="exact"/>
              <w:rPr>
                <w:rFonts w:hAnsi="ＭＳ 明朝"/>
              </w:rPr>
            </w:pPr>
          </w:p>
          <w:p w14:paraId="64886FD7" w14:textId="77777777" w:rsidR="00097E97" w:rsidRDefault="00097E97" w:rsidP="003B2CD1">
            <w:pPr>
              <w:snapToGrid w:val="0"/>
              <w:spacing w:line="280" w:lineRule="exact"/>
              <w:rPr>
                <w:rFonts w:hAnsi="ＭＳ 明朝"/>
              </w:rPr>
            </w:pPr>
          </w:p>
          <w:p w14:paraId="4A576B02" w14:textId="18F4059F" w:rsidR="003B2CD1" w:rsidRPr="00551945" w:rsidRDefault="00097E97" w:rsidP="003B2CD1">
            <w:pPr>
              <w:snapToGrid w:val="0"/>
              <w:spacing w:line="280" w:lineRule="exact"/>
              <w:rPr>
                <w:rFonts w:hAnsi="ＭＳ 明朝"/>
              </w:rPr>
            </w:pPr>
            <w:r w:rsidRPr="007F237C">
              <w:rPr>
                <w:rFonts w:hAnsi="ＭＳ 明朝"/>
                <w:noProof/>
              </w:rPr>
              <w:drawing>
                <wp:inline distT="0" distB="0" distL="0" distR="0" wp14:anchorId="1D98A335" wp14:editId="03B9D8BD">
                  <wp:extent cx="4540885" cy="2032822"/>
                  <wp:effectExtent l="0" t="0" r="0" b="5715"/>
                  <wp:docPr id="106684557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942" cy="2051650"/>
                          </a:xfrm>
                          <a:prstGeom prst="rect">
                            <a:avLst/>
                          </a:prstGeom>
                          <a:noFill/>
                          <a:ln>
                            <a:noFill/>
                          </a:ln>
                        </pic:spPr>
                      </pic:pic>
                    </a:graphicData>
                  </a:graphic>
                </wp:inline>
              </w:drawing>
            </w:r>
          </w:p>
        </w:tc>
      </w:tr>
      <w:tr w:rsidR="007F237C" w14:paraId="35CB971D" w14:textId="77777777" w:rsidTr="00357D32">
        <w:tc>
          <w:tcPr>
            <w:tcW w:w="2120" w:type="dxa"/>
          </w:tcPr>
          <w:p w14:paraId="017493F5" w14:textId="2A2B7FD1"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時間的範囲</w:t>
            </w:r>
          </w:p>
        </w:tc>
        <w:tc>
          <w:tcPr>
            <w:tcW w:w="7654" w:type="dxa"/>
          </w:tcPr>
          <w:p w14:paraId="705CDE5D" w14:textId="7A139ED3" w:rsidR="0081466F" w:rsidRPr="00551945" w:rsidRDefault="00D422A6" w:rsidP="00EB6E04">
            <w:pPr>
              <w:snapToGrid w:val="0"/>
              <w:spacing w:line="280" w:lineRule="exact"/>
              <w:rPr>
                <w:rFonts w:hAnsi="ＭＳ 明朝"/>
              </w:rPr>
            </w:pPr>
            <w:r w:rsidRPr="00D422A6">
              <w:rPr>
                <w:rFonts w:hAnsi="ＭＳ 明朝" w:hint="eastAsia"/>
              </w:rPr>
              <w:t>マースフラクテ2の最初の用地は、2013年以降に</w:t>
            </w:r>
            <w:r w:rsidR="00C26CBB">
              <w:rPr>
                <w:rFonts w:hAnsi="ＭＳ 明朝" w:hint="eastAsia"/>
              </w:rPr>
              <w:t>利用</w:t>
            </w:r>
            <w:r w:rsidR="00EA22A3">
              <w:rPr>
                <w:rFonts w:hAnsi="ＭＳ 明朝" w:hint="eastAsia"/>
              </w:rPr>
              <w:t>可能になる</w:t>
            </w:r>
            <w:r w:rsidRPr="00D422A6">
              <w:rPr>
                <w:rFonts w:hAnsi="ＭＳ 明朝" w:hint="eastAsia"/>
              </w:rPr>
              <w:t>予定であ</w:t>
            </w:r>
            <w:r w:rsidR="00EB6E04">
              <w:rPr>
                <w:rFonts w:hAnsi="ＭＳ 明朝" w:hint="eastAsia"/>
              </w:rPr>
              <w:t>り、</w:t>
            </w:r>
            <w:r w:rsidRPr="00D422A6">
              <w:rPr>
                <w:rFonts w:hAnsi="ＭＳ 明朝" w:hint="eastAsia"/>
              </w:rPr>
              <w:t>同時に、埋め立て地の造成やその他のインフラの建設作業も継続して実施されている。これらの累積的影響を判断する基準</w:t>
            </w:r>
            <w:r w:rsidR="008A1922">
              <w:rPr>
                <w:rFonts w:hAnsi="ＭＳ 明朝" w:hint="eastAsia"/>
              </w:rPr>
              <w:t>年</w:t>
            </w:r>
            <w:r w:rsidRPr="00D422A6">
              <w:rPr>
                <w:rFonts w:hAnsi="ＭＳ 明朝" w:hint="eastAsia"/>
              </w:rPr>
              <w:t>として、2015年が</w:t>
            </w:r>
            <w:r w:rsidR="00EB6E04">
              <w:rPr>
                <w:rFonts w:hAnsi="ＭＳ 明朝" w:hint="eastAsia"/>
              </w:rPr>
              <w:t>選定し、累積のための2つ目の校正時点を2025年に設定した。</w:t>
            </w:r>
          </w:p>
        </w:tc>
      </w:tr>
      <w:tr w:rsidR="007F237C" w14:paraId="2DE0693E" w14:textId="77777777" w:rsidTr="00357D32">
        <w:tc>
          <w:tcPr>
            <w:tcW w:w="2120" w:type="dxa"/>
          </w:tcPr>
          <w:p w14:paraId="1FE9D57A" w14:textId="234E87BC"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関連事業に係る情報収集の方法</w:t>
            </w:r>
          </w:p>
        </w:tc>
        <w:tc>
          <w:tcPr>
            <w:tcW w:w="7654" w:type="dxa"/>
          </w:tcPr>
          <w:p w14:paraId="68AF731F" w14:textId="3EA1E066" w:rsidR="0081466F" w:rsidRPr="00551945" w:rsidRDefault="00427DF3" w:rsidP="000E6220">
            <w:pPr>
              <w:snapToGrid w:val="0"/>
              <w:spacing w:line="280" w:lineRule="exact"/>
              <w:rPr>
                <w:rFonts w:hAnsi="ＭＳ 明朝"/>
              </w:rPr>
            </w:pPr>
            <w:r>
              <w:rPr>
                <w:rFonts w:hAnsi="ＭＳ 明朝" w:hint="eastAsia"/>
              </w:rPr>
              <w:t>文献調査</w:t>
            </w:r>
          </w:p>
        </w:tc>
      </w:tr>
      <w:tr w:rsidR="007F237C" w14:paraId="78E77D8B" w14:textId="77777777" w:rsidTr="00357D32">
        <w:tc>
          <w:tcPr>
            <w:tcW w:w="2120" w:type="dxa"/>
          </w:tcPr>
          <w:p w14:paraId="4E3BEB8C" w14:textId="42585E9D"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評価の考え方</w:t>
            </w:r>
            <w:r w:rsidR="00D441CF" w:rsidRPr="00817650">
              <w:rPr>
                <w:rFonts w:ascii="ＭＳ ゴシック" w:eastAsia="ＭＳ ゴシック" w:hAnsi="ＭＳ ゴシック" w:hint="eastAsia"/>
              </w:rPr>
              <w:t>、方法、評価に用いた閾値等</w:t>
            </w:r>
          </w:p>
        </w:tc>
        <w:tc>
          <w:tcPr>
            <w:tcW w:w="7654" w:type="dxa"/>
          </w:tcPr>
          <w:p w14:paraId="509ABFF2" w14:textId="2FBE41D4" w:rsidR="00214527" w:rsidRDefault="00214527" w:rsidP="00CA09B4">
            <w:pPr>
              <w:snapToGrid w:val="0"/>
              <w:spacing w:line="280" w:lineRule="exact"/>
              <w:rPr>
                <w:rFonts w:hAnsi="ＭＳ 明朝"/>
              </w:rPr>
            </w:pPr>
            <w:r>
              <w:rPr>
                <w:rFonts w:hAnsi="ＭＳ 明朝" w:hint="eastAsia"/>
              </w:rPr>
              <w:t>○</w:t>
            </w:r>
            <w:r w:rsidR="00A02740">
              <w:rPr>
                <w:rFonts w:hAnsi="ＭＳ 明朝" w:hint="eastAsia"/>
              </w:rPr>
              <w:t>評価の考え方</w:t>
            </w:r>
          </w:p>
          <w:p w14:paraId="4B37BC8B" w14:textId="132B256F" w:rsidR="00A02740" w:rsidRPr="00A02740" w:rsidRDefault="00A02740" w:rsidP="00583B12">
            <w:pPr>
              <w:snapToGrid w:val="0"/>
              <w:spacing w:line="280" w:lineRule="exact"/>
              <w:ind w:firstLineChars="100" w:firstLine="210"/>
              <w:rPr>
                <w:rFonts w:hAnsi="ＭＳ 明朝"/>
              </w:rPr>
            </w:pPr>
            <w:r w:rsidRPr="00A02740">
              <w:rPr>
                <w:rFonts w:hAnsi="ＭＳ 明朝" w:hint="eastAsia"/>
              </w:rPr>
              <w:t xml:space="preserve">騒音負荷の最大基準は、「騒音障害法（Wet </w:t>
            </w:r>
            <w:proofErr w:type="spellStart"/>
            <w:r w:rsidRPr="00A02740">
              <w:rPr>
                <w:rFonts w:hAnsi="ＭＳ 明朝" w:hint="eastAsia"/>
              </w:rPr>
              <w:t>geluidhinder</w:t>
            </w:r>
            <w:proofErr w:type="spellEnd"/>
            <w:r w:rsidRPr="00A02740">
              <w:rPr>
                <w:rFonts w:hAnsi="ＭＳ 明朝" w:hint="eastAsia"/>
              </w:rPr>
              <w:t>）」に明記されている。この法律</w:t>
            </w:r>
            <w:r w:rsidR="001A5CC9">
              <w:rPr>
                <w:rFonts w:hAnsi="ＭＳ 明朝" w:hint="eastAsia"/>
              </w:rPr>
              <w:t>は、</w:t>
            </w:r>
            <w:r w:rsidRPr="00A02740">
              <w:rPr>
                <w:rFonts w:hAnsi="ＭＳ 明朝" w:hint="eastAsia"/>
              </w:rPr>
              <w:t>騒音源の周囲または沿線</w:t>
            </w:r>
            <w:r w:rsidR="001A5CC9">
              <w:rPr>
                <w:rFonts w:hAnsi="ＭＳ 明朝" w:hint="eastAsia"/>
              </w:rPr>
              <w:t>を</w:t>
            </w:r>
            <w:r w:rsidRPr="00A02740">
              <w:rPr>
                <w:rFonts w:hAnsi="ＭＳ 明朝" w:hint="eastAsia"/>
              </w:rPr>
              <w:t>騒音区域</w:t>
            </w:r>
            <w:r w:rsidR="001A5CC9">
              <w:rPr>
                <w:rFonts w:hAnsi="ＭＳ 明朝" w:hint="eastAsia"/>
              </w:rPr>
              <w:t>と</w:t>
            </w:r>
            <w:r w:rsidR="00CF2FD1">
              <w:rPr>
                <w:rFonts w:hAnsi="ＭＳ 明朝" w:hint="eastAsia"/>
              </w:rPr>
              <w:t>設定している</w:t>
            </w:r>
            <w:r w:rsidRPr="00A02740">
              <w:rPr>
                <w:rFonts w:hAnsi="ＭＳ 明朝" w:hint="eastAsia"/>
              </w:rPr>
              <w:t>。</w:t>
            </w:r>
            <w:r w:rsidR="001545C0">
              <w:rPr>
                <w:rFonts w:hAnsi="ＭＳ 明朝" w:hint="eastAsia"/>
              </w:rPr>
              <w:t>住宅に対する</w:t>
            </w:r>
            <w:r w:rsidRPr="00A02740">
              <w:rPr>
                <w:rFonts w:hAnsi="ＭＳ 明朝" w:hint="eastAsia"/>
              </w:rPr>
              <w:t>産業騒音は、50dB(A)を超えないこととされている。そのため、港湾および工業地域の周囲には区域輪郭（ゾーンコンター）が設定されている。産業騒音の区域輪郭内に位置する住宅に対しては、VROM（住宅・空間計画・環境省）大臣によってより高い限度値、いわゆる「最大許容騒音値（MTG）」が定められており、これらの値を超えてはならない。</w:t>
            </w:r>
          </w:p>
          <w:p w14:paraId="6BB5F60C" w14:textId="6D87D49F" w:rsidR="00A02740" w:rsidRDefault="00A02740" w:rsidP="00583B12">
            <w:pPr>
              <w:snapToGrid w:val="0"/>
              <w:spacing w:line="280" w:lineRule="exact"/>
              <w:ind w:firstLineChars="100" w:firstLine="210"/>
              <w:rPr>
                <w:rFonts w:hAnsi="ＭＳ 明朝"/>
              </w:rPr>
            </w:pPr>
            <w:r w:rsidRPr="00A02740">
              <w:rPr>
                <w:rFonts w:hAnsi="ＭＳ 明朝" w:hint="eastAsia"/>
              </w:rPr>
              <w:t>道路交通による騒音負荷についても、住宅に対しては望ましくは50dB(A)を超えないこととされており、鉄道交通騒音についても同様に最大騒音負荷は57dB(A)とされている。</w:t>
            </w:r>
          </w:p>
          <w:p w14:paraId="4A761309" w14:textId="231CF479" w:rsidR="00B11386" w:rsidRDefault="00B11386" w:rsidP="00B11386">
            <w:pPr>
              <w:snapToGrid w:val="0"/>
              <w:spacing w:line="280" w:lineRule="exact"/>
              <w:ind w:firstLineChars="100" w:firstLine="210"/>
              <w:rPr>
                <w:rFonts w:hAnsi="ＭＳ 明朝"/>
              </w:rPr>
            </w:pPr>
            <w:r w:rsidRPr="00B11386">
              <w:rPr>
                <w:rFonts w:hAnsi="ＭＳ 明朝" w:hint="eastAsia"/>
              </w:rPr>
              <w:t>船舶交通、低周波音、および騒音の累積に関しては、現時点では規定された計算方法や法的基準は存在しない。新法には、騒音の累積に関する提案が盛り込まれると予想されている。本環境影響評価書（MER）では、この新しい騒音指標への対応はまだ行われていない。ただし、クイックスキャンにより、この新しい指標が効果調査の結論にどの程度影響を及ぼすかについての検討は行われて</w:t>
            </w:r>
            <w:r w:rsidR="00320BAE">
              <w:rPr>
                <w:rFonts w:hAnsi="ＭＳ 明朝" w:hint="eastAsia"/>
              </w:rPr>
              <w:t>いる。</w:t>
            </w:r>
          </w:p>
          <w:p w14:paraId="355DD0A6" w14:textId="0A3C0644" w:rsidR="00542521" w:rsidRDefault="00542521" w:rsidP="00542521">
            <w:pPr>
              <w:snapToGrid w:val="0"/>
              <w:spacing w:line="280" w:lineRule="exact"/>
              <w:rPr>
                <w:b/>
                <w:bCs/>
              </w:rPr>
            </w:pPr>
            <w:r w:rsidRPr="00583B12">
              <w:rPr>
                <w:rFonts w:hint="eastAsia"/>
                <w:b/>
                <w:bCs/>
              </w:rPr>
              <w:t>港湾・工業地域の騒音区域内での最大許容範囲</w:t>
            </w:r>
          </w:p>
          <w:p w14:paraId="452C155A" w14:textId="4C5D5082" w:rsidR="00542521" w:rsidRPr="00542521" w:rsidRDefault="00F94081" w:rsidP="00583B12">
            <w:pPr>
              <w:snapToGrid w:val="0"/>
              <w:spacing w:line="280" w:lineRule="exact"/>
              <w:ind w:firstLineChars="100" w:firstLine="210"/>
              <w:rPr>
                <w:rFonts w:hAnsi="ＭＳ 明朝"/>
              </w:rPr>
            </w:pPr>
            <w:r w:rsidRPr="00F94081">
              <w:rPr>
                <w:rFonts w:hAnsi="ＭＳ 明朝" w:hint="eastAsia"/>
              </w:rPr>
              <w:t>ラインモンド・ウェスト騒音協定において、事業者、行政担当者、および港湾管理局との間で、港湾地域内で企業が発生させることのできる最大騒音負荷について合意がなされている。この合意により、50dB(A)の騒音輪郭、すなわち終端輪郭（エンドコンター）が定められている。この合意は、港湾管理局、企業、そして周辺地域にとって、港湾および工業地域の開発における前提条件となっている。</w:t>
            </w:r>
          </w:p>
          <w:p w14:paraId="00998FE1" w14:textId="0256A23D" w:rsidR="00214527" w:rsidRDefault="00214527" w:rsidP="00CA09B4">
            <w:pPr>
              <w:snapToGrid w:val="0"/>
              <w:spacing w:line="280" w:lineRule="exact"/>
              <w:rPr>
                <w:rFonts w:hAnsi="ＭＳ 明朝"/>
              </w:rPr>
            </w:pPr>
            <w:r>
              <w:rPr>
                <w:rFonts w:hAnsi="ＭＳ 明朝" w:hint="eastAsia"/>
              </w:rPr>
              <w:t>○評価の方法</w:t>
            </w:r>
          </w:p>
          <w:p w14:paraId="6BC8295B" w14:textId="397DD2BD" w:rsidR="00F60B9A" w:rsidRPr="00551945" w:rsidRDefault="00C76125" w:rsidP="00CA09B4">
            <w:pPr>
              <w:snapToGrid w:val="0"/>
              <w:spacing w:line="280" w:lineRule="exact"/>
              <w:rPr>
                <w:rFonts w:hAnsi="ＭＳ 明朝"/>
              </w:rPr>
            </w:pPr>
            <w:r w:rsidRPr="00C76125">
              <w:rPr>
                <w:rFonts w:hAnsi="ＭＳ 明朝" w:hint="eastAsia"/>
              </w:rPr>
              <w:t>地域住民に対するすべての発生源を合わせた影響は、MKM</w:t>
            </w:r>
            <w:r w:rsidR="00EF12D8">
              <w:rPr>
                <w:rFonts w:hAnsi="ＭＳ 明朝" w:hint="eastAsia"/>
              </w:rPr>
              <w:t>等高線</w:t>
            </w:r>
            <w:r w:rsidRPr="00C76125">
              <w:rPr>
                <w:rFonts w:hAnsi="ＭＳ 明朝" w:hint="eastAsia"/>
              </w:rPr>
              <w:t>で示され</w:t>
            </w:r>
            <w:r w:rsidR="008D4E41">
              <w:rPr>
                <w:rFonts w:hAnsi="ＭＳ 明朝" w:hint="eastAsia"/>
              </w:rPr>
              <w:t>、</w:t>
            </w:r>
            <w:r w:rsidR="0006339D">
              <w:rPr>
                <w:rFonts w:hAnsi="ＭＳ 明朝" w:hint="eastAsia"/>
              </w:rPr>
              <w:t>騒音</w:t>
            </w:r>
            <w:r w:rsidR="0006339D">
              <w:rPr>
                <w:rFonts w:hAnsi="ＭＳ 明朝" w:hint="eastAsia"/>
              </w:rPr>
              <w:lastRenderedPageBreak/>
              <w:t>協定で</w:t>
            </w:r>
            <w:r w:rsidR="005F4676">
              <w:rPr>
                <w:rFonts w:hAnsi="ＭＳ 明朝" w:hint="eastAsia"/>
              </w:rPr>
              <w:t>設定された</w:t>
            </w:r>
            <w:r w:rsidR="008D4E41">
              <w:rPr>
                <w:rFonts w:hAnsi="ＭＳ 明朝" w:hint="eastAsia"/>
              </w:rPr>
              <w:t>最大騒音負荷</w:t>
            </w:r>
            <w:r w:rsidR="005F4676">
              <w:rPr>
                <w:rFonts w:hAnsi="ＭＳ 明朝" w:hint="eastAsia"/>
              </w:rPr>
              <w:t>を基準に評価が行われた</w:t>
            </w:r>
            <w:r w:rsidRPr="00C76125">
              <w:rPr>
                <w:rFonts w:hAnsi="ＭＳ 明朝" w:hint="eastAsia"/>
              </w:rPr>
              <w:t>。</w:t>
            </w:r>
          </w:p>
        </w:tc>
      </w:tr>
      <w:tr w:rsidR="007F237C" w14:paraId="29B14813" w14:textId="77777777" w:rsidTr="00357D32">
        <w:tc>
          <w:tcPr>
            <w:tcW w:w="2120" w:type="dxa"/>
          </w:tcPr>
          <w:p w14:paraId="219637E0" w14:textId="17097DC5" w:rsidR="00ED3B60" w:rsidRPr="00817650" w:rsidRDefault="00ED3B60"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lastRenderedPageBreak/>
              <w:t>ミチゲーションの内容</w:t>
            </w:r>
          </w:p>
        </w:tc>
        <w:tc>
          <w:tcPr>
            <w:tcW w:w="7654" w:type="dxa"/>
          </w:tcPr>
          <w:p w14:paraId="1AEA4DA4" w14:textId="59C7CF79" w:rsidR="001428B7" w:rsidRPr="00B22F3C" w:rsidRDefault="006D74A4" w:rsidP="00583B12">
            <w:r w:rsidRPr="00583B12">
              <w:rPr>
                <w:rFonts w:hint="eastAsia"/>
              </w:rPr>
              <w:t>騒音の累積的影響に対する</w:t>
            </w:r>
            <w:r w:rsidR="00B22F3C" w:rsidRPr="00583B12">
              <w:rPr>
                <w:rFonts w:hint="eastAsia"/>
              </w:rPr>
              <w:t>ミティゲーションは</w:t>
            </w:r>
            <w:r w:rsidR="00EC0938">
              <w:rPr>
                <w:rFonts w:hint="eastAsia"/>
              </w:rPr>
              <w:t>、</w:t>
            </w:r>
            <w:r w:rsidR="004303C5" w:rsidRPr="00090257">
              <w:rPr>
                <w:rFonts w:hint="eastAsia"/>
              </w:rPr>
              <w:t>静音性アスファルトの導入や、鉄道交通におけるレール研磨など</w:t>
            </w:r>
            <w:r w:rsidR="00EC0938">
              <w:rPr>
                <w:rFonts w:hint="eastAsia"/>
              </w:rPr>
              <w:t>が提案されている。</w:t>
            </w:r>
            <w:r w:rsidR="009075E0">
              <w:rPr>
                <w:rFonts w:hint="eastAsia"/>
              </w:rPr>
              <w:t>これらミティゲーションを実行しながら</w:t>
            </w:r>
            <w:r w:rsidR="007E7886">
              <w:rPr>
                <w:rFonts w:hint="eastAsia"/>
              </w:rPr>
              <w:t>モニタリング</w:t>
            </w:r>
            <w:r w:rsidR="004303C5" w:rsidRPr="00090257">
              <w:rPr>
                <w:rFonts w:hint="eastAsia"/>
              </w:rPr>
              <w:t>し、</w:t>
            </w:r>
            <w:r w:rsidR="00B954F1">
              <w:rPr>
                <w:rFonts w:hint="eastAsia"/>
              </w:rPr>
              <w:t>順応的に</w:t>
            </w:r>
            <w:r w:rsidR="00317192">
              <w:rPr>
                <w:rFonts w:hint="eastAsia"/>
              </w:rPr>
              <w:t>対策を講じる</w:t>
            </w:r>
            <w:r w:rsidR="004303C5" w:rsidRPr="00090257">
              <w:rPr>
                <w:rFonts w:hint="eastAsia"/>
              </w:rPr>
              <w:t>。</w:t>
            </w:r>
          </w:p>
        </w:tc>
      </w:tr>
      <w:tr w:rsidR="007F237C" w14:paraId="7899AF4E" w14:textId="77777777" w:rsidTr="00357D32">
        <w:tc>
          <w:tcPr>
            <w:tcW w:w="2120" w:type="dxa"/>
          </w:tcPr>
          <w:p w14:paraId="3678A0DC" w14:textId="5B0F294D" w:rsidR="00ED3B60" w:rsidRPr="00817650" w:rsidRDefault="00ED3B60" w:rsidP="009E6B8F">
            <w:pPr>
              <w:snapToGrid w:val="0"/>
              <w:spacing w:line="280" w:lineRule="exact"/>
              <w:rPr>
                <w:rFonts w:ascii="ＭＳ ゴシック" w:eastAsia="ＭＳ ゴシック" w:hAnsi="ＭＳ ゴシック"/>
              </w:rPr>
            </w:pPr>
            <w:r>
              <w:rPr>
                <w:rFonts w:ascii="ＭＳ ゴシック" w:eastAsia="ＭＳ ゴシック" w:hAnsi="ＭＳ ゴシック" w:hint="eastAsia"/>
              </w:rPr>
              <w:t>モニタリング計画</w:t>
            </w:r>
          </w:p>
        </w:tc>
        <w:tc>
          <w:tcPr>
            <w:tcW w:w="7654" w:type="dxa"/>
          </w:tcPr>
          <w:p w14:paraId="4CBFE3F9" w14:textId="104E433A" w:rsidR="006B60AE" w:rsidRPr="006B60AE" w:rsidRDefault="00877E8F">
            <w:pPr>
              <w:snapToGrid w:val="0"/>
              <w:spacing w:line="280" w:lineRule="exact"/>
              <w:rPr>
                <w:rFonts w:hAnsi="ＭＳ 明朝"/>
              </w:rPr>
            </w:pPr>
            <w:r>
              <w:rPr>
                <w:rFonts w:hAnsi="ＭＳ 明朝" w:hint="eastAsia"/>
              </w:rPr>
              <w:t>モニタリング</w:t>
            </w:r>
            <w:r w:rsidR="00090257" w:rsidRPr="00090257">
              <w:rPr>
                <w:rFonts w:hAnsi="ＭＳ 明朝" w:hint="eastAsia"/>
              </w:rPr>
              <w:t>は</w:t>
            </w:r>
            <w:r w:rsidR="009E25B8">
              <w:rPr>
                <w:rFonts w:hAnsi="ＭＳ 明朝" w:hint="eastAsia"/>
              </w:rPr>
              <w:t>2010年から2033年まで行い</w:t>
            </w:r>
            <w:r w:rsidR="00090257" w:rsidRPr="00090257">
              <w:rPr>
                <w:rFonts w:hAnsi="ＭＳ 明朝" w:hint="eastAsia"/>
              </w:rPr>
              <w:t>、2015年・2020年・2025年・2033年</w:t>
            </w:r>
            <w:r w:rsidR="00E830FD">
              <w:rPr>
                <w:rFonts w:hAnsi="ＭＳ 明朝" w:hint="eastAsia"/>
              </w:rPr>
              <w:t>にモニタリングの評価を</w:t>
            </w:r>
            <w:r>
              <w:rPr>
                <w:rFonts w:hAnsi="ＭＳ 明朝" w:hint="eastAsia"/>
              </w:rPr>
              <w:t>実施</w:t>
            </w:r>
            <w:r w:rsidR="00090257" w:rsidRPr="00090257">
              <w:rPr>
                <w:rFonts w:hAnsi="ＭＳ 明朝" w:hint="eastAsia"/>
              </w:rPr>
              <w:t>する。</w:t>
            </w:r>
            <w:r w:rsidR="00C42420">
              <w:rPr>
                <w:rFonts w:hAnsi="ＭＳ 明朝" w:hint="eastAsia"/>
              </w:rPr>
              <w:t>評価</w:t>
            </w:r>
            <w:r w:rsidR="00090257" w:rsidRPr="00090257">
              <w:rPr>
                <w:rFonts w:hAnsi="ＭＳ 明朝" w:hint="eastAsia"/>
              </w:rPr>
              <w:t>の結果が予想の範囲内であればモニタリング頻度や強度を下げることを検討し、影響が発生しないと明らかになった場合や知識の空白が解消された場合には、その項目をモニタリング計画から除外する。</w:t>
            </w:r>
          </w:p>
        </w:tc>
      </w:tr>
      <w:tr w:rsidR="007F237C" w14:paraId="73337F83" w14:textId="77777777" w:rsidTr="00357D32">
        <w:tc>
          <w:tcPr>
            <w:tcW w:w="2120" w:type="dxa"/>
          </w:tcPr>
          <w:p w14:paraId="57B37958" w14:textId="522845BA" w:rsidR="0081466F" w:rsidRPr="00817650" w:rsidRDefault="0081466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優れている点</w:t>
            </w:r>
            <w:r w:rsidR="0075252D">
              <w:rPr>
                <w:rFonts w:ascii="ＭＳ ゴシック" w:eastAsia="ＭＳ ゴシック" w:hAnsi="ＭＳ ゴシック" w:hint="eastAsia"/>
              </w:rPr>
              <w:t>・問題点</w:t>
            </w:r>
          </w:p>
        </w:tc>
        <w:tc>
          <w:tcPr>
            <w:tcW w:w="7654" w:type="dxa"/>
          </w:tcPr>
          <w:p w14:paraId="5EBD9EF6" w14:textId="5B6FD547" w:rsidR="0081466F" w:rsidRDefault="0075252D" w:rsidP="000E6220">
            <w:pPr>
              <w:snapToGrid w:val="0"/>
              <w:spacing w:line="280" w:lineRule="exact"/>
              <w:rPr>
                <w:rFonts w:hAnsi="ＭＳ 明朝"/>
              </w:rPr>
            </w:pPr>
            <w:r>
              <w:rPr>
                <w:rFonts w:hAnsi="ＭＳ 明朝" w:hint="eastAsia"/>
              </w:rPr>
              <w:t>【優れている点】</w:t>
            </w:r>
          </w:p>
          <w:p w14:paraId="1068526C" w14:textId="4E355D21" w:rsidR="0075252D" w:rsidRDefault="005E05D0" w:rsidP="000E6220">
            <w:pPr>
              <w:snapToGrid w:val="0"/>
              <w:spacing w:line="280" w:lineRule="exact"/>
              <w:rPr>
                <w:rFonts w:hAnsi="ＭＳ 明朝"/>
              </w:rPr>
            </w:pPr>
            <w:r w:rsidRPr="005E05D0">
              <w:rPr>
                <w:rFonts w:hAnsi="ＭＳ 明朝" w:hint="eastAsia"/>
              </w:rPr>
              <w:t>・</w:t>
            </w:r>
            <w:r w:rsidR="004C4EAD" w:rsidRPr="00F94081">
              <w:rPr>
                <w:rFonts w:hAnsi="ＭＳ 明朝" w:hint="eastAsia"/>
              </w:rPr>
              <w:t>事業者、行政担当者、および港湾管理局との間で</w:t>
            </w:r>
            <w:r w:rsidR="0036569C" w:rsidRPr="00F94081">
              <w:rPr>
                <w:rFonts w:hAnsi="ＭＳ 明朝" w:hint="eastAsia"/>
              </w:rPr>
              <w:t>最大騒音負荷について合意</w:t>
            </w:r>
            <w:r w:rsidR="0036569C">
              <w:rPr>
                <w:rFonts w:hAnsi="ＭＳ 明朝" w:hint="eastAsia"/>
              </w:rPr>
              <w:t>を行ったこと</w:t>
            </w:r>
            <w:r w:rsidR="0036569C" w:rsidRPr="00F94081">
              <w:rPr>
                <w:rFonts w:hAnsi="ＭＳ 明朝" w:hint="eastAsia"/>
              </w:rPr>
              <w:t>。</w:t>
            </w:r>
          </w:p>
          <w:p w14:paraId="1956F34B" w14:textId="77777777" w:rsidR="009A6E2F" w:rsidRDefault="00B32ABF" w:rsidP="000E6220">
            <w:pPr>
              <w:snapToGrid w:val="0"/>
              <w:spacing w:line="280" w:lineRule="exact"/>
              <w:rPr>
                <w:rFonts w:hAnsi="ＭＳ 明朝"/>
              </w:rPr>
            </w:pPr>
            <w:r>
              <w:rPr>
                <w:rFonts w:hAnsi="ＭＳ 明朝" w:hint="eastAsia"/>
              </w:rPr>
              <w:t>【問題点】</w:t>
            </w:r>
          </w:p>
          <w:p w14:paraId="1B42F812" w14:textId="2645F99C" w:rsidR="00B32ABF" w:rsidRPr="00551945" w:rsidRDefault="009A6E2F" w:rsidP="000E6220">
            <w:pPr>
              <w:snapToGrid w:val="0"/>
              <w:spacing w:line="280" w:lineRule="exact"/>
              <w:rPr>
                <w:rFonts w:hAnsi="ＭＳ 明朝"/>
              </w:rPr>
            </w:pPr>
            <w:r>
              <w:rPr>
                <w:rFonts w:hAnsi="ＭＳ 明朝" w:hint="eastAsia"/>
              </w:rPr>
              <w:t>・</w:t>
            </w:r>
            <w:r w:rsidR="00B32ABF">
              <w:rPr>
                <w:rFonts w:hAnsi="ＭＳ 明朝" w:hint="eastAsia"/>
              </w:rPr>
              <w:t>騒音しか取り上げていない点。</w:t>
            </w:r>
          </w:p>
        </w:tc>
      </w:tr>
      <w:tr w:rsidR="007F237C" w14:paraId="2F3AA690" w14:textId="77777777" w:rsidTr="00357D32">
        <w:tc>
          <w:tcPr>
            <w:tcW w:w="2120" w:type="dxa"/>
          </w:tcPr>
          <w:p w14:paraId="7151AB58" w14:textId="3360DFD8" w:rsidR="0081466F" w:rsidRPr="00817650" w:rsidRDefault="00D441CF" w:rsidP="009E6B8F">
            <w:pPr>
              <w:snapToGrid w:val="0"/>
              <w:spacing w:line="280" w:lineRule="exact"/>
              <w:rPr>
                <w:rFonts w:ascii="ＭＳ ゴシック" w:eastAsia="ＭＳ ゴシック" w:hAnsi="ＭＳ ゴシック"/>
              </w:rPr>
            </w:pPr>
            <w:r w:rsidRPr="00817650">
              <w:rPr>
                <w:rFonts w:ascii="ＭＳ ゴシック" w:eastAsia="ＭＳ ゴシック" w:hAnsi="ＭＳ ゴシック" w:hint="eastAsia"/>
              </w:rPr>
              <w:t>特記事項等</w:t>
            </w:r>
          </w:p>
        </w:tc>
        <w:tc>
          <w:tcPr>
            <w:tcW w:w="7654" w:type="dxa"/>
          </w:tcPr>
          <w:p w14:paraId="65274979" w14:textId="77777777" w:rsidR="0081466F" w:rsidRPr="00551945" w:rsidRDefault="0081466F" w:rsidP="000E6220">
            <w:pPr>
              <w:snapToGrid w:val="0"/>
              <w:spacing w:line="280" w:lineRule="exact"/>
              <w:rPr>
                <w:rFonts w:hAnsi="ＭＳ 明朝"/>
              </w:rPr>
            </w:pPr>
          </w:p>
        </w:tc>
      </w:tr>
    </w:tbl>
    <w:p w14:paraId="5EDFF910" w14:textId="6FB6E6BF" w:rsidR="00117E04" w:rsidRDefault="00117E04" w:rsidP="00117E04"/>
    <w:sectPr w:rsidR="00117E04" w:rsidSect="00117E04">
      <w:footerReference w:type="default" r:id="rI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CB700" w14:textId="77777777" w:rsidR="00F43087" w:rsidRDefault="00F43087" w:rsidP="00320C2B">
      <w:r>
        <w:separator/>
      </w:r>
    </w:p>
  </w:endnote>
  <w:endnote w:type="continuationSeparator" w:id="0">
    <w:p w14:paraId="6CA33398" w14:textId="77777777" w:rsidR="00F43087" w:rsidRDefault="00F43087"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48179"/>
      <w:docPartObj>
        <w:docPartGallery w:val="Page Numbers (Bottom of Page)"/>
        <w:docPartUnique/>
      </w:docPartObj>
    </w:sdtPr>
    <w:sdtContent>
      <w:p w14:paraId="58FFCB5F" w14:textId="2905890D" w:rsidR="00210177" w:rsidRDefault="00210177">
        <w:pPr>
          <w:pStyle w:val="af"/>
          <w:jc w:val="center"/>
        </w:pPr>
        <w:r>
          <w:fldChar w:fldCharType="begin"/>
        </w:r>
        <w:r>
          <w:instrText>PAGE   \* MERGEFORMAT</w:instrText>
        </w:r>
        <w:r>
          <w:fldChar w:fldCharType="separate"/>
        </w:r>
        <w:r>
          <w:rPr>
            <w:lang w:val="ja-JP"/>
          </w:rPr>
          <w:t>2</w:t>
        </w:r>
        <w:r>
          <w:fldChar w:fldCharType="end"/>
        </w:r>
      </w:p>
    </w:sdtContent>
  </w:sdt>
  <w:p w14:paraId="5294B241" w14:textId="77777777" w:rsidR="00210177" w:rsidRDefault="002101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B5289" w14:textId="77777777" w:rsidR="00F43087" w:rsidRDefault="00F43087" w:rsidP="00320C2B">
      <w:r>
        <w:separator/>
      </w:r>
    </w:p>
  </w:footnote>
  <w:footnote w:type="continuationSeparator" w:id="0">
    <w:p w14:paraId="7D6831ED" w14:textId="77777777" w:rsidR="00F43087" w:rsidRDefault="00F43087"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420"/>
    <w:multiLevelType w:val="hybridMultilevel"/>
    <w:tmpl w:val="8E90A27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51807E2"/>
    <w:multiLevelType w:val="multilevel"/>
    <w:tmpl w:val="467C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404F"/>
    <w:multiLevelType w:val="multilevel"/>
    <w:tmpl w:val="CFB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85DDC"/>
    <w:multiLevelType w:val="hybridMultilevel"/>
    <w:tmpl w:val="29B4354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1F943684"/>
    <w:multiLevelType w:val="hybridMultilevel"/>
    <w:tmpl w:val="262A84A6"/>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03F516D"/>
    <w:multiLevelType w:val="multilevel"/>
    <w:tmpl w:val="1C9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10224"/>
    <w:multiLevelType w:val="multilevel"/>
    <w:tmpl w:val="8FF67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42C10"/>
    <w:multiLevelType w:val="hybridMultilevel"/>
    <w:tmpl w:val="490CBC8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DFB2AAE"/>
    <w:multiLevelType w:val="multilevel"/>
    <w:tmpl w:val="00344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96D37"/>
    <w:multiLevelType w:val="multilevel"/>
    <w:tmpl w:val="60C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F63E7"/>
    <w:multiLevelType w:val="hybridMultilevel"/>
    <w:tmpl w:val="CF6C13EE"/>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1A87946"/>
    <w:multiLevelType w:val="multilevel"/>
    <w:tmpl w:val="6F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46028"/>
    <w:multiLevelType w:val="multilevel"/>
    <w:tmpl w:val="3288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75AFB"/>
    <w:multiLevelType w:val="multilevel"/>
    <w:tmpl w:val="1C66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D0450"/>
    <w:multiLevelType w:val="multilevel"/>
    <w:tmpl w:val="3A90F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C5FC8"/>
    <w:multiLevelType w:val="multilevel"/>
    <w:tmpl w:val="9FE6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458C0"/>
    <w:multiLevelType w:val="multilevel"/>
    <w:tmpl w:val="EBD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8463F"/>
    <w:multiLevelType w:val="multilevel"/>
    <w:tmpl w:val="26A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3665B"/>
    <w:multiLevelType w:val="multilevel"/>
    <w:tmpl w:val="E78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A7696"/>
    <w:multiLevelType w:val="multilevel"/>
    <w:tmpl w:val="2F06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20BA3"/>
    <w:multiLevelType w:val="multilevel"/>
    <w:tmpl w:val="51AED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849E6"/>
    <w:multiLevelType w:val="multilevel"/>
    <w:tmpl w:val="6A860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F0798"/>
    <w:multiLevelType w:val="multilevel"/>
    <w:tmpl w:val="EBB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C3A68"/>
    <w:multiLevelType w:val="multilevel"/>
    <w:tmpl w:val="B15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87FE7"/>
    <w:multiLevelType w:val="multilevel"/>
    <w:tmpl w:val="4D2E6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E665FA"/>
    <w:multiLevelType w:val="multilevel"/>
    <w:tmpl w:val="F328F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87E0A"/>
    <w:multiLevelType w:val="multilevel"/>
    <w:tmpl w:val="3A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A0E71"/>
    <w:multiLevelType w:val="multilevel"/>
    <w:tmpl w:val="84286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846043">
    <w:abstractNumId w:val="11"/>
  </w:num>
  <w:num w:numId="2" w16cid:durableId="1826122642">
    <w:abstractNumId w:val="1"/>
  </w:num>
  <w:num w:numId="3" w16cid:durableId="1229537929">
    <w:abstractNumId w:val="19"/>
  </w:num>
  <w:num w:numId="4" w16cid:durableId="1871989378">
    <w:abstractNumId w:val="3"/>
  </w:num>
  <w:num w:numId="5" w16cid:durableId="1751001467">
    <w:abstractNumId w:val="4"/>
  </w:num>
  <w:num w:numId="6" w16cid:durableId="791098589">
    <w:abstractNumId w:val="10"/>
  </w:num>
  <w:num w:numId="7" w16cid:durableId="801382379">
    <w:abstractNumId w:val="2"/>
  </w:num>
  <w:num w:numId="8" w16cid:durableId="1156338860">
    <w:abstractNumId w:val="22"/>
  </w:num>
  <w:num w:numId="9" w16cid:durableId="1603563595">
    <w:abstractNumId w:val="9"/>
  </w:num>
  <w:num w:numId="10" w16cid:durableId="1058438773">
    <w:abstractNumId w:val="5"/>
  </w:num>
  <w:num w:numId="11" w16cid:durableId="1604146796">
    <w:abstractNumId w:val="26"/>
  </w:num>
  <w:num w:numId="12" w16cid:durableId="693074667">
    <w:abstractNumId w:val="18"/>
  </w:num>
  <w:num w:numId="13" w16cid:durableId="559365159">
    <w:abstractNumId w:val="23"/>
  </w:num>
  <w:num w:numId="14" w16cid:durableId="1857883494">
    <w:abstractNumId w:val="6"/>
  </w:num>
  <w:num w:numId="15" w16cid:durableId="1405570373">
    <w:abstractNumId w:val="0"/>
  </w:num>
  <w:num w:numId="16" w16cid:durableId="1647776580">
    <w:abstractNumId w:val="24"/>
  </w:num>
  <w:num w:numId="17" w16cid:durableId="1922257241">
    <w:abstractNumId w:val="14"/>
  </w:num>
  <w:num w:numId="18" w16cid:durableId="419104740">
    <w:abstractNumId w:val="25"/>
  </w:num>
  <w:num w:numId="19" w16cid:durableId="2133133650">
    <w:abstractNumId w:val="20"/>
  </w:num>
  <w:num w:numId="20" w16cid:durableId="1475023424">
    <w:abstractNumId w:val="8"/>
  </w:num>
  <w:num w:numId="21" w16cid:durableId="1830365718">
    <w:abstractNumId w:val="21"/>
  </w:num>
  <w:num w:numId="22" w16cid:durableId="777334908">
    <w:abstractNumId w:val="12"/>
  </w:num>
  <w:num w:numId="23" w16cid:durableId="1351103757">
    <w:abstractNumId w:val="13"/>
  </w:num>
  <w:num w:numId="24" w16cid:durableId="118887501">
    <w:abstractNumId w:val="27"/>
  </w:num>
  <w:num w:numId="25" w16cid:durableId="1358310109">
    <w:abstractNumId w:val="7"/>
  </w:num>
  <w:num w:numId="26" w16cid:durableId="858354908">
    <w:abstractNumId w:val="16"/>
  </w:num>
  <w:num w:numId="27" w16cid:durableId="2130196255">
    <w:abstractNumId w:val="17"/>
  </w:num>
  <w:num w:numId="28" w16cid:durableId="9623488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10B92"/>
    <w:rsid w:val="000111A8"/>
    <w:rsid w:val="00012270"/>
    <w:rsid w:val="00013EEA"/>
    <w:rsid w:val="00040775"/>
    <w:rsid w:val="00042CBF"/>
    <w:rsid w:val="0006339D"/>
    <w:rsid w:val="00065437"/>
    <w:rsid w:val="000845AD"/>
    <w:rsid w:val="00090257"/>
    <w:rsid w:val="00090EC1"/>
    <w:rsid w:val="00092AE5"/>
    <w:rsid w:val="000954A4"/>
    <w:rsid w:val="00097C22"/>
    <w:rsid w:val="00097E97"/>
    <w:rsid w:val="000B49FF"/>
    <w:rsid w:val="000B4F70"/>
    <w:rsid w:val="000B61CB"/>
    <w:rsid w:val="000B6257"/>
    <w:rsid w:val="000B7C1E"/>
    <w:rsid w:val="000C3F36"/>
    <w:rsid w:val="000D2F0F"/>
    <w:rsid w:val="000E5BFA"/>
    <w:rsid w:val="000E6220"/>
    <w:rsid w:val="000E6B86"/>
    <w:rsid w:val="000F0C56"/>
    <w:rsid w:val="000F56EA"/>
    <w:rsid w:val="00117E04"/>
    <w:rsid w:val="00123B26"/>
    <w:rsid w:val="00124734"/>
    <w:rsid w:val="001264DF"/>
    <w:rsid w:val="00130082"/>
    <w:rsid w:val="00132367"/>
    <w:rsid w:val="00132882"/>
    <w:rsid w:val="001428B7"/>
    <w:rsid w:val="00145775"/>
    <w:rsid w:val="001545C0"/>
    <w:rsid w:val="0016171E"/>
    <w:rsid w:val="00165983"/>
    <w:rsid w:val="0017005C"/>
    <w:rsid w:val="001731BA"/>
    <w:rsid w:val="001734A8"/>
    <w:rsid w:val="00173856"/>
    <w:rsid w:val="001848C4"/>
    <w:rsid w:val="00194499"/>
    <w:rsid w:val="001A1236"/>
    <w:rsid w:val="001A1D6B"/>
    <w:rsid w:val="001A2163"/>
    <w:rsid w:val="001A2841"/>
    <w:rsid w:val="001A3274"/>
    <w:rsid w:val="001A5CC9"/>
    <w:rsid w:val="001A5DF0"/>
    <w:rsid w:val="001A7A96"/>
    <w:rsid w:val="001B53DA"/>
    <w:rsid w:val="001C6718"/>
    <w:rsid w:val="001E0121"/>
    <w:rsid w:val="001E2C89"/>
    <w:rsid w:val="001E3166"/>
    <w:rsid w:val="001F1D06"/>
    <w:rsid w:val="00201EBB"/>
    <w:rsid w:val="0020293B"/>
    <w:rsid w:val="00210177"/>
    <w:rsid w:val="00210AFD"/>
    <w:rsid w:val="00212294"/>
    <w:rsid w:val="00212627"/>
    <w:rsid w:val="00214527"/>
    <w:rsid w:val="002176BF"/>
    <w:rsid w:val="0022268C"/>
    <w:rsid w:val="00226221"/>
    <w:rsid w:val="00226935"/>
    <w:rsid w:val="00226BBF"/>
    <w:rsid w:val="00236CC2"/>
    <w:rsid w:val="002379DC"/>
    <w:rsid w:val="00240961"/>
    <w:rsid w:val="00244661"/>
    <w:rsid w:val="00252B73"/>
    <w:rsid w:val="00253503"/>
    <w:rsid w:val="002709C3"/>
    <w:rsid w:val="00271341"/>
    <w:rsid w:val="002855A9"/>
    <w:rsid w:val="00296488"/>
    <w:rsid w:val="002A5F3A"/>
    <w:rsid w:val="002A7F7F"/>
    <w:rsid w:val="002B4EC9"/>
    <w:rsid w:val="002B53D4"/>
    <w:rsid w:val="002B763A"/>
    <w:rsid w:val="002C2490"/>
    <w:rsid w:val="002C5771"/>
    <w:rsid w:val="002D002E"/>
    <w:rsid w:val="002D4377"/>
    <w:rsid w:val="002D55DB"/>
    <w:rsid w:val="002D5BBA"/>
    <w:rsid w:val="002D5C0A"/>
    <w:rsid w:val="002E3055"/>
    <w:rsid w:val="002E3CD6"/>
    <w:rsid w:val="002E44EE"/>
    <w:rsid w:val="002E6B44"/>
    <w:rsid w:val="002E75E4"/>
    <w:rsid w:val="002F1859"/>
    <w:rsid w:val="00300CBE"/>
    <w:rsid w:val="00301AA0"/>
    <w:rsid w:val="00311A85"/>
    <w:rsid w:val="00315AA8"/>
    <w:rsid w:val="00316EFA"/>
    <w:rsid w:val="00317192"/>
    <w:rsid w:val="0031769F"/>
    <w:rsid w:val="00320864"/>
    <w:rsid w:val="00320BAE"/>
    <w:rsid w:val="00320C2B"/>
    <w:rsid w:val="003266AD"/>
    <w:rsid w:val="0034673F"/>
    <w:rsid w:val="00347DC6"/>
    <w:rsid w:val="00356A41"/>
    <w:rsid w:val="00357D32"/>
    <w:rsid w:val="00364121"/>
    <w:rsid w:val="0036569C"/>
    <w:rsid w:val="00366AC3"/>
    <w:rsid w:val="00370A05"/>
    <w:rsid w:val="003712E5"/>
    <w:rsid w:val="00373248"/>
    <w:rsid w:val="00373E4C"/>
    <w:rsid w:val="003748C1"/>
    <w:rsid w:val="00380B54"/>
    <w:rsid w:val="003819F1"/>
    <w:rsid w:val="00385C7C"/>
    <w:rsid w:val="00394240"/>
    <w:rsid w:val="003A76D9"/>
    <w:rsid w:val="003A7E57"/>
    <w:rsid w:val="003B2CD1"/>
    <w:rsid w:val="003C0144"/>
    <w:rsid w:val="003D53E7"/>
    <w:rsid w:val="003E5969"/>
    <w:rsid w:val="003F3295"/>
    <w:rsid w:val="004128D5"/>
    <w:rsid w:val="00427DF3"/>
    <w:rsid w:val="004303C5"/>
    <w:rsid w:val="004602FF"/>
    <w:rsid w:val="00461CDA"/>
    <w:rsid w:val="00466F4F"/>
    <w:rsid w:val="004802CF"/>
    <w:rsid w:val="00484A18"/>
    <w:rsid w:val="00484FAB"/>
    <w:rsid w:val="00486175"/>
    <w:rsid w:val="00486ADB"/>
    <w:rsid w:val="004871EA"/>
    <w:rsid w:val="004955A6"/>
    <w:rsid w:val="00497D5D"/>
    <w:rsid w:val="004B1378"/>
    <w:rsid w:val="004B3F37"/>
    <w:rsid w:val="004C4EAD"/>
    <w:rsid w:val="004C5DB1"/>
    <w:rsid w:val="004D0041"/>
    <w:rsid w:val="004D0809"/>
    <w:rsid w:val="004D18B4"/>
    <w:rsid w:val="004D2209"/>
    <w:rsid w:val="004E2288"/>
    <w:rsid w:val="004E53FE"/>
    <w:rsid w:val="004E696E"/>
    <w:rsid w:val="004F7655"/>
    <w:rsid w:val="00502B3B"/>
    <w:rsid w:val="00505073"/>
    <w:rsid w:val="005109C9"/>
    <w:rsid w:val="00511680"/>
    <w:rsid w:val="00521555"/>
    <w:rsid w:val="00521654"/>
    <w:rsid w:val="005317D2"/>
    <w:rsid w:val="00534BCC"/>
    <w:rsid w:val="005412C3"/>
    <w:rsid w:val="00542521"/>
    <w:rsid w:val="00543A2B"/>
    <w:rsid w:val="005458C6"/>
    <w:rsid w:val="00551945"/>
    <w:rsid w:val="00562F62"/>
    <w:rsid w:val="00565EC6"/>
    <w:rsid w:val="00565F3D"/>
    <w:rsid w:val="00575143"/>
    <w:rsid w:val="00580946"/>
    <w:rsid w:val="00583B12"/>
    <w:rsid w:val="005868BF"/>
    <w:rsid w:val="005915BA"/>
    <w:rsid w:val="00591EC0"/>
    <w:rsid w:val="00593248"/>
    <w:rsid w:val="00596C15"/>
    <w:rsid w:val="005A30EF"/>
    <w:rsid w:val="005A5131"/>
    <w:rsid w:val="005A5995"/>
    <w:rsid w:val="005B7880"/>
    <w:rsid w:val="005C55EF"/>
    <w:rsid w:val="005C7E13"/>
    <w:rsid w:val="005D1908"/>
    <w:rsid w:val="005E05D0"/>
    <w:rsid w:val="005E2F3C"/>
    <w:rsid w:val="005F11C1"/>
    <w:rsid w:val="005F4676"/>
    <w:rsid w:val="005F7CE0"/>
    <w:rsid w:val="006002EA"/>
    <w:rsid w:val="0060033B"/>
    <w:rsid w:val="00601335"/>
    <w:rsid w:val="00620E5D"/>
    <w:rsid w:val="0063239F"/>
    <w:rsid w:val="00635EB8"/>
    <w:rsid w:val="00641629"/>
    <w:rsid w:val="00651339"/>
    <w:rsid w:val="00651EC5"/>
    <w:rsid w:val="00656CD0"/>
    <w:rsid w:val="00661032"/>
    <w:rsid w:val="006657FB"/>
    <w:rsid w:val="00672A5D"/>
    <w:rsid w:val="006937B1"/>
    <w:rsid w:val="006A0953"/>
    <w:rsid w:val="006A2496"/>
    <w:rsid w:val="006A499E"/>
    <w:rsid w:val="006A55D1"/>
    <w:rsid w:val="006B5AB9"/>
    <w:rsid w:val="006B60AE"/>
    <w:rsid w:val="006B7D9C"/>
    <w:rsid w:val="006D74A4"/>
    <w:rsid w:val="006E1D78"/>
    <w:rsid w:val="006F3AE7"/>
    <w:rsid w:val="006F53A5"/>
    <w:rsid w:val="00706192"/>
    <w:rsid w:val="007072A0"/>
    <w:rsid w:val="00720CBB"/>
    <w:rsid w:val="0072223E"/>
    <w:rsid w:val="00740733"/>
    <w:rsid w:val="0074514E"/>
    <w:rsid w:val="007457DB"/>
    <w:rsid w:val="0075252D"/>
    <w:rsid w:val="00753524"/>
    <w:rsid w:val="00754E36"/>
    <w:rsid w:val="00757F6E"/>
    <w:rsid w:val="00775569"/>
    <w:rsid w:val="0077637B"/>
    <w:rsid w:val="0078248A"/>
    <w:rsid w:val="007951CC"/>
    <w:rsid w:val="0079777A"/>
    <w:rsid w:val="007A7214"/>
    <w:rsid w:val="007A764B"/>
    <w:rsid w:val="007B3B20"/>
    <w:rsid w:val="007C0A78"/>
    <w:rsid w:val="007C3E52"/>
    <w:rsid w:val="007C7D84"/>
    <w:rsid w:val="007D1582"/>
    <w:rsid w:val="007D5EAF"/>
    <w:rsid w:val="007E4AE9"/>
    <w:rsid w:val="007E7886"/>
    <w:rsid w:val="007F12D6"/>
    <w:rsid w:val="007F237C"/>
    <w:rsid w:val="007F41A1"/>
    <w:rsid w:val="008049DA"/>
    <w:rsid w:val="00810C2E"/>
    <w:rsid w:val="0081175E"/>
    <w:rsid w:val="0081215A"/>
    <w:rsid w:val="0081466F"/>
    <w:rsid w:val="008174E7"/>
    <w:rsid w:val="00817650"/>
    <w:rsid w:val="00824295"/>
    <w:rsid w:val="00826D81"/>
    <w:rsid w:val="00832D1B"/>
    <w:rsid w:val="00836732"/>
    <w:rsid w:val="0084223A"/>
    <w:rsid w:val="0084315B"/>
    <w:rsid w:val="00847385"/>
    <w:rsid w:val="00847A1D"/>
    <w:rsid w:val="008525A6"/>
    <w:rsid w:val="008647DA"/>
    <w:rsid w:val="008669F8"/>
    <w:rsid w:val="00875ACF"/>
    <w:rsid w:val="00877E8F"/>
    <w:rsid w:val="00885F8F"/>
    <w:rsid w:val="0089249E"/>
    <w:rsid w:val="00892DD1"/>
    <w:rsid w:val="008A028C"/>
    <w:rsid w:val="008A1922"/>
    <w:rsid w:val="008A5DE9"/>
    <w:rsid w:val="008B2E27"/>
    <w:rsid w:val="008B699A"/>
    <w:rsid w:val="008B7079"/>
    <w:rsid w:val="008B76D3"/>
    <w:rsid w:val="008C2817"/>
    <w:rsid w:val="008C32BB"/>
    <w:rsid w:val="008D1BEC"/>
    <w:rsid w:val="008D4E41"/>
    <w:rsid w:val="008D768B"/>
    <w:rsid w:val="008E290F"/>
    <w:rsid w:val="008E3861"/>
    <w:rsid w:val="008E3E20"/>
    <w:rsid w:val="00901F7D"/>
    <w:rsid w:val="009075E0"/>
    <w:rsid w:val="00916D62"/>
    <w:rsid w:val="00923FA1"/>
    <w:rsid w:val="00924B03"/>
    <w:rsid w:val="009304DE"/>
    <w:rsid w:val="00944470"/>
    <w:rsid w:val="00951E5A"/>
    <w:rsid w:val="0095667C"/>
    <w:rsid w:val="0096210A"/>
    <w:rsid w:val="00971CB6"/>
    <w:rsid w:val="00973A9C"/>
    <w:rsid w:val="00985548"/>
    <w:rsid w:val="00986F2F"/>
    <w:rsid w:val="00987C6F"/>
    <w:rsid w:val="00990A72"/>
    <w:rsid w:val="009930EB"/>
    <w:rsid w:val="00996F2B"/>
    <w:rsid w:val="009A22CC"/>
    <w:rsid w:val="009A437B"/>
    <w:rsid w:val="009A6E2F"/>
    <w:rsid w:val="009B3F54"/>
    <w:rsid w:val="009C111D"/>
    <w:rsid w:val="009E1E37"/>
    <w:rsid w:val="009E25B8"/>
    <w:rsid w:val="009E351D"/>
    <w:rsid w:val="009E6B8F"/>
    <w:rsid w:val="009E6D96"/>
    <w:rsid w:val="009E7D3F"/>
    <w:rsid w:val="00A001FA"/>
    <w:rsid w:val="00A02740"/>
    <w:rsid w:val="00A06A2A"/>
    <w:rsid w:val="00A06D55"/>
    <w:rsid w:val="00A10DE4"/>
    <w:rsid w:val="00A14C86"/>
    <w:rsid w:val="00A25675"/>
    <w:rsid w:val="00A25E31"/>
    <w:rsid w:val="00A41842"/>
    <w:rsid w:val="00A41E4C"/>
    <w:rsid w:val="00A4373A"/>
    <w:rsid w:val="00A52AA0"/>
    <w:rsid w:val="00A63888"/>
    <w:rsid w:val="00A64CC9"/>
    <w:rsid w:val="00A65845"/>
    <w:rsid w:val="00A761D7"/>
    <w:rsid w:val="00A76349"/>
    <w:rsid w:val="00A77B16"/>
    <w:rsid w:val="00A800F1"/>
    <w:rsid w:val="00A81679"/>
    <w:rsid w:val="00A95C39"/>
    <w:rsid w:val="00A963A3"/>
    <w:rsid w:val="00AA2A26"/>
    <w:rsid w:val="00AB2F85"/>
    <w:rsid w:val="00AC289A"/>
    <w:rsid w:val="00AC5160"/>
    <w:rsid w:val="00AD787C"/>
    <w:rsid w:val="00AE0C44"/>
    <w:rsid w:val="00AE0E48"/>
    <w:rsid w:val="00AE24DD"/>
    <w:rsid w:val="00AE5295"/>
    <w:rsid w:val="00AE6A02"/>
    <w:rsid w:val="00AF270E"/>
    <w:rsid w:val="00AF3A9D"/>
    <w:rsid w:val="00AF5640"/>
    <w:rsid w:val="00B00E24"/>
    <w:rsid w:val="00B04883"/>
    <w:rsid w:val="00B079D9"/>
    <w:rsid w:val="00B111B4"/>
    <w:rsid w:val="00B11386"/>
    <w:rsid w:val="00B22A7C"/>
    <w:rsid w:val="00B22F3C"/>
    <w:rsid w:val="00B32ABF"/>
    <w:rsid w:val="00B36527"/>
    <w:rsid w:val="00B420DE"/>
    <w:rsid w:val="00B4486D"/>
    <w:rsid w:val="00B470FC"/>
    <w:rsid w:val="00B55252"/>
    <w:rsid w:val="00B56A4A"/>
    <w:rsid w:val="00B73424"/>
    <w:rsid w:val="00B75986"/>
    <w:rsid w:val="00B87F1B"/>
    <w:rsid w:val="00B954F1"/>
    <w:rsid w:val="00B95877"/>
    <w:rsid w:val="00B97451"/>
    <w:rsid w:val="00BA146C"/>
    <w:rsid w:val="00BA305C"/>
    <w:rsid w:val="00BA371A"/>
    <w:rsid w:val="00BA485B"/>
    <w:rsid w:val="00BC451A"/>
    <w:rsid w:val="00BC5135"/>
    <w:rsid w:val="00BC5D3A"/>
    <w:rsid w:val="00BE1666"/>
    <w:rsid w:val="00BE3559"/>
    <w:rsid w:val="00BE3D7B"/>
    <w:rsid w:val="00BE6253"/>
    <w:rsid w:val="00BE7CB7"/>
    <w:rsid w:val="00BF6D49"/>
    <w:rsid w:val="00C16EC3"/>
    <w:rsid w:val="00C26CBB"/>
    <w:rsid w:val="00C3271E"/>
    <w:rsid w:val="00C32C32"/>
    <w:rsid w:val="00C32F82"/>
    <w:rsid w:val="00C3430E"/>
    <w:rsid w:val="00C42420"/>
    <w:rsid w:val="00C46B4D"/>
    <w:rsid w:val="00C4779F"/>
    <w:rsid w:val="00C5397F"/>
    <w:rsid w:val="00C64E35"/>
    <w:rsid w:val="00C74B6B"/>
    <w:rsid w:val="00C76125"/>
    <w:rsid w:val="00C8150A"/>
    <w:rsid w:val="00C91600"/>
    <w:rsid w:val="00C9400C"/>
    <w:rsid w:val="00CA09B4"/>
    <w:rsid w:val="00CA3083"/>
    <w:rsid w:val="00CC7EAE"/>
    <w:rsid w:val="00CD2FA1"/>
    <w:rsid w:val="00CE72C9"/>
    <w:rsid w:val="00CE7C76"/>
    <w:rsid w:val="00CF2FD1"/>
    <w:rsid w:val="00CF5A57"/>
    <w:rsid w:val="00D00E13"/>
    <w:rsid w:val="00D0173E"/>
    <w:rsid w:val="00D01C2D"/>
    <w:rsid w:val="00D0302F"/>
    <w:rsid w:val="00D10BAD"/>
    <w:rsid w:val="00D16F29"/>
    <w:rsid w:val="00D20625"/>
    <w:rsid w:val="00D34B70"/>
    <w:rsid w:val="00D3594A"/>
    <w:rsid w:val="00D36141"/>
    <w:rsid w:val="00D409A1"/>
    <w:rsid w:val="00D422A6"/>
    <w:rsid w:val="00D42DF5"/>
    <w:rsid w:val="00D441CF"/>
    <w:rsid w:val="00D5314F"/>
    <w:rsid w:val="00D53465"/>
    <w:rsid w:val="00D57421"/>
    <w:rsid w:val="00D609C5"/>
    <w:rsid w:val="00D638B5"/>
    <w:rsid w:val="00D66A0E"/>
    <w:rsid w:val="00D704E4"/>
    <w:rsid w:val="00D716BC"/>
    <w:rsid w:val="00D74128"/>
    <w:rsid w:val="00D76ECA"/>
    <w:rsid w:val="00D80258"/>
    <w:rsid w:val="00D83A44"/>
    <w:rsid w:val="00D86017"/>
    <w:rsid w:val="00D91DF1"/>
    <w:rsid w:val="00D947A7"/>
    <w:rsid w:val="00DA762D"/>
    <w:rsid w:val="00DB156A"/>
    <w:rsid w:val="00DB2BC7"/>
    <w:rsid w:val="00DB4BF1"/>
    <w:rsid w:val="00DB64A9"/>
    <w:rsid w:val="00DB7B49"/>
    <w:rsid w:val="00DC04E2"/>
    <w:rsid w:val="00DC4193"/>
    <w:rsid w:val="00DC7A24"/>
    <w:rsid w:val="00DD4B25"/>
    <w:rsid w:val="00DD76F7"/>
    <w:rsid w:val="00DE51F0"/>
    <w:rsid w:val="00DF4F79"/>
    <w:rsid w:val="00E01416"/>
    <w:rsid w:val="00E0707C"/>
    <w:rsid w:val="00E11B22"/>
    <w:rsid w:val="00E14763"/>
    <w:rsid w:val="00E36C0B"/>
    <w:rsid w:val="00E4435A"/>
    <w:rsid w:val="00E44DDF"/>
    <w:rsid w:val="00E466CE"/>
    <w:rsid w:val="00E46CB0"/>
    <w:rsid w:val="00E51DC3"/>
    <w:rsid w:val="00E57D5E"/>
    <w:rsid w:val="00E631C0"/>
    <w:rsid w:val="00E730F9"/>
    <w:rsid w:val="00E75BAE"/>
    <w:rsid w:val="00E81617"/>
    <w:rsid w:val="00E830FD"/>
    <w:rsid w:val="00E83AFE"/>
    <w:rsid w:val="00E84CC0"/>
    <w:rsid w:val="00EA22A3"/>
    <w:rsid w:val="00EA4CC2"/>
    <w:rsid w:val="00EA4FB5"/>
    <w:rsid w:val="00EA67D1"/>
    <w:rsid w:val="00EB46D0"/>
    <w:rsid w:val="00EB6E04"/>
    <w:rsid w:val="00EC0938"/>
    <w:rsid w:val="00ED3B60"/>
    <w:rsid w:val="00EE4088"/>
    <w:rsid w:val="00EE7D5C"/>
    <w:rsid w:val="00EF12D8"/>
    <w:rsid w:val="00EF71EF"/>
    <w:rsid w:val="00EF73C4"/>
    <w:rsid w:val="00F0292A"/>
    <w:rsid w:val="00F0420D"/>
    <w:rsid w:val="00F058FE"/>
    <w:rsid w:val="00F1076E"/>
    <w:rsid w:val="00F11F1D"/>
    <w:rsid w:val="00F15AEC"/>
    <w:rsid w:val="00F24787"/>
    <w:rsid w:val="00F27AE8"/>
    <w:rsid w:val="00F32462"/>
    <w:rsid w:val="00F43087"/>
    <w:rsid w:val="00F43CDF"/>
    <w:rsid w:val="00F44D6D"/>
    <w:rsid w:val="00F46F9C"/>
    <w:rsid w:val="00F54346"/>
    <w:rsid w:val="00F60B9A"/>
    <w:rsid w:val="00F71DED"/>
    <w:rsid w:val="00F73876"/>
    <w:rsid w:val="00F908BB"/>
    <w:rsid w:val="00F92680"/>
    <w:rsid w:val="00F94081"/>
    <w:rsid w:val="00FB32B0"/>
    <w:rsid w:val="00FB5C9B"/>
    <w:rsid w:val="00FC73DB"/>
    <w:rsid w:val="00FE1059"/>
    <w:rsid w:val="00FF2C0C"/>
    <w:rsid w:val="00FF7F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F2CF50C0-DFBE-4F76-BD5A-96750402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DE9"/>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 w:type="character" w:styleId="af1">
    <w:name w:val="annotation reference"/>
    <w:basedOn w:val="a0"/>
    <w:uiPriority w:val="99"/>
    <w:semiHidden/>
    <w:unhideWhenUsed/>
    <w:rsid w:val="00D86017"/>
    <w:rPr>
      <w:sz w:val="18"/>
      <w:szCs w:val="18"/>
    </w:rPr>
  </w:style>
  <w:style w:type="paragraph" w:styleId="af2">
    <w:name w:val="annotation text"/>
    <w:basedOn w:val="a"/>
    <w:link w:val="af3"/>
    <w:uiPriority w:val="99"/>
    <w:unhideWhenUsed/>
    <w:rsid w:val="00D86017"/>
    <w:pPr>
      <w:jc w:val="left"/>
    </w:pPr>
  </w:style>
  <w:style w:type="character" w:customStyle="1" w:styleId="af3">
    <w:name w:val="コメント文字列 (文字)"/>
    <w:basedOn w:val="a0"/>
    <w:link w:val="af2"/>
    <w:uiPriority w:val="99"/>
    <w:rsid w:val="00D86017"/>
    <w:rPr>
      <w:rFonts w:ascii="ＭＳ 明朝" w:eastAsia="ＭＳ 明朝" w:hAnsi="Century" w:cs="Times New Roman"/>
      <w:szCs w:val="20"/>
    </w:rPr>
  </w:style>
  <w:style w:type="paragraph" w:styleId="af4">
    <w:name w:val="annotation subject"/>
    <w:basedOn w:val="af2"/>
    <w:next w:val="af2"/>
    <w:link w:val="af5"/>
    <w:uiPriority w:val="99"/>
    <w:semiHidden/>
    <w:unhideWhenUsed/>
    <w:rsid w:val="00D86017"/>
    <w:rPr>
      <w:b/>
      <w:bCs/>
    </w:rPr>
  </w:style>
  <w:style w:type="character" w:customStyle="1" w:styleId="af5">
    <w:name w:val="コメント内容 (文字)"/>
    <w:basedOn w:val="af3"/>
    <w:link w:val="af4"/>
    <w:uiPriority w:val="99"/>
    <w:semiHidden/>
    <w:rsid w:val="00D86017"/>
    <w:rPr>
      <w:rFonts w:ascii="ＭＳ 明朝" w:eastAsia="ＭＳ 明朝" w:hAnsi="Century" w:cs="Times New Roman"/>
      <w:b/>
      <w:bCs/>
      <w:szCs w:val="20"/>
    </w:rPr>
  </w:style>
  <w:style w:type="paragraph" w:styleId="Web">
    <w:name w:val="Normal (Web)"/>
    <w:basedOn w:val="a"/>
    <w:uiPriority w:val="99"/>
    <w:semiHidden/>
    <w:unhideWhenUsed/>
    <w:rsid w:val="00EA4CC2"/>
    <w:rPr>
      <w:rFonts w:ascii="Times New Roman" w:hAnsi="Times New Roman"/>
      <w:sz w:val="24"/>
      <w:szCs w:val="24"/>
    </w:rPr>
  </w:style>
  <w:style w:type="character" w:styleId="af6">
    <w:name w:val="Strong"/>
    <w:basedOn w:val="a0"/>
    <w:uiPriority w:val="22"/>
    <w:qFormat/>
    <w:rsid w:val="00CA3083"/>
    <w:rPr>
      <w:b/>
      <w:bCs/>
    </w:rPr>
  </w:style>
  <w:style w:type="paragraph" w:styleId="af7">
    <w:name w:val="Revision"/>
    <w:hidden/>
    <w:uiPriority w:val="99"/>
    <w:semiHidden/>
    <w:rsid w:val="001731BA"/>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2141">
      <w:bodyDiv w:val="1"/>
      <w:marLeft w:val="0"/>
      <w:marRight w:val="0"/>
      <w:marTop w:val="0"/>
      <w:marBottom w:val="0"/>
      <w:divBdr>
        <w:top w:val="none" w:sz="0" w:space="0" w:color="auto"/>
        <w:left w:val="none" w:sz="0" w:space="0" w:color="auto"/>
        <w:bottom w:val="none" w:sz="0" w:space="0" w:color="auto"/>
        <w:right w:val="none" w:sz="0" w:space="0" w:color="auto"/>
      </w:divBdr>
    </w:div>
    <w:div w:id="73163565">
      <w:bodyDiv w:val="1"/>
      <w:marLeft w:val="0"/>
      <w:marRight w:val="0"/>
      <w:marTop w:val="0"/>
      <w:marBottom w:val="0"/>
      <w:divBdr>
        <w:top w:val="none" w:sz="0" w:space="0" w:color="auto"/>
        <w:left w:val="none" w:sz="0" w:space="0" w:color="auto"/>
        <w:bottom w:val="none" w:sz="0" w:space="0" w:color="auto"/>
        <w:right w:val="none" w:sz="0" w:space="0" w:color="auto"/>
      </w:divBdr>
    </w:div>
    <w:div w:id="92021861">
      <w:bodyDiv w:val="1"/>
      <w:marLeft w:val="0"/>
      <w:marRight w:val="0"/>
      <w:marTop w:val="0"/>
      <w:marBottom w:val="0"/>
      <w:divBdr>
        <w:top w:val="none" w:sz="0" w:space="0" w:color="auto"/>
        <w:left w:val="none" w:sz="0" w:space="0" w:color="auto"/>
        <w:bottom w:val="none" w:sz="0" w:space="0" w:color="auto"/>
        <w:right w:val="none" w:sz="0" w:space="0" w:color="auto"/>
      </w:divBdr>
    </w:div>
    <w:div w:id="151147335">
      <w:bodyDiv w:val="1"/>
      <w:marLeft w:val="0"/>
      <w:marRight w:val="0"/>
      <w:marTop w:val="0"/>
      <w:marBottom w:val="0"/>
      <w:divBdr>
        <w:top w:val="none" w:sz="0" w:space="0" w:color="auto"/>
        <w:left w:val="none" w:sz="0" w:space="0" w:color="auto"/>
        <w:bottom w:val="none" w:sz="0" w:space="0" w:color="auto"/>
        <w:right w:val="none" w:sz="0" w:space="0" w:color="auto"/>
      </w:divBdr>
    </w:div>
    <w:div w:id="542181778">
      <w:bodyDiv w:val="1"/>
      <w:marLeft w:val="0"/>
      <w:marRight w:val="0"/>
      <w:marTop w:val="0"/>
      <w:marBottom w:val="0"/>
      <w:divBdr>
        <w:top w:val="none" w:sz="0" w:space="0" w:color="auto"/>
        <w:left w:val="none" w:sz="0" w:space="0" w:color="auto"/>
        <w:bottom w:val="none" w:sz="0" w:space="0" w:color="auto"/>
        <w:right w:val="none" w:sz="0" w:space="0" w:color="auto"/>
      </w:divBdr>
    </w:div>
    <w:div w:id="550459326">
      <w:bodyDiv w:val="1"/>
      <w:marLeft w:val="0"/>
      <w:marRight w:val="0"/>
      <w:marTop w:val="0"/>
      <w:marBottom w:val="0"/>
      <w:divBdr>
        <w:top w:val="none" w:sz="0" w:space="0" w:color="auto"/>
        <w:left w:val="none" w:sz="0" w:space="0" w:color="auto"/>
        <w:bottom w:val="none" w:sz="0" w:space="0" w:color="auto"/>
        <w:right w:val="none" w:sz="0" w:space="0" w:color="auto"/>
      </w:divBdr>
    </w:div>
    <w:div w:id="588540182">
      <w:bodyDiv w:val="1"/>
      <w:marLeft w:val="0"/>
      <w:marRight w:val="0"/>
      <w:marTop w:val="0"/>
      <w:marBottom w:val="0"/>
      <w:divBdr>
        <w:top w:val="none" w:sz="0" w:space="0" w:color="auto"/>
        <w:left w:val="none" w:sz="0" w:space="0" w:color="auto"/>
        <w:bottom w:val="none" w:sz="0" w:space="0" w:color="auto"/>
        <w:right w:val="none" w:sz="0" w:space="0" w:color="auto"/>
      </w:divBdr>
    </w:div>
    <w:div w:id="596787510">
      <w:bodyDiv w:val="1"/>
      <w:marLeft w:val="0"/>
      <w:marRight w:val="0"/>
      <w:marTop w:val="0"/>
      <w:marBottom w:val="0"/>
      <w:divBdr>
        <w:top w:val="none" w:sz="0" w:space="0" w:color="auto"/>
        <w:left w:val="none" w:sz="0" w:space="0" w:color="auto"/>
        <w:bottom w:val="none" w:sz="0" w:space="0" w:color="auto"/>
        <w:right w:val="none" w:sz="0" w:space="0" w:color="auto"/>
      </w:divBdr>
    </w:div>
    <w:div w:id="647247089">
      <w:bodyDiv w:val="1"/>
      <w:marLeft w:val="0"/>
      <w:marRight w:val="0"/>
      <w:marTop w:val="0"/>
      <w:marBottom w:val="0"/>
      <w:divBdr>
        <w:top w:val="none" w:sz="0" w:space="0" w:color="auto"/>
        <w:left w:val="none" w:sz="0" w:space="0" w:color="auto"/>
        <w:bottom w:val="none" w:sz="0" w:space="0" w:color="auto"/>
        <w:right w:val="none" w:sz="0" w:space="0" w:color="auto"/>
      </w:divBdr>
    </w:div>
    <w:div w:id="838159090">
      <w:bodyDiv w:val="1"/>
      <w:marLeft w:val="0"/>
      <w:marRight w:val="0"/>
      <w:marTop w:val="0"/>
      <w:marBottom w:val="0"/>
      <w:divBdr>
        <w:top w:val="none" w:sz="0" w:space="0" w:color="auto"/>
        <w:left w:val="none" w:sz="0" w:space="0" w:color="auto"/>
        <w:bottom w:val="none" w:sz="0" w:space="0" w:color="auto"/>
        <w:right w:val="none" w:sz="0" w:space="0" w:color="auto"/>
      </w:divBdr>
    </w:div>
    <w:div w:id="961886219">
      <w:bodyDiv w:val="1"/>
      <w:marLeft w:val="0"/>
      <w:marRight w:val="0"/>
      <w:marTop w:val="0"/>
      <w:marBottom w:val="0"/>
      <w:divBdr>
        <w:top w:val="none" w:sz="0" w:space="0" w:color="auto"/>
        <w:left w:val="none" w:sz="0" w:space="0" w:color="auto"/>
        <w:bottom w:val="none" w:sz="0" w:space="0" w:color="auto"/>
        <w:right w:val="none" w:sz="0" w:space="0" w:color="auto"/>
      </w:divBdr>
    </w:div>
    <w:div w:id="981078897">
      <w:bodyDiv w:val="1"/>
      <w:marLeft w:val="0"/>
      <w:marRight w:val="0"/>
      <w:marTop w:val="0"/>
      <w:marBottom w:val="0"/>
      <w:divBdr>
        <w:top w:val="none" w:sz="0" w:space="0" w:color="auto"/>
        <w:left w:val="none" w:sz="0" w:space="0" w:color="auto"/>
        <w:bottom w:val="none" w:sz="0" w:space="0" w:color="auto"/>
        <w:right w:val="none" w:sz="0" w:space="0" w:color="auto"/>
      </w:divBdr>
    </w:div>
    <w:div w:id="986661866">
      <w:bodyDiv w:val="1"/>
      <w:marLeft w:val="0"/>
      <w:marRight w:val="0"/>
      <w:marTop w:val="0"/>
      <w:marBottom w:val="0"/>
      <w:divBdr>
        <w:top w:val="none" w:sz="0" w:space="0" w:color="auto"/>
        <w:left w:val="none" w:sz="0" w:space="0" w:color="auto"/>
        <w:bottom w:val="none" w:sz="0" w:space="0" w:color="auto"/>
        <w:right w:val="none" w:sz="0" w:space="0" w:color="auto"/>
      </w:divBdr>
    </w:div>
    <w:div w:id="993996078">
      <w:bodyDiv w:val="1"/>
      <w:marLeft w:val="0"/>
      <w:marRight w:val="0"/>
      <w:marTop w:val="0"/>
      <w:marBottom w:val="0"/>
      <w:divBdr>
        <w:top w:val="none" w:sz="0" w:space="0" w:color="auto"/>
        <w:left w:val="none" w:sz="0" w:space="0" w:color="auto"/>
        <w:bottom w:val="none" w:sz="0" w:space="0" w:color="auto"/>
        <w:right w:val="none" w:sz="0" w:space="0" w:color="auto"/>
      </w:divBdr>
    </w:div>
    <w:div w:id="1157452709">
      <w:bodyDiv w:val="1"/>
      <w:marLeft w:val="0"/>
      <w:marRight w:val="0"/>
      <w:marTop w:val="0"/>
      <w:marBottom w:val="0"/>
      <w:divBdr>
        <w:top w:val="none" w:sz="0" w:space="0" w:color="auto"/>
        <w:left w:val="none" w:sz="0" w:space="0" w:color="auto"/>
        <w:bottom w:val="none" w:sz="0" w:space="0" w:color="auto"/>
        <w:right w:val="none" w:sz="0" w:space="0" w:color="auto"/>
      </w:divBdr>
    </w:div>
    <w:div w:id="1278025427">
      <w:bodyDiv w:val="1"/>
      <w:marLeft w:val="0"/>
      <w:marRight w:val="0"/>
      <w:marTop w:val="0"/>
      <w:marBottom w:val="0"/>
      <w:divBdr>
        <w:top w:val="none" w:sz="0" w:space="0" w:color="auto"/>
        <w:left w:val="none" w:sz="0" w:space="0" w:color="auto"/>
        <w:bottom w:val="none" w:sz="0" w:space="0" w:color="auto"/>
        <w:right w:val="none" w:sz="0" w:space="0" w:color="auto"/>
      </w:divBdr>
    </w:div>
    <w:div w:id="1315643975">
      <w:bodyDiv w:val="1"/>
      <w:marLeft w:val="0"/>
      <w:marRight w:val="0"/>
      <w:marTop w:val="0"/>
      <w:marBottom w:val="0"/>
      <w:divBdr>
        <w:top w:val="none" w:sz="0" w:space="0" w:color="auto"/>
        <w:left w:val="none" w:sz="0" w:space="0" w:color="auto"/>
        <w:bottom w:val="none" w:sz="0" w:space="0" w:color="auto"/>
        <w:right w:val="none" w:sz="0" w:space="0" w:color="auto"/>
      </w:divBdr>
    </w:div>
    <w:div w:id="1331716652">
      <w:bodyDiv w:val="1"/>
      <w:marLeft w:val="0"/>
      <w:marRight w:val="0"/>
      <w:marTop w:val="0"/>
      <w:marBottom w:val="0"/>
      <w:divBdr>
        <w:top w:val="none" w:sz="0" w:space="0" w:color="auto"/>
        <w:left w:val="none" w:sz="0" w:space="0" w:color="auto"/>
        <w:bottom w:val="none" w:sz="0" w:space="0" w:color="auto"/>
        <w:right w:val="none" w:sz="0" w:space="0" w:color="auto"/>
      </w:divBdr>
    </w:div>
    <w:div w:id="1418550041">
      <w:bodyDiv w:val="1"/>
      <w:marLeft w:val="0"/>
      <w:marRight w:val="0"/>
      <w:marTop w:val="0"/>
      <w:marBottom w:val="0"/>
      <w:divBdr>
        <w:top w:val="none" w:sz="0" w:space="0" w:color="auto"/>
        <w:left w:val="none" w:sz="0" w:space="0" w:color="auto"/>
        <w:bottom w:val="none" w:sz="0" w:space="0" w:color="auto"/>
        <w:right w:val="none" w:sz="0" w:space="0" w:color="auto"/>
      </w:divBdr>
    </w:div>
    <w:div w:id="1440098185">
      <w:bodyDiv w:val="1"/>
      <w:marLeft w:val="0"/>
      <w:marRight w:val="0"/>
      <w:marTop w:val="0"/>
      <w:marBottom w:val="0"/>
      <w:divBdr>
        <w:top w:val="none" w:sz="0" w:space="0" w:color="auto"/>
        <w:left w:val="none" w:sz="0" w:space="0" w:color="auto"/>
        <w:bottom w:val="none" w:sz="0" w:space="0" w:color="auto"/>
        <w:right w:val="none" w:sz="0" w:space="0" w:color="auto"/>
      </w:divBdr>
    </w:div>
    <w:div w:id="1565797038">
      <w:bodyDiv w:val="1"/>
      <w:marLeft w:val="0"/>
      <w:marRight w:val="0"/>
      <w:marTop w:val="0"/>
      <w:marBottom w:val="0"/>
      <w:divBdr>
        <w:top w:val="none" w:sz="0" w:space="0" w:color="auto"/>
        <w:left w:val="none" w:sz="0" w:space="0" w:color="auto"/>
        <w:bottom w:val="none" w:sz="0" w:space="0" w:color="auto"/>
        <w:right w:val="none" w:sz="0" w:space="0" w:color="auto"/>
      </w:divBdr>
    </w:div>
    <w:div w:id="1579094249">
      <w:bodyDiv w:val="1"/>
      <w:marLeft w:val="0"/>
      <w:marRight w:val="0"/>
      <w:marTop w:val="0"/>
      <w:marBottom w:val="0"/>
      <w:divBdr>
        <w:top w:val="none" w:sz="0" w:space="0" w:color="auto"/>
        <w:left w:val="none" w:sz="0" w:space="0" w:color="auto"/>
        <w:bottom w:val="none" w:sz="0" w:space="0" w:color="auto"/>
        <w:right w:val="none" w:sz="0" w:space="0" w:color="auto"/>
      </w:divBdr>
    </w:div>
    <w:div w:id="1584340518">
      <w:bodyDiv w:val="1"/>
      <w:marLeft w:val="0"/>
      <w:marRight w:val="0"/>
      <w:marTop w:val="0"/>
      <w:marBottom w:val="0"/>
      <w:divBdr>
        <w:top w:val="none" w:sz="0" w:space="0" w:color="auto"/>
        <w:left w:val="none" w:sz="0" w:space="0" w:color="auto"/>
        <w:bottom w:val="none" w:sz="0" w:space="0" w:color="auto"/>
        <w:right w:val="none" w:sz="0" w:space="0" w:color="auto"/>
      </w:divBdr>
    </w:div>
    <w:div w:id="1608660617">
      <w:bodyDiv w:val="1"/>
      <w:marLeft w:val="0"/>
      <w:marRight w:val="0"/>
      <w:marTop w:val="0"/>
      <w:marBottom w:val="0"/>
      <w:divBdr>
        <w:top w:val="none" w:sz="0" w:space="0" w:color="auto"/>
        <w:left w:val="none" w:sz="0" w:space="0" w:color="auto"/>
        <w:bottom w:val="none" w:sz="0" w:space="0" w:color="auto"/>
        <w:right w:val="none" w:sz="0" w:space="0" w:color="auto"/>
      </w:divBdr>
    </w:div>
    <w:div w:id="1699309045">
      <w:bodyDiv w:val="1"/>
      <w:marLeft w:val="0"/>
      <w:marRight w:val="0"/>
      <w:marTop w:val="0"/>
      <w:marBottom w:val="0"/>
      <w:divBdr>
        <w:top w:val="none" w:sz="0" w:space="0" w:color="auto"/>
        <w:left w:val="none" w:sz="0" w:space="0" w:color="auto"/>
        <w:bottom w:val="none" w:sz="0" w:space="0" w:color="auto"/>
        <w:right w:val="none" w:sz="0" w:space="0" w:color="auto"/>
      </w:divBdr>
    </w:div>
    <w:div w:id="1754159909">
      <w:bodyDiv w:val="1"/>
      <w:marLeft w:val="0"/>
      <w:marRight w:val="0"/>
      <w:marTop w:val="0"/>
      <w:marBottom w:val="0"/>
      <w:divBdr>
        <w:top w:val="none" w:sz="0" w:space="0" w:color="auto"/>
        <w:left w:val="none" w:sz="0" w:space="0" w:color="auto"/>
        <w:bottom w:val="none" w:sz="0" w:space="0" w:color="auto"/>
        <w:right w:val="none" w:sz="0" w:space="0" w:color="auto"/>
      </w:divBdr>
    </w:div>
    <w:div w:id="1932081583">
      <w:bodyDiv w:val="1"/>
      <w:marLeft w:val="0"/>
      <w:marRight w:val="0"/>
      <w:marTop w:val="0"/>
      <w:marBottom w:val="0"/>
      <w:divBdr>
        <w:top w:val="none" w:sz="0" w:space="0" w:color="auto"/>
        <w:left w:val="none" w:sz="0" w:space="0" w:color="auto"/>
        <w:bottom w:val="none" w:sz="0" w:space="0" w:color="auto"/>
        <w:right w:val="none" w:sz="0" w:space="0" w:color="auto"/>
      </w:divBdr>
    </w:div>
    <w:div w:id="2080050656">
      <w:bodyDiv w:val="1"/>
      <w:marLeft w:val="0"/>
      <w:marRight w:val="0"/>
      <w:marTop w:val="0"/>
      <w:marBottom w:val="0"/>
      <w:divBdr>
        <w:top w:val="none" w:sz="0" w:space="0" w:color="auto"/>
        <w:left w:val="none" w:sz="0" w:space="0" w:color="auto"/>
        <w:bottom w:val="none" w:sz="0" w:space="0" w:color="auto"/>
        <w:right w:val="none" w:sz="0" w:space="0" w:color="auto"/>
      </w:divBdr>
    </w:div>
    <w:div w:id="2109809796">
      <w:bodyDiv w:val="1"/>
      <w:marLeft w:val="0"/>
      <w:marRight w:val="0"/>
      <w:marTop w:val="0"/>
      <w:marBottom w:val="0"/>
      <w:divBdr>
        <w:top w:val="none" w:sz="0" w:space="0" w:color="auto"/>
        <w:left w:val="none" w:sz="0" w:space="0" w:color="auto"/>
        <w:bottom w:val="none" w:sz="0" w:space="0" w:color="auto"/>
        <w:right w:val="none" w:sz="0" w:space="0" w:color="auto"/>
      </w:divBdr>
    </w:div>
    <w:div w:id="21100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44EC-CF63-41AA-9747-E73080EC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2025-03-31T07:45:00Z</dcterms:created>
  <dcterms:modified xsi:type="dcterms:W3CDTF">2025-03-31T07:45:00Z</dcterms:modified>
</cp:coreProperties>
</file>