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DE123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Content>
        <w:p w14:paraId="7DBDE124" w14:textId="27F5773F" w:rsidR="00F5255D" w:rsidRPr="0071451A" w:rsidRDefault="00E26124" w:rsidP="00E26124">
          <w:pPr>
            <w:jc w:val="center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AB6D9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to </w:t>
          </w:r>
          <w:r w:rsidR="008054C7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PatientSafe</w:t>
          </w:r>
          <w:r w:rsidR="00992D1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ORU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Content>
        <w:p w14:paraId="7DBDE125" w14:textId="7C4E6F22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8E5FB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7DBDE126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bookmarkStart w:id="0" w:name="_GoBack"/>
      <w:bookmarkEnd w:id="0"/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Content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</w:p>
    <w:p w14:paraId="7DBDE127" w14:textId="1566156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D58F127C55B4A31A98C46D90AA14018"/>
          </w:placeholder>
          <w:date w:fullDate="2019-07-30T00:00:00Z">
            <w:dateFormat w:val="M/d/yyyy"/>
            <w:lid w:val="en-US"/>
            <w:storeMappedDataAs w:val="dateTime"/>
            <w:calendar w:val="gregorian"/>
          </w:date>
        </w:sdtPr>
        <w:sdtContent>
          <w:r w:rsidR="008E5FB2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E2612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</w:t>
          </w:r>
          <w:r w:rsidR="008E5FB2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30</w:t>
          </w:r>
          <w:r w:rsidR="008054C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/2019</w:t>
          </w:r>
        </w:sdtContent>
      </w:sdt>
    </w:p>
    <w:p w14:paraId="7DBDE128" w14:textId="77777777" w:rsidR="00982A41" w:rsidRDefault="00982A41">
      <w:r>
        <w:br w:type="page"/>
      </w:r>
    </w:p>
    <w:p w14:paraId="38E56A42" w14:textId="1A19073C" w:rsidR="003A6F28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5370072" w:history="1">
        <w:r w:rsidR="003A6F28" w:rsidRPr="00272F42">
          <w:rPr>
            <w:rStyle w:val="Hyperlink"/>
          </w:rPr>
          <w:t>Document Control</w:t>
        </w:r>
        <w:r w:rsidR="003A6F28">
          <w:rPr>
            <w:webHidden/>
          </w:rPr>
          <w:tab/>
        </w:r>
        <w:r w:rsidR="003A6F28">
          <w:rPr>
            <w:webHidden/>
          </w:rPr>
          <w:fldChar w:fldCharType="begin"/>
        </w:r>
        <w:r w:rsidR="003A6F28">
          <w:rPr>
            <w:webHidden/>
          </w:rPr>
          <w:instrText xml:space="preserve"> PAGEREF _Toc15370072 \h </w:instrText>
        </w:r>
        <w:r w:rsidR="003A6F28">
          <w:rPr>
            <w:webHidden/>
          </w:rPr>
        </w:r>
        <w:r w:rsidR="003A6F28">
          <w:rPr>
            <w:webHidden/>
          </w:rPr>
          <w:fldChar w:fldCharType="separate"/>
        </w:r>
        <w:r w:rsidR="003A6F28">
          <w:rPr>
            <w:webHidden/>
          </w:rPr>
          <w:t>3</w:t>
        </w:r>
        <w:r w:rsidR="003A6F28">
          <w:rPr>
            <w:webHidden/>
          </w:rPr>
          <w:fldChar w:fldCharType="end"/>
        </w:r>
      </w:hyperlink>
    </w:p>
    <w:p w14:paraId="542A346D" w14:textId="08BC81F8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73" w:history="1">
        <w:r w:rsidRPr="00272F42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2A1A41" w14:textId="55D44237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74" w:history="1">
        <w:r w:rsidRPr="00272F42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3E1597" w14:textId="5C7C6275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75" w:history="1">
        <w:r w:rsidRPr="00272F42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F23EF" w14:textId="1150BC06" w:rsidR="003A6F28" w:rsidRDefault="003A6F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0076" w:history="1">
        <w:r w:rsidRPr="00272F42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A27F1C" w14:textId="335A6E97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77" w:history="1">
        <w:r w:rsidRPr="00272F42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F3359B" w14:textId="0A74C54B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78" w:history="1">
        <w:r w:rsidRPr="00272F42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5C4C61" w14:textId="04830BEE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79" w:history="1">
        <w:r w:rsidRPr="00272F42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EB139C" w14:textId="026851DA" w:rsidR="003A6F28" w:rsidRDefault="003A6F2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0080" w:history="1">
        <w:r w:rsidRPr="00272F42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5C1080" w14:textId="6A40DE3D" w:rsidR="003A6F28" w:rsidRDefault="003A6F2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0081" w:history="1">
        <w:r w:rsidRPr="00272F42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F1ED9F" w14:textId="145FE6E9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82" w:history="1">
        <w:r w:rsidRPr="00272F42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35AE8C" w14:textId="68F6A03E" w:rsidR="003A6F28" w:rsidRDefault="003A6F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0083" w:history="1">
        <w:r w:rsidRPr="00272F42">
          <w:rPr>
            <w:rStyle w:val="Hyperlink"/>
          </w:rPr>
          <w:t>2.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2761D22" w14:textId="3CA2DC1F" w:rsidR="003A6F28" w:rsidRDefault="003A6F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0084" w:history="1">
        <w:r w:rsidRPr="00272F42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4866E3" w14:textId="170905F8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85" w:history="1">
        <w:r w:rsidRPr="00272F42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9FDB86" w14:textId="5FE8AB8E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86" w:history="1">
        <w:r w:rsidRPr="00272F42">
          <w:rPr>
            <w:rStyle w:val="Hyperlink"/>
            <w:rFonts w:cs="Arial"/>
            <w:noProof/>
          </w:rPr>
          <w:t>3.2    Non-Functional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B55AFA" w14:textId="0E00716D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87" w:history="1">
        <w:r w:rsidRPr="00272F42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70049C" w14:textId="69EC66FE" w:rsidR="003A6F28" w:rsidRDefault="003A6F2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0088" w:history="1">
        <w:r w:rsidRPr="00272F42">
          <w:rPr>
            <w:rStyle w:val="Hyperlink"/>
          </w:rPr>
          <w:t>3.3.1    Inbound to the BayCare Cloverleaf From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F6D9BB4" w14:textId="2295F40D" w:rsidR="003A6F28" w:rsidRDefault="003A6F2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0089" w:history="1">
        <w:r w:rsidRPr="00272F42">
          <w:rPr>
            <w:rStyle w:val="Hyperlink"/>
          </w:rPr>
          <w:t>3.3.2    Outbound to PatientSafe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AFB29BA" w14:textId="52FC6149" w:rsidR="003A6F28" w:rsidRDefault="003A6F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0090" w:history="1">
        <w:r w:rsidRPr="00272F42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07C762C" w14:textId="1F3F1F79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91" w:history="1">
        <w:r w:rsidRPr="00272F42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CE5944" w14:textId="53F3EA51" w:rsidR="003A6F28" w:rsidRDefault="003A6F2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0092" w:history="1">
        <w:r w:rsidRPr="00272F42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4435308" w14:textId="543C2AE0" w:rsidR="003A6F28" w:rsidRDefault="003A6F2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0093" w:history="1">
        <w:r w:rsidRPr="00272F42">
          <w:rPr>
            <w:rStyle w:val="Hyperlink"/>
          </w:rPr>
          <w:t>4.1</w:t>
        </w:r>
        <w:r w:rsidRPr="00272F42">
          <w:rPr>
            <w:rStyle w:val="Hyperlink"/>
            <w:i/>
          </w:rPr>
          <w:t>.</w:t>
        </w:r>
        <w:r w:rsidRPr="00272F42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5D51EC4" w14:textId="79CB3713" w:rsidR="003A6F28" w:rsidRDefault="003A6F2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0094" w:history="1">
        <w:r w:rsidRPr="00272F42">
          <w:rPr>
            <w:rStyle w:val="Hyperlink"/>
          </w:rPr>
          <w:t>4.1</w:t>
        </w:r>
        <w:r w:rsidRPr="00272F42">
          <w:rPr>
            <w:rStyle w:val="Hyperlink"/>
            <w:i/>
          </w:rPr>
          <w:t>.</w:t>
        </w:r>
        <w:r w:rsidRPr="00272F42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C0A1C44" w14:textId="687B89D5" w:rsidR="003A6F28" w:rsidRDefault="003A6F2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0095" w:history="1">
        <w:r w:rsidRPr="00272F42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AEB5F74" w14:textId="6887109F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96" w:history="1">
        <w:r w:rsidRPr="00272F42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9BDA2" w14:textId="38970CBE" w:rsidR="003A6F28" w:rsidRDefault="003A6F2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0097" w:history="1">
        <w:r w:rsidRPr="00272F42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ACB72F" w14:textId="43A76EF2" w:rsidR="003A6F28" w:rsidRDefault="003A6F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0098" w:history="1">
        <w:r w:rsidRPr="00272F42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EFC5CEA" w14:textId="039C7C37" w:rsidR="003A6F28" w:rsidRDefault="003A6F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0099" w:history="1">
        <w:r w:rsidRPr="00272F42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_Toc15370099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DBDE145" w14:textId="759A3B64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DBDE14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537007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DBDE147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1537007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7DBDE14B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8" w14:textId="77777777" w:rsidR="00004732" w:rsidRPr="00FB14A7" w:rsidRDefault="00004732" w:rsidP="00CC2E3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9" w14:textId="77777777" w:rsidR="00004732" w:rsidRPr="00FB14A7" w:rsidRDefault="00004732" w:rsidP="00CC2E3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A" w14:textId="77777777" w:rsidR="00004732" w:rsidRPr="00FB14A7" w:rsidRDefault="00004732" w:rsidP="00CC2E3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7DBDE14F" w14:textId="77777777" w:rsidTr="00CC2E3F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4C" w14:textId="2C488BBA" w:rsidR="00516603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Derek Richae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D3B4D" w14:textId="17167417" w:rsidR="001D3834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Innovation Analyst</w:t>
            </w:r>
          </w:p>
          <w:p w14:paraId="7DBDE14D" w14:textId="2F3A7A29" w:rsidR="00516603" w:rsidRPr="00FB14A7" w:rsidRDefault="00AB6D9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Manager, BayCare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4E" w14:textId="6882C80C" w:rsidR="00516603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Derek.Richae 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baycare.org</w:t>
            </w:r>
          </w:p>
        </w:tc>
      </w:tr>
      <w:tr w:rsidR="00CC2E3F" w:rsidRPr="00FB14A7" w14:paraId="3946A837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3463C" w14:textId="7C1F67DF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Blake Basquin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E661A" w14:textId="77777777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Senior Project Manager</w:t>
            </w:r>
          </w:p>
          <w:p w14:paraId="3A6A2AAA" w14:textId="53EC8764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37E72" w14:textId="7ACA5B94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bbasquin@patientsafesolutions.com</w:t>
            </w:r>
          </w:p>
        </w:tc>
      </w:tr>
      <w:tr w:rsidR="00004732" w:rsidRPr="00FB14A7" w14:paraId="7DBDE154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0" w14:textId="79600688" w:rsidR="00FB2ABC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Sean Payne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1" w14:textId="2ED2E5A6" w:rsidR="00FB2ABC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Principal Software Solutions Engineer</w:t>
            </w:r>
          </w:p>
          <w:p w14:paraId="7DBDE152" w14:textId="5708543F" w:rsidR="00004732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3" w14:textId="604719FA" w:rsidR="00004732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SPayne@patientsafesolutions.com</w:t>
            </w:r>
          </w:p>
        </w:tc>
      </w:tr>
      <w:tr w:rsidR="00516603" w:rsidRPr="00FB14A7" w14:paraId="7DBDE159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5" w14:textId="417B1F28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Urvashi Parmar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6" w14:textId="6BBEF519" w:rsidR="00FB2ABC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Associate Software Engineer</w:t>
            </w:r>
          </w:p>
          <w:p w14:paraId="7DBDE157" w14:textId="6CF51FD4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8" w14:textId="584169E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UParmar</w:t>
            </w:r>
            <w:r w:rsidR="00CD1613">
              <w:rPr>
                <w:rFonts w:asciiTheme="minorHAnsi" w:eastAsia="Times New Roman" w:hAnsiTheme="minorHAnsi" w:cs="Arial"/>
                <w:color w:val="000000"/>
                <w:sz w:val="22"/>
              </w:rPr>
              <w:t>@patientsafesolutions.com</w:t>
            </w:r>
          </w:p>
        </w:tc>
      </w:tr>
      <w:tr w:rsidR="00516603" w:rsidRPr="00FB14A7" w14:paraId="7DBDE15D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A" w14:textId="024EC162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B" w14:textId="2D27B2BC" w:rsidR="00516603" w:rsidRPr="00FB14A7" w:rsidRDefault="00AC3860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C" w14:textId="16DABEB4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Sailaja.Parimi 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DBDE161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E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F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0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516603" w:rsidRPr="00FB14A7" w14:paraId="7DBDE166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2" w14:textId="7D1A6116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 Karabasic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39E79" w14:textId="77D54FE4" w:rsidR="00CD1613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Systems Analyst </w:t>
            </w:r>
          </w:p>
          <w:p w14:paraId="7DBDE164" w14:textId="6C835F52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APPS – DOCUMENTATION/ORDERS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5" w14:textId="53DD99EB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Vanja.Karabasic @baycare.org</w:t>
            </w:r>
          </w:p>
        </w:tc>
      </w:tr>
      <w:tr w:rsidR="00516603" w:rsidRPr="00FB14A7" w14:paraId="7DBDE16B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7" w14:textId="37DB42DA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Janet Dowell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8" w14:textId="680CFF51" w:rsidR="00A360DE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 – DEPT SPEC</w:t>
            </w:r>
          </w:p>
          <w:p w14:paraId="7DBDE169" w14:textId="77777777" w:rsidR="00516603" w:rsidRPr="00A360DE" w:rsidRDefault="00A360DE" w:rsidP="00CC2E3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LAB COMPUTER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A" w14:textId="4952CD25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Janet.Dowell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DBDE170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C" w14:textId="2D252CC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Pattie D. Cone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D" w14:textId="68F9AE36" w:rsidR="00A360DE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IT Lead - CBO</w:t>
            </w:r>
          </w:p>
          <w:p w14:paraId="7DBDE16E" w14:textId="3FB3BA82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CBO MANAGEMENT SUPPORT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F" w14:textId="07D3D56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Patricia.Cone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</w:tbl>
    <w:p w14:paraId="7DBDE171" w14:textId="37911362" w:rsidR="00004732" w:rsidRPr="00FB14A7" w:rsidRDefault="00CC2E3F" w:rsidP="00004732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br w:type="textWrapping" w:clear="all"/>
      </w:r>
    </w:p>
    <w:p w14:paraId="7DBDE172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537007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DBDE173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DBDE174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537007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DBDE175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DBDE17A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7DBDE17F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B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C" w14:textId="6539B24B" w:rsidR="00516603" w:rsidRPr="004E7A3E" w:rsidRDefault="007B52E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01/2</w:t>
            </w:r>
            <w:r w:rsidR="00E26124">
              <w:rPr>
                <w:rFonts w:asciiTheme="minorHAnsi" w:eastAsia="Times New Roman" w:hAnsiTheme="minorHAnsi" w:cs="Arial"/>
                <w:color w:val="000000"/>
                <w:sz w:val="22"/>
              </w:rPr>
              <w:t>8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D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E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7DBDE18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0" w14:textId="771118CC" w:rsidR="00516603" w:rsidRPr="00CF2307" w:rsidRDefault="005D373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1" w14:textId="498AC892" w:rsidR="00516603" w:rsidRDefault="005D373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07/30/2019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2" w14:textId="31332D5C" w:rsidR="00516603" w:rsidRDefault="005D373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  <w:r w:rsidR="008E5FB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&amp; 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3" w14:textId="12B2AD0B" w:rsidR="00516603" w:rsidRDefault="005D373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document for Cerner Model</w:t>
            </w:r>
          </w:p>
        </w:tc>
      </w:tr>
      <w:tr w:rsidR="00516603" w:rsidRPr="004E7A3E" w14:paraId="7DBDE18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5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6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7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8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DBDE18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A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B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C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D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DBDE18F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DBDE190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537007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DBDE191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53700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Content>
        <w:p w14:paraId="7DBDE192" w14:textId="2DD35026" w:rsidR="00F315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992D1B">
            <w:rPr>
              <w:rFonts w:asciiTheme="minorHAnsi" w:hAnsiTheme="minorHAnsi" w:cs="Arial"/>
              <w:i w:val="0"/>
            </w:rPr>
            <w:t>ORU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going from </w:t>
          </w:r>
          <w:r w:rsidR="00E26124">
            <w:rPr>
              <w:rFonts w:asciiTheme="minorHAnsi" w:hAnsiTheme="minorHAnsi" w:cs="Arial"/>
              <w:i w:val="0"/>
            </w:rPr>
            <w:t>Cerner EMR</w:t>
          </w:r>
          <w:r w:rsidR="00A360DE">
            <w:rPr>
              <w:rFonts w:asciiTheme="minorHAnsi" w:hAnsiTheme="minorHAnsi" w:cs="Arial"/>
              <w:i w:val="0"/>
            </w:rPr>
            <w:t xml:space="preserve"> to </w:t>
          </w:r>
          <w:r w:rsidR="009066D5">
            <w:rPr>
              <w:rFonts w:asciiTheme="minorHAnsi" w:hAnsiTheme="minorHAnsi" w:cs="Arial"/>
              <w:i w:val="0"/>
            </w:rPr>
            <w:t>PatientSafe</w:t>
          </w:r>
          <w:r w:rsidR="00A360DE">
            <w:rPr>
              <w:rFonts w:asciiTheme="minorHAnsi" w:hAnsiTheme="minorHAnsi" w:cs="Arial"/>
              <w:i w:val="0"/>
            </w:rPr>
            <w:t xml:space="preserve"> Solutions</w:t>
          </w:r>
          <w:r w:rsidR="00F31518">
            <w:rPr>
              <w:rFonts w:asciiTheme="minorHAnsi" w:hAnsiTheme="minorHAnsi" w:cs="Arial"/>
              <w:i w:val="0"/>
            </w:rPr>
            <w:t xml:space="preserve">. </w:t>
          </w:r>
        </w:p>
        <w:p w14:paraId="275E50BD" w14:textId="1EBFB68D" w:rsidR="009066D5" w:rsidRDefault="009066D5" w:rsidP="00B46568">
          <w:pPr>
            <w:pStyle w:val="template"/>
            <w:rPr>
              <w:rFonts w:asciiTheme="minorHAnsi" w:hAnsiTheme="minorHAnsi" w:cs="Arial"/>
              <w:i w:val="0"/>
            </w:rPr>
          </w:pPr>
          <w:r w:rsidRPr="009066D5">
            <w:rPr>
              <w:rFonts w:asciiTheme="minorHAnsi" w:hAnsiTheme="minorHAnsi" w:cs="Arial"/>
              <w:b/>
              <w:i w:val="0"/>
            </w:rPr>
            <w:t>PatientTouch</w:t>
          </w:r>
          <w:r w:rsidR="00A360DE">
            <w:rPr>
              <w:rFonts w:asciiTheme="minorHAnsi" w:hAnsiTheme="minorHAnsi" w:cs="Arial"/>
              <w:i w:val="0"/>
            </w:rPr>
            <w:t xml:space="preserve"> is a </w:t>
          </w:r>
          <w:r>
            <w:rPr>
              <w:rFonts w:asciiTheme="minorHAnsi" w:hAnsiTheme="minorHAnsi" w:cs="Arial"/>
              <w:i w:val="0"/>
            </w:rPr>
            <w:t>PatientSafe</w:t>
          </w:r>
          <w:r w:rsidR="00F31518">
            <w:rPr>
              <w:rFonts w:asciiTheme="minorHAnsi" w:hAnsiTheme="minorHAnsi" w:cs="Arial"/>
              <w:i w:val="0"/>
            </w:rPr>
            <w:t xml:space="preserve"> application </w:t>
          </w:r>
          <w:r w:rsidR="00A360DE">
            <w:rPr>
              <w:rFonts w:asciiTheme="minorHAnsi" w:hAnsiTheme="minorHAnsi" w:cs="Arial"/>
              <w:i w:val="0"/>
            </w:rPr>
            <w:t xml:space="preserve">used by </w:t>
          </w:r>
          <w:r>
            <w:rPr>
              <w:rFonts w:asciiTheme="minorHAnsi" w:hAnsiTheme="minorHAnsi" w:cs="Arial"/>
              <w:i w:val="0"/>
            </w:rPr>
            <w:t xml:space="preserve">physicians, </w:t>
          </w:r>
          <w:r w:rsidR="00A360DE">
            <w:rPr>
              <w:rFonts w:asciiTheme="minorHAnsi" w:hAnsiTheme="minorHAnsi" w:cs="Arial"/>
              <w:i w:val="0"/>
            </w:rPr>
            <w:t>nurses</w:t>
          </w:r>
          <w:r>
            <w:rPr>
              <w:rFonts w:asciiTheme="minorHAnsi" w:hAnsiTheme="minorHAnsi" w:cs="Arial"/>
              <w:i w:val="0"/>
            </w:rPr>
            <w:t>, and other clinicians</w:t>
          </w:r>
          <w:r w:rsidR="00A360DE">
            <w:rPr>
              <w:rFonts w:asciiTheme="minorHAnsi" w:hAnsiTheme="minorHAnsi" w:cs="Arial"/>
              <w:i w:val="0"/>
            </w:rPr>
            <w:t xml:space="preserve"> </w:t>
          </w:r>
          <w:r w:rsidR="00A3063D">
            <w:rPr>
              <w:rFonts w:asciiTheme="minorHAnsi" w:hAnsiTheme="minorHAnsi" w:cs="Arial"/>
              <w:i w:val="0"/>
            </w:rPr>
            <w:t xml:space="preserve">for </w:t>
          </w:r>
          <w:r>
            <w:rPr>
              <w:rFonts w:asciiTheme="minorHAnsi" w:hAnsiTheme="minorHAnsi" w:cs="Arial"/>
              <w:i w:val="0"/>
            </w:rPr>
            <w:t>collaboration in patient care</w:t>
          </w:r>
          <w:r w:rsidR="00A3063D">
            <w:rPr>
              <w:rFonts w:asciiTheme="minorHAnsi" w:hAnsiTheme="minorHAnsi" w:cs="Arial"/>
              <w:i w:val="0"/>
            </w:rPr>
            <w:t>.</w:t>
          </w:r>
          <w:r>
            <w:rPr>
              <w:rFonts w:asciiTheme="minorHAnsi" w:hAnsiTheme="minorHAnsi" w:cs="Arial"/>
              <w:i w:val="0"/>
            </w:rPr>
            <w:t xml:space="preserve"> It runs on a smartphone and </w:t>
          </w:r>
          <w:r w:rsidRPr="009066D5">
            <w:rPr>
              <w:rFonts w:asciiTheme="minorHAnsi" w:hAnsiTheme="minorHAnsi" w:cs="Arial"/>
              <w:i w:val="0"/>
            </w:rPr>
            <w:t>consolidates secure messaging, voice, alerts, and nurse calls with EMR data and clinical workflows in one mobile app on one device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</w:sdtContent>
    </w:sdt>
    <w:p w14:paraId="7DBDE193" w14:textId="684C39CD" w:rsidR="00C53B6B" w:rsidRDefault="009066D5" w:rsidP="00B46568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 </w:t>
      </w:r>
    </w:p>
    <w:p w14:paraId="7DBDE194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DBDE195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53700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7DBDE196" w14:textId="338E7381" w:rsidR="009666CA" w:rsidRPr="004E7A3E" w:rsidRDefault="00C6615D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>is to automate the int</w:t>
          </w:r>
          <w:r w:rsidR="000B6F60">
            <w:rPr>
              <w:rFonts w:asciiTheme="minorHAnsi" w:hAnsiTheme="minorHAnsi" w:cs="Arial"/>
              <w:i w:val="0"/>
            </w:rPr>
            <w:t xml:space="preserve">egration of the </w:t>
          </w:r>
          <w:r w:rsidR="009066D5">
            <w:rPr>
              <w:rFonts w:asciiTheme="minorHAnsi" w:hAnsiTheme="minorHAnsi" w:cs="Arial"/>
              <w:i w:val="0"/>
            </w:rPr>
            <w:t>PatientSafe</w:t>
          </w:r>
          <w:r w:rsidR="000B6F60">
            <w:rPr>
              <w:rFonts w:asciiTheme="minorHAnsi" w:hAnsiTheme="minorHAnsi" w:cs="Arial"/>
              <w:i w:val="0"/>
            </w:rPr>
            <w:t xml:space="preserve"> Solutions </w:t>
          </w:r>
          <w:r w:rsidR="009066D5">
            <w:rPr>
              <w:rFonts w:asciiTheme="minorHAnsi" w:hAnsiTheme="minorHAnsi" w:cs="Arial"/>
              <w:i w:val="0"/>
            </w:rPr>
            <w:t xml:space="preserve">PatientTouch </w:t>
          </w:r>
          <w:r w:rsidR="000B6F60">
            <w:rPr>
              <w:rFonts w:asciiTheme="minorHAnsi" w:hAnsiTheme="minorHAnsi" w:cs="Arial"/>
              <w:i w:val="0"/>
            </w:rPr>
            <w:t xml:space="preserve">application with the Soarian HIS via HL7 ADT interface and the Cerner EMR via HL7 </w:t>
          </w:r>
          <w:r w:rsidR="009066D5">
            <w:rPr>
              <w:rFonts w:asciiTheme="minorHAnsi" w:hAnsiTheme="minorHAnsi" w:cs="Arial"/>
              <w:i w:val="0"/>
            </w:rPr>
            <w:t>ADT</w:t>
          </w:r>
          <w:r w:rsidR="000B6F60">
            <w:rPr>
              <w:rFonts w:asciiTheme="minorHAnsi" w:hAnsiTheme="minorHAnsi" w:cs="Arial"/>
              <w:i w:val="0"/>
            </w:rPr>
            <w:t xml:space="preserve"> and Results interfaces. </w:t>
          </w:r>
          <w:r w:rsidR="00875AE3">
            <w:rPr>
              <w:rFonts w:asciiTheme="minorHAnsi" w:hAnsiTheme="minorHAnsi" w:cs="Arial"/>
              <w:i w:val="0"/>
            </w:rPr>
            <w:t xml:space="preserve">There is also integration of Orders via Sansoro API. </w:t>
          </w:r>
          <w:r w:rsidR="000B6F60" w:rsidRPr="009A6BEB">
            <w:rPr>
              <w:rFonts w:asciiTheme="minorHAnsi" w:hAnsiTheme="minorHAnsi" w:cs="Arial"/>
              <w:b/>
              <w:i w:val="0"/>
            </w:rPr>
            <w:t xml:space="preserve">The current document describes the </w:t>
          </w:r>
          <w:r w:rsidR="00992D1B">
            <w:rPr>
              <w:rFonts w:asciiTheme="minorHAnsi" w:hAnsiTheme="minorHAnsi" w:cs="Arial"/>
              <w:b/>
              <w:i w:val="0"/>
            </w:rPr>
            <w:t>ORU</w:t>
          </w:r>
          <w:r w:rsidR="000B6F60" w:rsidRPr="009A6BEB">
            <w:rPr>
              <w:rFonts w:asciiTheme="minorHAnsi" w:hAnsiTheme="minorHAnsi" w:cs="Arial"/>
              <w:b/>
              <w:i w:val="0"/>
            </w:rPr>
            <w:t xml:space="preserve"> interface</w:t>
          </w:r>
          <w:r w:rsidR="00875AE3" w:rsidRPr="009A6BEB">
            <w:rPr>
              <w:rFonts w:asciiTheme="minorHAnsi" w:hAnsiTheme="minorHAnsi" w:cs="Arial"/>
              <w:b/>
              <w:i w:val="0"/>
            </w:rPr>
            <w:t xml:space="preserve"> from </w:t>
          </w:r>
          <w:r w:rsidR="00E26124" w:rsidRPr="009A6BEB">
            <w:rPr>
              <w:rFonts w:asciiTheme="minorHAnsi" w:hAnsiTheme="minorHAnsi" w:cs="Arial"/>
              <w:b/>
              <w:i w:val="0"/>
            </w:rPr>
            <w:t>Cerner EMR</w:t>
          </w:r>
          <w:r w:rsidR="00875AE3" w:rsidRPr="009A6BEB">
            <w:rPr>
              <w:rFonts w:asciiTheme="minorHAnsi" w:hAnsiTheme="minorHAnsi" w:cs="Arial"/>
              <w:b/>
              <w:i w:val="0"/>
            </w:rPr>
            <w:t xml:space="preserve"> to PatientSafe</w:t>
          </w:r>
          <w:r w:rsidR="00E26124" w:rsidRPr="009A6BEB">
            <w:rPr>
              <w:rFonts w:asciiTheme="minorHAnsi" w:hAnsiTheme="minorHAnsi" w:cs="Arial"/>
              <w:b/>
              <w:i w:val="0"/>
            </w:rPr>
            <w:t xml:space="preserve"> for the purpose of sending patient </w:t>
          </w:r>
          <w:r w:rsidR="00992D1B">
            <w:rPr>
              <w:rFonts w:asciiTheme="minorHAnsi" w:hAnsiTheme="minorHAnsi" w:cs="Arial"/>
              <w:b/>
              <w:i w:val="0"/>
            </w:rPr>
            <w:t>lab results</w:t>
          </w:r>
          <w:r w:rsidR="00E26124" w:rsidRPr="009A6BEB">
            <w:rPr>
              <w:rFonts w:asciiTheme="minorHAnsi" w:hAnsiTheme="minorHAnsi" w:cs="Arial"/>
              <w:b/>
              <w:i w:val="0"/>
            </w:rPr>
            <w:t xml:space="preserve"> to PatientSafe</w:t>
          </w:r>
          <w:r w:rsidR="000B6F60" w:rsidRPr="009A6BEB">
            <w:rPr>
              <w:rFonts w:asciiTheme="minorHAnsi" w:hAnsiTheme="minorHAnsi" w:cs="Arial"/>
              <w:b/>
              <w:i w:val="0"/>
            </w:rPr>
            <w:t>.</w:t>
          </w:r>
        </w:sdtContent>
      </w:sdt>
    </w:p>
    <w:p w14:paraId="7DBDE197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DBDE198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DBDE19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53700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DBDE19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537008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Content>
        <w:p w14:paraId="7DBDE19B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7C2BCED6" w14:textId="77777777" w:rsidR="00BF48C9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HIS</w:t>
          </w:r>
          <w:r w:rsidR="00574D3A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Health Information System, the source and keeper of patient demographic data</w:t>
          </w:r>
        </w:p>
        <w:p w14:paraId="7DBDE19C" w14:textId="2D1B089E" w:rsidR="008F1EDB" w:rsidRPr="004E7A3E" w:rsidRDefault="00BF48C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PSS </w:t>
          </w:r>
          <w:r>
            <w:rPr>
              <w:rFonts w:asciiTheme="minorHAnsi" w:hAnsiTheme="minorHAnsi" w:cs="Arial"/>
              <w:color w:val="auto"/>
              <w:sz w:val="22"/>
            </w:rPr>
            <w:t>– PatientSafe Solutions</w:t>
          </w:r>
        </w:p>
      </w:sdtContent>
    </w:sdt>
    <w:p w14:paraId="7DBDE19D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537008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Content>
        <w:p w14:paraId="7DBDE19E" w14:textId="48C830EC" w:rsidR="008F1EDB" w:rsidRPr="004E7A3E" w:rsidRDefault="00992D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ORU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 w:rsidR="001F710C">
            <w:rPr>
              <w:rFonts w:asciiTheme="minorHAnsi" w:hAnsiTheme="minorHAnsi" w:cs="Arial"/>
              <w:color w:val="auto"/>
              <w:sz w:val="22"/>
            </w:rPr>
            <w:t xml:space="preserve">sociated </w:t>
          </w:r>
          <w:r>
            <w:rPr>
              <w:rFonts w:asciiTheme="minorHAnsi" w:hAnsiTheme="minorHAnsi" w:cs="Arial"/>
              <w:color w:val="auto"/>
              <w:sz w:val="22"/>
            </w:rPr>
            <w:t>the unsolicited transmission of an observation message</w:t>
          </w:r>
        </w:p>
      </w:sdtContent>
    </w:sdt>
    <w:p w14:paraId="7DBDE19F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53700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Content>
        <w:p w14:paraId="7DBDE1A0" w14:textId="3563125B" w:rsidR="001F710C" w:rsidRDefault="00EB3AD8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1. IP_Baycare_Workflow_101718.pdf</w:t>
          </w:r>
        </w:p>
        <w:p w14:paraId="7DBDE1A1" w14:textId="16A68DA5" w:rsidR="00235E8B" w:rsidRDefault="00EB3AD8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2. ADT Test cases.rev0-20181126</w:t>
          </w:r>
          <w:r w:rsidR="001F710C">
            <w:rPr>
              <w:rFonts w:asciiTheme="minorHAnsi" w:hAnsiTheme="minorHAnsi" w:cs="Arial"/>
              <w:i w:val="0"/>
            </w:rPr>
            <w:t>.xlsx</w:t>
          </w:r>
        </w:p>
      </w:sdtContent>
    </w:sdt>
    <w:p w14:paraId="7DBDE1A2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DBDE1A3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DBDE1A4" w14:textId="77777777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5" w:name="_Toc15370083"/>
      <w:r w:rsidRPr="004844EB">
        <w:rPr>
          <w:rFonts w:asciiTheme="minorHAnsi" w:hAnsiTheme="minorHAnsi"/>
          <w:sz w:val="28"/>
        </w:rPr>
        <w:lastRenderedPageBreak/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DF00D2" w:rsidRPr="004844EB">
        <w:rPr>
          <w:rFonts w:asciiTheme="minorHAnsi" w:hAnsiTheme="minorHAnsi"/>
          <w:sz w:val="28"/>
        </w:rPr>
        <w:t>Diagram</w:t>
      </w:r>
      <w:bookmarkEnd w:id="15"/>
    </w:p>
    <w:p w14:paraId="7DBDE1A5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Content>
        <w:p w14:paraId="7DBDE1A6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7DBDE1A7" w14:textId="5BED3120" w:rsidR="005212A4" w:rsidRDefault="001F0E7D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35828858" wp14:editId="6DF85F15">
            <wp:extent cx="6858000" cy="505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ientSafe 1-29-1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DBDE1A8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5370084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DBDE1A9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53700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DBDE1AA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Content>
        <w:p w14:paraId="7DBDE1AB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DBDE1A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1A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A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DBDE1B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B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1B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B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E5FB2" w14:paraId="53F174D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418D407" w14:textId="5CF0C49A" w:rsidR="008E5FB2" w:rsidRDefault="008E5FB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FR.2019.7.29.1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655BC3" w14:textId="77777777" w:rsidR="008E5FB2" w:rsidRDefault="008E5FB2" w:rsidP="00EB3AD8">
            <w:pPr>
              <w:spacing w:after="0" w:line="240" w:lineRule="auto"/>
              <w:rPr>
                <w:rFonts w:ascii="Calibri" w:hAnsi="Calibri" w:cs="Calibri"/>
                <w:color w:val="auto"/>
                <w:sz w:val="22"/>
              </w:rPr>
            </w:pPr>
            <w:r w:rsidRPr="008E5FB2">
              <w:rPr>
                <w:rFonts w:ascii="Calibri" w:hAnsi="Calibri" w:cs="Calibri"/>
                <w:color w:val="auto"/>
                <w:sz w:val="22"/>
              </w:rPr>
              <w:t>tpsCernerCommonCode</w:t>
            </w:r>
          </w:p>
          <w:p w14:paraId="178AD51B" w14:textId="2CE07EEC" w:rsidR="00C6615D" w:rsidRDefault="00C6615D" w:rsidP="00EB3AD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(on inbound tab)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6477A" w14:textId="0B70E17A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Setting default value of MSH.5.1 to PV1.3.7</w:t>
            </w:r>
          </w:p>
          <w:p w14:paraId="55F0E6DD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5D59A6F" w14:textId="22FEE290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 ride MSH.5 if PV1.18 =JHOUTREACH, hard code SJH to MSH.5.  If PV1.18 =WOOUTREACH, hard code WHH to MSH.5 and PV1.18 =MPOUTREACH, hard code MPH to MSH.5</w:t>
            </w:r>
          </w:p>
          <w:p w14:paraId="3E924840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CEA945F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Remove patient email from PID.11</w:t>
            </w:r>
          </w:p>
          <w:p w14:paraId="1E4AC12D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4E1ABD2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Iterate through PID.11 looking for Home address and populate just these values outbound in PID.11</w:t>
            </w:r>
          </w:p>
          <w:p w14:paraId="50897446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43E8B3A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Blank our PID.19 is SSN=999999999</w:t>
            </w:r>
          </w:p>
          <w:p w14:paraId="2E701C31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DF661C3" w14:textId="77777777" w:rsidR="008E5FB2" w:rsidRDefault="008E5FB2" w:rsidP="008E5F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Replace &amp; character with the word ‘and’ in OBR.13, OBR.27.7 and OBR.31.2.</w:t>
            </w:r>
          </w:p>
          <w:p w14:paraId="441E2801" w14:textId="77777777" w:rsidR="008E5FB2" w:rsidRDefault="008E5FB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894772" w14:paraId="7DBDE1B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1B4" w14:textId="15E7F03A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423A64">
              <w:rPr>
                <w:rFonts w:ascii="Calibri" w:eastAsia="Times New Roman" w:hAnsi="Calibri"/>
                <w:color w:val="000000"/>
                <w:sz w:val="22"/>
              </w:rPr>
              <w:t>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5CFA57" w14:textId="43F8E4FD" w:rsidR="00EB3AD8" w:rsidRDefault="008E5FB2" w:rsidP="00EB3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tpsAdvHL7Filter: </w:t>
                </w:r>
                <w:r w:rsidR="00EB3AD8">
                  <w:rPr>
                    <w:rFonts w:ascii="Calibri" w:eastAsia="Times New Roman" w:hAnsi="Calibri"/>
                    <w:color w:val="auto"/>
                    <w:sz w:val="22"/>
                  </w:rPr>
                  <w:t>For the pilot project, only send Mease Countryside Hospital patients to PatientSafe.</w:t>
                </w:r>
              </w:p>
              <w:p w14:paraId="7DBDE1B5" w14:textId="323160D8" w:rsidR="00894772" w:rsidRDefault="00894772" w:rsidP="00EB3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12CA8BA31F74D02AF7463A44A1125BE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DBDE1B8" w14:textId="14399071" w:rsidR="00F017B8" w:rsidRDefault="00EB3AD8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MCS is included in the pilot project. A Tcl advanced filter is used to only let patients from MCS hospital</w:t>
                </w:r>
                <w:r w:rsidR="001C319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go to PatientSafe in this first phase.</w:t>
                </w:r>
              </w:p>
              <w:p w14:paraId="7DBDE1B9" w14:textId="77777777" w:rsidR="00894772" w:rsidRDefault="0089477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E6FF5" w14:paraId="7DBDE1B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3CEE32C" w14:textId="77777777" w:rsidR="003E6FF5" w:rsidRDefault="00423A64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7DBDE1BB" w14:textId="25A5C6F8" w:rsidR="00702A98" w:rsidRDefault="00702A9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BC" w14:textId="6E4BFC3B" w:rsidR="003E6FF5" w:rsidRDefault="008E5FB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tpsAdvHL7Filter: </w:t>
            </w:r>
            <w:r w:rsidR="00992D1B">
              <w:rPr>
                <w:rFonts w:ascii="Calibri" w:eastAsia="Times New Roman" w:hAnsi="Calibri"/>
                <w:color w:val="auto"/>
                <w:sz w:val="22"/>
              </w:rPr>
              <w:t>Anatomic Pathology results are not in scope for this pilot phase of PatientSafe implementation</w:t>
            </w:r>
            <w:r w:rsidR="00EB3AD8">
              <w:rPr>
                <w:rFonts w:ascii="Calibri" w:eastAsia="Times New Roman" w:hAnsi="Calibri"/>
                <w:color w:val="auto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BD" w14:textId="1EDC11D2" w:rsidR="003E6FF5" w:rsidRDefault="00992D1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Lab, Microbiology, and Blood Bank results should be sent</w:t>
            </w:r>
            <w:r w:rsidR="003916E2">
              <w:rPr>
                <w:rFonts w:ascii="Calibri" w:eastAsia="Times New Roman" w:hAnsi="Calibri"/>
                <w:color w:val="auto"/>
                <w:sz w:val="22"/>
              </w:rPr>
              <w:t xml:space="preserve">. A Tcl advanced filter is used to </w:t>
            </w:r>
            <w:r>
              <w:rPr>
                <w:rFonts w:ascii="Calibri" w:eastAsia="Times New Roman" w:hAnsi="Calibri"/>
                <w:color w:val="auto"/>
                <w:sz w:val="22"/>
              </w:rPr>
              <w:t>restrict the output</w:t>
            </w:r>
            <w:r w:rsidR="003916E2">
              <w:rPr>
                <w:rFonts w:ascii="Calibri" w:eastAsia="Times New Roman" w:hAnsi="Calibri"/>
                <w:color w:val="auto"/>
                <w:sz w:val="22"/>
              </w:rPr>
              <w:t xml:space="preserve"> to PatientSafe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to those 3 activity types based on the value of </w:t>
            </w:r>
            <w:r w:rsidRPr="001F4F9B">
              <w:rPr>
                <w:rFonts w:ascii="Calibri" w:eastAsia="Times New Roman" w:hAnsi="Calibri"/>
                <w:b/>
                <w:color w:val="auto"/>
                <w:sz w:val="22"/>
              </w:rPr>
              <w:t>OBR.24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in the result message. Acceptable values </w:t>
            </w:r>
            <w:r w:rsidR="001F4F9B">
              <w:rPr>
                <w:rFonts w:ascii="Calibri" w:eastAsia="Times New Roman" w:hAnsi="Calibri"/>
                <w:color w:val="auto"/>
                <w:sz w:val="22"/>
              </w:rPr>
              <w:t xml:space="preserve">from Cerner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are: </w:t>
            </w:r>
            <w:r w:rsidRPr="001F4F9B">
              <w:rPr>
                <w:rFonts w:ascii="Calibri" w:eastAsia="Times New Roman" w:hAnsi="Calibri"/>
                <w:b/>
                <w:color w:val="auto"/>
                <w:sz w:val="22"/>
              </w:rPr>
              <w:t xml:space="preserve">Lab </w:t>
            </w:r>
            <w:r w:rsidR="001F4F9B" w:rsidRPr="001F4F9B">
              <w:rPr>
                <w:rFonts w:ascii="Calibri" w:eastAsia="Times New Roman" w:hAnsi="Calibri"/>
                <w:b/>
                <w:color w:val="auto"/>
                <w:sz w:val="22"/>
              </w:rPr>
              <w:t>Micro BB</w:t>
            </w:r>
            <w:r w:rsidR="001F4F9B">
              <w:rPr>
                <w:rFonts w:ascii="Calibri" w:eastAsia="Times New Roman" w:hAnsi="Calibri"/>
                <w:color w:val="auto"/>
                <w:sz w:val="22"/>
              </w:rPr>
              <w:t>.</w:t>
            </w:r>
            <w:r w:rsidR="009A6BEB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  <w:p w14:paraId="7DBDE1BE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8E5FB2" w14:paraId="1CD3BD1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21414C7" w14:textId="23BF9DAB" w:rsidR="008E5FB2" w:rsidRDefault="008E5FB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FR.2019.7.29.2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76E1419" w14:textId="31949C66" w:rsidR="008E5FB2" w:rsidRDefault="008E5FB2" w:rsidP="003E6FF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8E5FB2">
              <w:rPr>
                <w:rFonts w:ascii="Calibri" w:hAnsi="Calibri" w:cs="Calibri"/>
                <w:color w:val="auto"/>
                <w:sz w:val="22"/>
              </w:rPr>
              <w:t>tpsHL7ChangeData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5DBF3" w14:textId="78EBB328" w:rsidR="008E5FB2" w:rsidRDefault="008E5FB2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Replacing PID.2 with PID.3</w:t>
            </w:r>
          </w:p>
        </w:tc>
      </w:tr>
      <w:tr w:rsidR="003E6FF5" w14:paraId="7DBDE1C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1C0" w14:textId="164A73EC" w:rsidR="003E6FF5" w:rsidRDefault="008E5FB2" w:rsidP="008E5F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FR.2019.7.29.3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E63ED6" w14:textId="77777777" w:rsidR="003E6FF5" w:rsidRDefault="008E5FB2" w:rsidP="003E6FF5">
            <w:pPr>
              <w:spacing w:after="0" w:line="240" w:lineRule="auto"/>
              <w:rPr>
                <w:rFonts w:ascii="Calibri" w:hAnsi="Calibri" w:cs="Calibri"/>
                <w:color w:val="auto"/>
                <w:sz w:val="22"/>
              </w:rPr>
            </w:pPr>
            <w:r w:rsidRPr="008E5FB2">
              <w:rPr>
                <w:rFonts w:ascii="Calibri" w:hAnsi="Calibri" w:cs="Calibri"/>
                <w:color w:val="auto"/>
                <w:sz w:val="22"/>
              </w:rPr>
              <w:t>tpsCernerLabResultsModifier</w:t>
            </w:r>
          </w:p>
          <w:p w14:paraId="7DBDE1C1" w14:textId="0BBC7DEE" w:rsidR="00C6615D" w:rsidRDefault="00C6615D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(on inbound tab)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0A305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Null PID.5.7</w:t>
            </w:r>
          </w:p>
          <w:p w14:paraId="51BACDBC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67373C0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Null various PV1.19 visit number fields:</w:t>
            </w:r>
          </w:p>
          <w:p w14:paraId="162C470C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PV1.19.2</w:t>
            </w:r>
          </w:p>
          <w:p w14:paraId="3BAE56F9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PV1.19.3</w:t>
            </w:r>
          </w:p>
          <w:p w14:paraId="2A4B7077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PV1.19.4.1</w:t>
            </w:r>
          </w:p>
          <w:p w14:paraId="2B264F30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PV1.19.4.2</w:t>
            </w:r>
          </w:p>
          <w:p w14:paraId="77B8A2A0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PV1.19.4.3</w:t>
            </w:r>
          </w:p>
          <w:p w14:paraId="0143CB31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PV1.19.5</w:t>
            </w:r>
          </w:p>
          <w:p w14:paraId="20D6BC0B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PV1.19.6.1</w:t>
            </w:r>
          </w:p>
          <w:p w14:paraId="68F8B009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PV1.19.6.2</w:t>
            </w:r>
          </w:p>
          <w:p w14:paraId="27863DE6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PV1.19.6.3</w:t>
            </w:r>
          </w:p>
          <w:p w14:paraId="64015CA5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34C19B5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Swap various ORC.2 and ORC.3 fields:</w:t>
            </w:r>
          </w:p>
          <w:p w14:paraId="39830095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ORC.2.1 and ORC.3.1</w:t>
            </w:r>
          </w:p>
          <w:p w14:paraId="71BA2712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ORC.2.2 and ORC.3.2</w:t>
            </w:r>
          </w:p>
          <w:p w14:paraId="0D79E0AB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ORC.2.3 and ORC.3.3</w:t>
            </w:r>
          </w:p>
          <w:p w14:paraId="17ACAECE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ORC.2.4 and ORC.3.4</w:t>
            </w:r>
          </w:p>
          <w:p w14:paraId="56BACE88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7920C00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Swap various OBR.2 and OBR.3 fields:</w:t>
            </w:r>
          </w:p>
          <w:p w14:paraId="18E3389D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OBR.2.1 and OBR.3.1</w:t>
            </w:r>
          </w:p>
          <w:p w14:paraId="5FFFA5FE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OBR.2.2 and OBR.3.2</w:t>
            </w:r>
          </w:p>
          <w:p w14:paraId="6D8FDBA2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OBR.2.3 and OBR.3.3</w:t>
            </w:r>
          </w:p>
          <w:p w14:paraId="42E9D84D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OBR.2.4 and OBR.3.4</w:t>
            </w:r>
          </w:p>
          <w:p w14:paraId="201BE4F5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92B3C74" w14:textId="77777777" w:rsidR="00C6615D" w:rsidRDefault="00C6615D" w:rsidP="00C661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OBX.3.3 =LOINC, swap OBX.3.4 with OBR.3.1 and swap OBX.3.5 with OBX.3.2.  Else, swap OBX.3.4 and OBX.3.1, OBX.3.5 and OBX.3.2 and OBX.3.6 and OBX.3.3.</w:t>
            </w:r>
          </w:p>
          <w:p w14:paraId="7DBDE1C3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D3731" w14:paraId="7DBDE1C9" w14:textId="77777777" w:rsidTr="00C661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7DBDE1C5" w14:textId="52655541" w:rsidR="005D3731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C6" w14:textId="3FA70786" w:rsidR="005D3731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DE1C8" w14:textId="14847D7A" w:rsidR="005D3731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5D3731" w14:paraId="7DBDE1D5" w14:textId="77777777" w:rsidTr="00C661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7DBDE1CD" w14:textId="39CE6326" w:rsidR="005D3731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DE1D0" w14:textId="3DBE7AA0" w:rsidR="005D3731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DE1D4" w14:textId="4F733373" w:rsidR="005D3731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5D3731" w14:paraId="0608519E" w14:textId="77777777" w:rsidTr="00C661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6E6D85E" w14:textId="082FD67F" w:rsidR="005D3731" w:rsidRPr="000F301B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579513349"/>
            <w:placeholder>
              <w:docPart w:val="2FE21540D4104E1CBB350D42883A662C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E446D2D" w14:textId="77777777" w:rsidR="005D3731" w:rsidRPr="000F301B" w:rsidRDefault="005D3731" w:rsidP="005D3731">
                <w:pPr>
                  <w:spacing w:after="0" w:line="240" w:lineRule="auto"/>
                  <w:rPr>
                    <w:rFonts w:ascii="Calibri" w:hAnsi="Calibri"/>
                    <w:b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b/>
                    <w:color w:val="auto"/>
                    <w:sz w:val="22"/>
                  </w:rPr>
                  <w:t>ESO Interface Trigger:</w:t>
                </w:r>
              </w:p>
              <w:p w14:paraId="121D232E" w14:textId="77777777" w:rsidR="005D3731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Observation Reporting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 Discrete Gen Lab/CE Server GLB/GRP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(CQM Class: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CE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)</w:t>
                </w:r>
              </w:p>
              <w:p w14:paraId="21076C09" w14:textId="02DB484C" w:rsidR="005D3731" w:rsidRPr="00047D89" w:rsidRDefault="005D3731" w:rsidP="005D3731">
                <w:pPr>
                  <w:spacing w:after="0" w:line="240" w:lineRule="auto"/>
                  <w:rPr>
                    <w:color w:val="auto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518651525"/>
            <w:placeholder>
              <w:docPart w:val="276B838462514530B87F2F56D0186E1D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093E3F9" w14:textId="77777777" w:rsidR="005D3731" w:rsidRPr="000F301B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This trigger causes the BayCare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to be processed outbound when entered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 in Pathnet as long as the result items are not aliased with DONOTSEND for contributor source INVISION on code set 72.</w:t>
                </w:r>
              </w:p>
              <w:p w14:paraId="049D9DB4" w14:textId="77777777" w:rsidR="005D3731" w:rsidRPr="000F301B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- The following segments are set to be sent outbound by this trigger:</w:t>
                </w:r>
              </w:p>
              <w:p w14:paraId="2DB7B87E" w14:textId="77777777" w:rsidR="005D3731" w:rsidRPr="000F301B" w:rsidRDefault="005D3731" w:rsidP="005D3731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MSH</w:t>
                </w:r>
              </w:p>
              <w:p w14:paraId="7C2D72CA" w14:textId="77777777" w:rsidR="005D3731" w:rsidRPr="000F301B" w:rsidRDefault="005D3731" w:rsidP="005D3731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PID</w:t>
                </w:r>
              </w:p>
              <w:p w14:paraId="7699B859" w14:textId="77777777" w:rsidR="005D3731" w:rsidRPr="000F301B" w:rsidRDefault="005D3731" w:rsidP="005D3731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PV1</w:t>
                </w:r>
              </w:p>
              <w:p w14:paraId="02423009" w14:textId="77777777" w:rsidR="005D3731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O</w:t>
                </w:r>
                <w:r>
                  <w:rPr>
                    <w:rFonts w:ascii="Calibri" w:hAnsi="Calibri"/>
                    <w:color w:val="auto"/>
                    <w:sz w:val="22"/>
                  </w:rPr>
                  <w:t>BR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/OB</w:t>
                </w:r>
                <w:r>
                  <w:rPr>
                    <w:rFonts w:ascii="Calibri" w:hAnsi="Calibri"/>
                    <w:color w:val="auto"/>
                    <w:sz w:val="22"/>
                  </w:rPr>
                  <w:t>X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/NTE     </w:t>
                </w:r>
              </w:p>
              <w:p w14:paraId="34C85F99" w14:textId="40398CEE" w:rsidR="005D3731" w:rsidRPr="00907470" w:rsidRDefault="005D3731" w:rsidP="005D3731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       </w:t>
                </w:r>
              </w:p>
            </w:tc>
          </w:sdtContent>
        </w:sdt>
      </w:tr>
      <w:tr w:rsidR="005D3731" w14:paraId="7EE03250" w14:textId="77777777" w:rsidTr="00C661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3FA6BF6" w14:textId="79F73187" w:rsidR="005D3731" w:rsidRPr="000F301B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328178307"/>
            <w:placeholder>
              <w:docPart w:val="8CABB20BE1774F0C918467DE943CF008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B33FBA9" w14:textId="77777777" w:rsidR="005D3731" w:rsidRPr="000F301B" w:rsidRDefault="005D3731" w:rsidP="005D373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Global Script</w:t>
                </w:r>
                <w:r w:rsidRPr="000F301B">
                  <w:rPr>
                    <w:rFonts w:ascii="Calibri" w:eastAsia="Times New Roman" w:hAnsi="Calibri"/>
                    <w:color w:val="auto"/>
                    <w:sz w:val="22"/>
                  </w:rPr>
                  <w:t>:</w:t>
                </w:r>
              </w:p>
              <w:p w14:paraId="344A405C" w14:textId="77777777" w:rsidR="005D3731" w:rsidRPr="000F301B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- route_out </w:t>
                </w:r>
              </w:p>
              <w:p w14:paraId="190CB946" w14:textId="1F93EB95" w:rsidR="005D3731" w:rsidRPr="000F301B" w:rsidRDefault="005D3731" w:rsidP="005D3731">
                <w:pPr>
                  <w:spacing w:after="0" w:line="240" w:lineRule="auto"/>
                  <w:rPr>
                    <w:rFonts w:ascii="Calibri" w:hAnsi="Calibri"/>
                    <w:b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577138745"/>
            <w:placeholder>
              <w:docPart w:val="C9AA2D334E124CF998587E402E92708E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FF64D3" w14:textId="77777777" w:rsidR="005D3731" w:rsidRPr="000F301B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route_out (global script):  Logic to route BayCare</w:t>
                </w:r>
                <w:r>
                  <w:rPr>
                    <w:color w:val="auto"/>
                  </w:rPr>
                  <w:t xml:space="preserve"> 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to the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_OUT comserver. Logic is based on:</w:t>
                </w:r>
              </w:p>
              <w:p w14:paraId="7FCBC991" w14:textId="77777777" w:rsidR="005D3731" w:rsidRPr="000F301B" w:rsidRDefault="005D3731" w:rsidP="005D3731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Message Type = OR</w:t>
                </w:r>
                <w:r>
                  <w:rPr>
                    <w:rFonts w:ascii="Calibri" w:hAnsi="Calibri"/>
                    <w:color w:val="auto"/>
                    <w:sz w:val="22"/>
                  </w:rPr>
                  <w:t>U, cqm_type in “AP”, “MICRO”, or “GRP”</w:t>
                </w:r>
              </w:p>
              <w:p w14:paraId="4800B47D" w14:textId="77777777" w:rsidR="005D3731" w:rsidRDefault="005D3731" w:rsidP="005D3731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End logic for all ORU messages outbound is sent to these comservers:</w:t>
                </w:r>
              </w:p>
              <w:p w14:paraId="5E190024" w14:textId="77777777" w:rsidR="005D3731" w:rsidRPr="00085A6E" w:rsidRDefault="005D3731" w:rsidP="005D3731">
                <w:pPr>
                  <w:spacing w:after="0" w:line="240" w:lineRule="auto"/>
                  <w:ind w:left="1512"/>
                  <w:rPr>
                    <w:rFonts w:ascii="Calibri" w:hAnsi="Calibri"/>
                    <w:color w:val="auto"/>
                    <w:sz w:val="22"/>
                  </w:rPr>
                </w:pPr>
                <w:r w:rsidRPr="00360F14">
                  <w:rPr>
                    <w:rFonts w:ascii="Calibri" w:hAnsi="Calibri"/>
                    <w:sz w:val="22"/>
                  </w:rPr>
                  <w:t xml:space="preserve">    </w:t>
                </w:r>
                <w:r>
                  <w:rPr>
                    <w:rFonts w:ascii="Calibri" w:hAnsi="Calibri"/>
                    <w:sz w:val="22"/>
                  </w:rPr>
                  <w:t xml:space="preserve">     </w:t>
                </w:r>
                <w:r w:rsidRPr="00360F14">
                  <w:rPr>
                    <w:rFonts w:ascii="Calibri" w:hAnsi="Calibri"/>
                    <w:sz w:val="22"/>
                  </w:rPr>
                  <w:t>-</w:t>
                </w:r>
                <w:r>
                  <w:rPr>
                    <w:rFonts w:ascii="Calibri" w:hAnsi="Calibri"/>
                    <w:sz w:val="22"/>
                  </w:rPr>
                  <w:t xml:space="preserve"> </w:t>
                </w:r>
                <w:r w:rsidRPr="00E42394">
                  <w:rPr>
                    <w:rFonts w:ascii="Calibri" w:hAnsi="Calibri"/>
                    <w:color w:val="auto"/>
                    <w:sz w:val="22"/>
                  </w:rPr>
                  <w:t>ORU_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LAB_RESULTS_OUT</w:t>
                </w:r>
              </w:p>
              <w:p w14:paraId="182C8467" w14:textId="00275207" w:rsidR="005D3731" w:rsidRPr="000F301B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</w:p>
            </w:tc>
          </w:sdtContent>
        </w:sdt>
      </w:tr>
      <w:tr w:rsidR="005D3731" w14:paraId="38A913C3" w14:textId="77777777" w:rsidTr="00C661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967FBDA" w14:textId="77777777" w:rsidR="005D3731" w:rsidRPr="000F301B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t>FR.201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9</w:t>
            </w: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t>.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07.29.2</w:t>
            </w:r>
          </w:p>
          <w:p w14:paraId="0BEE5CBF" w14:textId="77777777" w:rsidR="005D3731" w:rsidRPr="000F301B" w:rsidRDefault="005D3731" w:rsidP="005D373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21250518"/>
            <w:placeholder>
              <w:docPart w:val="7DF383FDBEAF473CBF7BAE4E96BCF8CE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535B622" w14:textId="77777777" w:rsidR="005D3731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New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scripts:</w:t>
                </w:r>
              </w:p>
              <w:p w14:paraId="68990B51" w14:textId="77777777" w:rsidR="005D3731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lastRenderedPageBreak/>
                  <w:t>fsi_common (generic)</w:t>
                </w:r>
              </w:p>
              <w:p w14:paraId="525421E1" w14:textId="77777777" w:rsidR="005D3731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oru_lab_out (mod object)</w:t>
                </w:r>
              </w:p>
              <w:p w14:paraId="5268B246" w14:textId="00A48D75" w:rsidR="005D3731" w:rsidRDefault="005D3731" w:rsidP="005D373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fsi_add_pcpe (generic)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390312584"/>
            <w:placeholder>
              <w:docPart w:val="4A04843FBD2C49339677E0D8AA1BF138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505E168" w14:textId="77777777" w:rsidR="005D3731" w:rsidRDefault="005D3731" w:rsidP="005D3731">
                <w:pPr>
                  <w:spacing w:after="0" w:line="240" w:lineRule="auto"/>
                  <w:rPr>
                    <w:color w:val="auto"/>
                  </w:rPr>
                </w:pP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or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u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 _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lab_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out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, 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Mod Object script, 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for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BayCare</w:t>
                </w:r>
                <w:r>
                  <w:rPr>
                    <w:color w:val="auto"/>
                  </w:rPr>
                  <w:t xml:space="preserve"> Laboratory</w:t>
                </w:r>
              </w:p>
              <w:p w14:paraId="3DA5213B" w14:textId="77777777" w:rsidR="005D3731" w:rsidRPr="000F301B" w:rsidRDefault="005D3731" w:rsidP="005D3731">
                <w:pPr>
                  <w:spacing w:after="0" w:line="240" w:lineRule="auto"/>
                </w:pPr>
                <w:r>
                  <w:rPr>
                    <w:color w:val="auto"/>
                  </w:rPr>
                  <w:lastRenderedPageBreak/>
                  <w:t xml:space="preserve">   results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outbound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>:</w:t>
                </w:r>
              </w:p>
              <w:p w14:paraId="02F8B518" w14:textId="77777777" w:rsidR="005D3731" w:rsidRPr="00085A6E" w:rsidRDefault="005D3731" w:rsidP="005D3731">
                <w:pPr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C</w:t>
                </w:r>
                <w:r w:rsidRPr="000B711A"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alls the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 xml:space="preserve"> fsi_common generic script to load all subroutines</w:t>
                </w:r>
              </w:p>
              <w:p w14:paraId="1A481956" w14:textId="77777777" w:rsidR="005D3731" w:rsidRDefault="005D3731" w:rsidP="005D3731">
                <w:pPr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Adds the correct ordering provider to OBR.16, the correct order name/description to OBR.4, and the correct order alias to OBR.3 for AP results.</w:t>
                </w:r>
              </w:p>
              <w:p w14:paraId="5B00B3E3" w14:textId="77777777" w:rsidR="005D3731" w:rsidRPr="0029714F" w:rsidRDefault="005D3731" w:rsidP="005D3731">
                <w:pPr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  <w:t xml:space="preserve">Replace any primary care physician (PCP) with the PCP at the encounter level in the PD1 segment. </w:t>
                </w:r>
              </w:p>
              <w:p w14:paraId="4501EC6C" w14:textId="77777777" w:rsidR="005D3731" w:rsidRDefault="005D3731" w:rsidP="005D3731">
                <w:pPr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Deletes any DONOTSEND* result items and renumbers the OBX segments accordingly.  *Note: This is a known Cerner issue where LOINC coding overrides the DONOTSEND functionality.  Custom Coding was needed to fix the issue.</w:t>
                </w:r>
              </w:p>
              <w:p w14:paraId="158C0BB0" w14:textId="75D7C6B8" w:rsidR="005D3731" w:rsidRPr="000F301B" w:rsidRDefault="005D3731" w:rsidP="005D3731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3271D1"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 xml:space="preserve">Filters all ORU messages 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if there is no OBX segment after the OBX segments are stripped as described above.</w:t>
                </w:r>
              </w:p>
            </w:tc>
          </w:sdtContent>
        </w:sdt>
      </w:tr>
    </w:tbl>
    <w:p w14:paraId="7DBDE1D6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DBDE1D7" w14:textId="22C5D275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537008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A1532C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Content>
        <w:p w14:paraId="7DBDE1D8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DBDE1DC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1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DBDE1E0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1D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DBDE1E4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1E1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DD29AA7AC7D455D85063E0C56771545"/>
            </w:placeholder>
            <w:showingPlcHdr/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DBDE1E2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  <w:showingPlcHdr/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DBDE1E3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152E4B8" w14:textId="5D856A3C" w:rsidR="003A6F28" w:rsidRDefault="003A6F28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62497369" w14:textId="77777777" w:rsidR="003A6F28" w:rsidRPr="003A6F28" w:rsidRDefault="003A6F28" w:rsidP="003A6F28"/>
    <w:p w14:paraId="40C6FA54" w14:textId="2F77CCAD" w:rsidR="003A6F28" w:rsidRDefault="003A6F28" w:rsidP="003A6F28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21F3D4C1" w14:textId="77777777" w:rsidR="003A6F28" w:rsidRPr="003A6F28" w:rsidRDefault="003A6F28" w:rsidP="003A6F28"/>
    <w:p w14:paraId="045347CA" w14:textId="7870D17D" w:rsidR="003A6F28" w:rsidRDefault="003A6F28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1B21A761" w14:textId="77777777" w:rsidR="003A6F28" w:rsidRPr="003A6F28" w:rsidRDefault="003A6F28" w:rsidP="003A6F28"/>
    <w:p w14:paraId="36C44B42" w14:textId="77777777" w:rsidR="003A6F28" w:rsidRDefault="003A6F28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5FA3FE59" w14:textId="77777777" w:rsidR="003A6F28" w:rsidRDefault="003A6F28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DBDE1E8" w14:textId="1D51A141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537008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DBDE1E9" w14:textId="16DDB3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7DBDE1EA" w14:textId="77777777" w:rsidR="009F64CD" w:rsidRDefault="009F64CD" w:rsidP="00805EC2"/>
    <w:p w14:paraId="7DBDE1EB" w14:textId="464F14D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5370088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894344">
        <w:rPr>
          <w:b w:val="0"/>
          <w:color w:val="0070C0"/>
          <w:sz w:val="24"/>
          <w:szCs w:val="24"/>
        </w:rPr>
        <w:t xml:space="preserve"> From </w:t>
      </w:r>
      <w:r w:rsidR="001F3B1E">
        <w:rPr>
          <w:b w:val="0"/>
          <w:color w:val="0070C0"/>
          <w:sz w:val="24"/>
          <w:szCs w:val="24"/>
        </w:rPr>
        <w:t>Cerner</w:t>
      </w:r>
      <w:bookmarkEnd w:id="22"/>
    </w:p>
    <w:sdt>
      <w:sdtPr>
        <w:id w:val="-1767608992"/>
        <w:placeholder>
          <w:docPart w:val="8ED2105B0A534E11818A0E84A98DFA4D"/>
        </w:placeholder>
      </w:sdtPr>
      <w:sdtContent>
        <w:p w14:paraId="7DBDE1EC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7DBDE1ED" w14:textId="77777777" w:rsidR="009F64CD" w:rsidRPr="0085436E" w:rsidRDefault="009F64CD" w:rsidP="00805EC2"/>
    <w:p w14:paraId="7DBDE1EE" w14:textId="6B29DD3A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15370089"/>
      <w:r>
        <w:rPr>
          <w:b w:val="0"/>
          <w:sz w:val="24"/>
          <w:szCs w:val="24"/>
        </w:rPr>
        <w:lastRenderedPageBreak/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 xml:space="preserve">to </w:t>
      </w:r>
      <w:r w:rsidR="00423A64">
        <w:rPr>
          <w:b w:val="0"/>
          <w:sz w:val="24"/>
          <w:szCs w:val="24"/>
        </w:rPr>
        <w:t>PatientSafe</w:t>
      </w:r>
      <w:bookmarkEnd w:id="23"/>
    </w:p>
    <w:sdt>
      <w:sdtPr>
        <w:id w:val="-1632089767"/>
      </w:sdtPr>
      <w:sdtContent>
        <w:sdt>
          <w:sdtPr>
            <w:id w:val="945121933"/>
          </w:sdtPr>
          <w:sdtContent>
            <w:p w14:paraId="7DBDE1EF" w14:textId="77777777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</w:p>
          </w:sdtContent>
        </w:sdt>
      </w:sdtContent>
    </w:sdt>
    <w:p w14:paraId="7DBDE1F0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DBDE1F1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537009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7DBDE1F2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1537009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7DBDE1F3" w14:textId="77777777" w:rsidR="00856E7C" w:rsidRPr="00856E7C" w:rsidRDefault="00856E7C" w:rsidP="00856E7C"/>
    <w:p w14:paraId="7DBDE1F4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15370092"/>
      <w:r w:rsidRPr="00172896">
        <w:rPr>
          <w:b w:val="0"/>
          <w:sz w:val="24"/>
          <w:szCs w:val="24"/>
        </w:rPr>
        <w:t>4.1.1     Segments</w:t>
      </w:r>
      <w:bookmarkEnd w:id="27"/>
    </w:p>
    <w:p w14:paraId="7DBDE1F5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DBDE1F6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DBDE1F7" w14:textId="2C393C12" w:rsidR="00856E7C" w:rsidRDefault="00390572" w:rsidP="00856E7C">
      <w:pPr>
        <w:pStyle w:val="NoSpacing"/>
        <w:ind w:firstLine="720"/>
      </w:pPr>
      <w:r>
        <w:t>[</w:t>
      </w:r>
      <w:r w:rsidR="00856E7C">
        <w:t>EVN</w:t>
      </w:r>
      <w:r>
        <w:t>]</w:t>
      </w:r>
    </w:p>
    <w:p w14:paraId="7DBDE1F8" w14:textId="6C2BAF6D" w:rsidR="00856E7C" w:rsidRDefault="00856E7C" w:rsidP="00856E7C">
      <w:pPr>
        <w:pStyle w:val="NoSpacing"/>
        <w:ind w:firstLine="720"/>
      </w:pPr>
      <w:r>
        <w:t>PID</w:t>
      </w:r>
    </w:p>
    <w:p w14:paraId="7DBDE1FA" w14:textId="2E2AEB65" w:rsidR="00856E7C" w:rsidRDefault="00A17200" w:rsidP="00856E7C">
      <w:pPr>
        <w:pStyle w:val="NoSpacing"/>
        <w:ind w:firstLine="720"/>
      </w:pPr>
      <w:r>
        <w:t>PV1</w:t>
      </w:r>
    </w:p>
    <w:p w14:paraId="3F9556BC" w14:textId="4B072F78" w:rsidR="00301595" w:rsidRDefault="00301595" w:rsidP="00856E7C">
      <w:pPr>
        <w:pStyle w:val="NoSpacing"/>
        <w:ind w:firstLine="720"/>
      </w:pPr>
      <w:r>
        <w:t>OBR</w:t>
      </w:r>
    </w:p>
    <w:p w14:paraId="263DB469" w14:textId="7389003A" w:rsidR="00423A64" w:rsidRDefault="00301595" w:rsidP="00856E7C">
      <w:pPr>
        <w:pStyle w:val="NoSpacing"/>
        <w:ind w:firstLine="720"/>
      </w:pPr>
      <w:r>
        <w:t>{OBX</w:t>
      </w:r>
      <w:r w:rsidR="005D2F83">
        <w:t>}</w:t>
      </w:r>
    </w:p>
    <w:p w14:paraId="66DDC08F" w14:textId="6AD0A690" w:rsidR="00423A64" w:rsidRDefault="00301595" w:rsidP="00856E7C">
      <w:pPr>
        <w:pStyle w:val="NoSpacing"/>
        <w:ind w:firstLine="720"/>
      </w:pPr>
      <w:r>
        <w:t>[{NTE</w:t>
      </w:r>
      <w:r w:rsidR="00C83516">
        <w:t>}</w:t>
      </w:r>
      <w:r>
        <w:t>]</w:t>
      </w:r>
    </w:p>
    <w:p w14:paraId="4370E78F" w14:textId="52B40431" w:rsidR="00423A64" w:rsidRDefault="00423A64" w:rsidP="00856E7C">
      <w:pPr>
        <w:pStyle w:val="NoSpacing"/>
        <w:ind w:firstLine="720"/>
      </w:pPr>
    </w:p>
    <w:p w14:paraId="5DDAB3A5" w14:textId="4116415F" w:rsidR="009D569A" w:rsidRDefault="00423A64" w:rsidP="00856E7C">
      <w:pPr>
        <w:pStyle w:val="NoSpacing"/>
        <w:ind w:firstLine="720"/>
      </w:pPr>
      <w:r>
        <w:t xml:space="preserve">Note that the messages are sent “raw” from </w:t>
      </w:r>
      <w:r w:rsidR="00C83516">
        <w:t>Cerner</w:t>
      </w:r>
      <w:r>
        <w:t xml:space="preserve"> to PatientSafe.</w:t>
      </w:r>
    </w:p>
    <w:p w14:paraId="5F11A8B6" w14:textId="00D1E133" w:rsidR="00423A64" w:rsidRDefault="00423A64" w:rsidP="00856E7C">
      <w:pPr>
        <w:pStyle w:val="NoSpacing"/>
        <w:ind w:firstLine="720"/>
      </w:pPr>
      <w:r>
        <w:t xml:space="preserve">At this point, PSS is not using information </w:t>
      </w:r>
      <w:r w:rsidR="009D569A">
        <w:t>from the Z segments</w:t>
      </w:r>
      <w:r w:rsidR="00D37541">
        <w:t>.</w:t>
      </w:r>
    </w:p>
    <w:p w14:paraId="7DBDE1FD" w14:textId="77777777" w:rsidR="00856E7C" w:rsidRPr="00AE346A" w:rsidRDefault="00856E7C" w:rsidP="00856E7C">
      <w:pPr>
        <w:pStyle w:val="NoSpacing"/>
        <w:ind w:firstLine="720"/>
      </w:pPr>
    </w:p>
    <w:p w14:paraId="7DBDE1FE" w14:textId="77777777" w:rsidR="00856E7C" w:rsidRDefault="00856E7C" w:rsidP="00164F02">
      <w:pPr>
        <w:spacing w:after="0"/>
      </w:pPr>
    </w:p>
    <w:p w14:paraId="7DBDE1FF" w14:textId="77777777" w:rsidR="00164F02" w:rsidRDefault="00164F02" w:rsidP="00164F02">
      <w:pPr>
        <w:spacing w:after="0"/>
        <w:rPr>
          <w:i/>
        </w:rPr>
      </w:pPr>
      <w:r>
        <w:rPr>
          <w:i/>
        </w:rPr>
        <w:lastRenderedPageBreak/>
        <w:t>Message Construction Notes</w:t>
      </w:r>
      <w:r w:rsidRPr="00164F02">
        <w:rPr>
          <w:i/>
        </w:rPr>
        <w:t>:</w:t>
      </w:r>
    </w:p>
    <w:p w14:paraId="7DBDE200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DBDE20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DBDE20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DBDE20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7DBDE204" w14:textId="2DD7350F" w:rsidR="00994767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</w:t>
      </w:r>
      <w:r w:rsidR="00994767">
        <w:rPr>
          <w:i/>
        </w:rPr>
        <w:t>t</w:t>
      </w:r>
    </w:p>
    <w:p w14:paraId="7DBDE206" w14:textId="4CE5EC85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25640580" w14:textId="26CA2E45" w:rsidR="00090F4A" w:rsidRDefault="00301595" w:rsidP="00994767">
      <w:pPr>
        <w:spacing w:after="0"/>
        <w:ind w:firstLine="720"/>
        <w:rPr>
          <w:i/>
        </w:rPr>
      </w:pPr>
      <w:r>
        <w:rPr>
          <w:i/>
        </w:rPr>
        <w:t>OBR</w:t>
      </w:r>
      <w:r w:rsidR="00090F4A">
        <w:rPr>
          <w:i/>
        </w:rPr>
        <w:t xml:space="preserve"> – </w:t>
      </w:r>
      <w:r>
        <w:rPr>
          <w:i/>
        </w:rPr>
        <w:t>Observation Request</w:t>
      </w:r>
      <w:r w:rsidR="00C83516">
        <w:rPr>
          <w:i/>
        </w:rPr>
        <w:t xml:space="preserve"> segment</w:t>
      </w:r>
    </w:p>
    <w:p w14:paraId="66EB42B7" w14:textId="3CA2BC08" w:rsidR="00090F4A" w:rsidRDefault="00301595" w:rsidP="00090F4A">
      <w:pPr>
        <w:spacing w:after="0"/>
        <w:ind w:firstLine="720"/>
        <w:rPr>
          <w:i/>
        </w:rPr>
      </w:pPr>
      <w:r>
        <w:rPr>
          <w:i/>
        </w:rPr>
        <w:t>NTE</w:t>
      </w:r>
      <w:r w:rsidR="00090F4A">
        <w:rPr>
          <w:i/>
        </w:rPr>
        <w:t xml:space="preserve"> – </w:t>
      </w:r>
      <w:r>
        <w:rPr>
          <w:i/>
        </w:rPr>
        <w:t>Notes and Comments segment</w:t>
      </w:r>
    </w:p>
    <w:p w14:paraId="7DBDE209" w14:textId="77777777" w:rsidR="00164F02" w:rsidRPr="00856E7C" w:rsidRDefault="00164F02" w:rsidP="00856E7C">
      <w:r>
        <w:tab/>
      </w:r>
    </w:p>
    <w:p w14:paraId="7DBDE20A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1537009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7DBDE20B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412B318D" w14:textId="77777777" w:rsidR="00C83516" w:rsidRDefault="00C83516" w:rsidP="009555E5">
      <w:pPr>
        <w:rPr>
          <w:rFonts w:eastAsia="Arial" w:cs="Arial"/>
          <w:color w:val="1A0157"/>
          <w:sz w:val="24"/>
          <w:szCs w:val="24"/>
        </w:rPr>
      </w:pPr>
    </w:p>
    <w:p w14:paraId="7DBDE20C" w14:textId="5663B574" w:rsidR="009555E5" w:rsidRDefault="00301595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>Supported ORU</w:t>
      </w:r>
      <w:r w:rsidR="009555E5">
        <w:rPr>
          <w:rFonts w:eastAsia="Arial" w:cs="Arial"/>
          <w:color w:val="1A0157"/>
          <w:sz w:val="24"/>
          <w:szCs w:val="24"/>
        </w:rPr>
        <w:t xml:space="preserve"> Events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7DBDE20F" w14:textId="77777777" w:rsidTr="00AE6044">
        <w:tc>
          <w:tcPr>
            <w:tcW w:w="1475" w:type="dxa"/>
            <w:shd w:val="clear" w:color="auto" w:fill="00B0F0"/>
          </w:tcPr>
          <w:p w14:paraId="7DBDE20D" w14:textId="77777777" w:rsidR="00805EC2" w:rsidRPr="0073057F" w:rsidRDefault="00805EC2" w:rsidP="00AE6044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7DBDE20E" w14:textId="77777777" w:rsidR="00805EC2" w:rsidRPr="0073057F" w:rsidRDefault="00805EC2" w:rsidP="00AE6044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301595" w:rsidRPr="00301595" w14:paraId="48DED176" w14:textId="77777777" w:rsidTr="00C6615D">
        <w:trPr>
          <w:trHeight w:val="431"/>
        </w:trPr>
        <w:tc>
          <w:tcPr>
            <w:tcW w:w="1475" w:type="dxa"/>
          </w:tcPr>
          <w:p w14:paraId="1024CFBA" w14:textId="77777777" w:rsidR="00301595" w:rsidRPr="00301595" w:rsidRDefault="00301595" w:rsidP="00301595">
            <w:pPr>
              <w:rPr>
                <w:rFonts w:eastAsia="Arial" w:cs="Arial"/>
                <w:color w:val="000000"/>
              </w:rPr>
            </w:pPr>
            <w:r w:rsidRPr="00301595">
              <w:rPr>
                <w:rFonts w:eastAsia="Arial" w:cs="Arial"/>
                <w:color w:val="000000"/>
              </w:rPr>
              <w:t>ORU^R01</w:t>
            </w:r>
          </w:p>
        </w:tc>
        <w:tc>
          <w:tcPr>
            <w:tcW w:w="3542" w:type="dxa"/>
          </w:tcPr>
          <w:p w14:paraId="6F41C2E6" w14:textId="77777777" w:rsidR="00301595" w:rsidRPr="00301595" w:rsidRDefault="00301595" w:rsidP="00301595">
            <w:pPr>
              <w:rPr>
                <w:rFonts w:eastAsia="Arial" w:cs="Arial"/>
                <w:color w:val="000000"/>
              </w:rPr>
            </w:pPr>
            <w:r w:rsidRPr="00301595">
              <w:rPr>
                <w:rFonts w:eastAsia="Arial" w:cs="Arial"/>
                <w:color w:val="000000"/>
              </w:rPr>
              <w:t>Unsolicited transmission of an observation message</w:t>
            </w:r>
          </w:p>
        </w:tc>
      </w:tr>
      <w:tr w:rsidR="000D6664" w:rsidRPr="00FB14A7" w14:paraId="21B42007" w14:textId="77777777" w:rsidTr="009A6BEB">
        <w:trPr>
          <w:trHeight w:val="431"/>
        </w:trPr>
        <w:tc>
          <w:tcPr>
            <w:tcW w:w="1475" w:type="dxa"/>
          </w:tcPr>
          <w:p w14:paraId="27CAF5C5" w14:textId="3072779B" w:rsidR="000D6664" w:rsidRDefault="00301595" w:rsidP="000D666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ORU^R03</w:t>
            </w:r>
          </w:p>
        </w:tc>
        <w:tc>
          <w:tcPr>
            <w:tcW w:w="3542" w:type="dxa"/>
          </w:tcPr>
          <w:p w14:paraId="3043522C" w14:textId="78EFA354" w:rsidR="000D6664" w:rsidRDefault="00301595" w:rsidP="000D666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Unsolicited transmission of an observation message</w:t>
            </w:r>
          </w:p>
        </w:tc>
      </w:tr>
    </w:tbl>
    <w:p w14:paraId="7DBDE237" w14:textId="77777777" w:rsidR="00AE6044" w:rsidRDefault="00AE6044" w:rsidP="00805EC2">
      <w:pPr>
        <w:rPr>
          <w:rFonts w:asciiTheme="minorHAnsi" w:hAnsiTheme="minorHAnsi" w:cs="Arial"/>
        </w:rPr>
      </w:pPr>
    </w:p>
    <w:p w14:paraId="7DBDE238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40" w14:textId="2FC1EDD2" w:rsidR="003F6133" w:rsidRDefault="003F6133" w:rsidP="00805EC2">
      <w:pPr>
        <w:rPr>
          <w:rFonts w:asciiTheme="minorHAnsi" w:hAnsiTheme="minorHAnsi" w:cs="Arial"/>
        </w:rPr>
      </w:pPr>
    </w:p>
    <w:p w14:paraId="6AD1F6E1" w14:textId="77777777" w:rsidR="003A6F28" w:rsidRDefault="003A6F28" w:rsidP="00D5373E">
      <w:pPr>
        <w:pStyle w:val="Heading3"/>
        <w:rPr>
          <w:b w:val="0"/>
          <w:sz w:val="24"/>
          <w:szCs w:val="24"/>
        </w:rPr>
      </w:pPr>
    </w:p>
    <w:p w14:paraId="7DBDE242" w14:textId="17D894D2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537009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Content>
        <w:p w14:paraId="7DBDE243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7DBDE244" w14:textId="3888BE08" w:rsidR="003A6F3A" w:rsidRDefault="0090533B" w:rsidP="003F6133">
      <w:pPr>
        <w:pStyle w:val="NoSpacing"/>
      </w:pPr>
      <w:r>
        <w:t xml:space="preserve">HL7 Variants: </w:t>
      </w:r>
      <w:r w:rsidR="00C00579">
        <w:t xml:space="preserve">    </w:t>
      </w:r>
      <w:r w:rsidR="00C83516">
        <w:t>None</w:t>
      </w:r>
    </w:p>
    <w:p w14:paraId="7DBDE245" w14:textId="3C31B070" w:rsidR="003F6133" w:rsidRDefault="00C00579" w:rsidP="003F6133">
      <w:pPr>
        <w:pStyle w:val="NoSpacing"/>
      </w:pPr>
      <w:r>
        <w:t xml:space="preserve">Xlate:                   </w:t>
      </w:r>
      <w:r w:rsidR="00C83516">
        <w:t>None</w:t>
      </w:r>
      <w:r w:rsidR="00B500ED">
        <w:t xml:space="preserve"> </w:t>
      </w:r>
    </w:p>
    <w:p w14:paraId="7DBDE246" w14:textId="721C9064" w:rsidR="00C00579" w:rsidRDefault="00C00579" w:rsidP="003F6133">
      <w:pPr>
        <w:pStyle w:val="NoSpacing"/>
      </w:pPr>
      <w:r>
        <w:t xml:space="preserve">TCL Script:          </w:t>
      </w:r>
      <w:r w:rsidR="00A1532C">
        <w:t xml:space="preserve">tpsCernerCommonCode, </w:t>
      </w:r>
      <w:r>
        <w:t>tpsAdvHL7Filter.tcl</w:t>
      </w:r>
      <w:r w:rsidR="00953A1A">
        <w:t>, tpsHL7ChangeData</w:t>
      </w:r>
      <w:r w:rsidR="00A1532C">
        <w:t>, tpsCernerLabResultsModifier</w:t>
      </w:r>
    </w:p>
    <w:p w14:paraId="7DBDE249" w14:textId="77777777" w:rsidR="00611BC2" w:rsidRDefault="00611BC2" w:rsidP="003F6133">
      <w:pPr>
        <w:pStyle w:val="NoSpacing"/>
      </w:pPr>
    </w:p>
    <w:p w14:paraId="7DBDE24A" w14:textId="77777777" w:rsidR="00611BC2" w:rsidRDefault="00611BC2" w:rsidP="003F6133">
      <w:pPr>
        <w:pStyle w:val="NoSpacing"/>
      </w:pPr>
    </w:p>
    <w:p w14:paraId="7DBDE24B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537009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DE2F8457613406797DD644E89110C12"/>
        </w:placeholder>
      </w:sdtPr>
      <w:sdtContent>
        <w:p w14:paraId="7DBDE24C" w14:textId="65BAD0D3" w:rsidR="003F6133" w:rsidRDefault="00611BC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Production = </w:t>
          </w:r>
          <w:r w:rsidR="00E074A8">
            <w:rPr>
              <w:rFonts w:asciiTheme="minorHAnsi" w:hAnsiTheme="minorHAnsi"/>
              <w:sz w:val="22"/>
            </w:rPr>
            <w:t>cerner_</w:t>
          </w:r>
          <w:r w:rsidR="00301595">
            <w:rPr>
              <w:rFonts w:asciiTheme="minorHAnsi" w:hAnsiTheme="minorHAnsi"/>
              <w:sz w:val="22"/>
            </w:rPr>
            <w:t>results_7</w:t>
          </w:r>
          <w:r w:rsidR="00E074A8">
            <w:rPr>
              <w:rFonts w:asciiTheme="minorHAnsi" w:hAnsiTheme="minorHAnsi"/>
              <w:sz w:val="22"/>
            </w:rPr>
            <w:t>_p</w:t>
          </w:r>
        </w:p>
        <w:p w14:paraId="7DBDE24D" w14:textId="04D2B9C7" w:rsidR="003A6F3A" w:rsidRPr="00E074A8" w:rsidRDefault="003F6133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301595">
            <w:rPr>
              <w:rFonts w:asciiTheme="minorHAnsi" w:hAnsiTheme="minorHAnsi"/>
              <w:sz w:val="22"/>
            </w:rPr>
            <w:t>cerner_results_7</w:t>
          </w:r>
          <w:r w:rsidR="00E074A8">
            <w:rPr>
              <w:rFonts w:asciiTheme="minorHAnsi" w:hAnsiTheme="minorHAnsi"/>
              <w:sz w:val="22"/>
            </w:rPr>
            <w:t xml:space="preserve">           </w:t>
          </w:r>
        </w:p>
      </w:sdtContent>
    </w:sdt>
    <w:p w14:paraId="7DBDE24E" w14:textId="77777777" w:rsidR="003A6F3A" w:rsidRDefault="003A6F3A" w:rsidP="00805EC2">
      <w:pPr>
        <w:rPr>
          <w:rFonts w:asciiTheme="minorHAnsi" w:hAnsiTheme="minorHAnsi" w:cs="Arial"/>
        </w:rPr>
      </w:pPr>
    </w:p>
    <w:p w14:paraId="439CA061" w14:textId="3700333B" w:rsidR="003A6F28" w:rsidRDefault="003A6F28" w:rsidP="00856E7C">
      <w:pPr>
        <w:pStyle w:val="Heading2"/>
        <w:rPr>
          <w:i w:val="0"/>
          <w:color w:val="0070C0"/>
        </w:rPr>
      </w:pPr>
      <w:bookmarkStart w:id="32" w:name="_Toc370205141"/>
    </w:p>
    <w:p w14:paraId="1DBA3EB8" w14:textId="465EF100" w:rsidR="003A6F28" w:rsidRDefault="003A6F28" w:rsidP="003A6F28"/>
    <w:p w14:paraId="435069FC" w14:textId="77777777" w:rsidR="003A6F28" w:rsidRPr="003A6F28" w:rsidRDefault="003A6F28" w:rsidP="003A6F28"/>
    <w:p w14:paraId="5ED6960F" w14:textId="7E78726C" w:rsidR="003A6F28" w:rsidRDefault="003A6F28" w:rsidP="00856E7C">
      <w:pPr>
        <w:pStyle w:val="Heading2"/>
        <w:rPr>
          <w:i w:val="0"/>
          <w:color w:val="0070C0"/>
        </w:rPr>
      </w:pPr>
    </w:p>
    <w:p w14:paraId="6DCA898D" w14:textId="77777777" w:rsidR="003A6F28" w:rsidRPr="003A6F28" w:rsidRDefault="003A6F28" w:rsidP="003A6F28"/>
    <w:p w14:paraId="7DBDE24F" w14:textId="3CAD4902" w:rsidR="00856E7C" w:rsidRDefault="00856E7C" w:rsidP="00856E7C">
      <w:pPr>
        <w:pStyle w:val="Heading2"/>
        <w:rPr>
          <w:i w:val="0"/>
          <w:color w:val="0070C0"/>
        </w:rPr>
      </w:pPr>
      <w:bookmarkStart w:id="33" w:name="_Toc15370096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5DFF66B5" w14:textId="77777777" w:rsidR="009D569A" w:rsidRPr="009D569A" w:rsidRDefault="009D569A" w:rsidP="009D569A"/>
    <w:p w14:paraId="412D3A30" w14:textId="44330E6E" w:rsidR="009D569A" w:rsidRPr="009D569A" w:rsidRDefault="009D569A" w:rsidP="009D569A">
      <w:r>
        <w:t xml:space="preserve">              </w:t>
      </w:r>
      <w:r w:rsidR="00953A1A">
        <w:t>tpsHL7ChangeData: Move the BayCare MRN sent by Cerner from PID.2 to PID.3, where PSS expects to find it.</w:t>
      </w:r>
    </w:p>
    <w:p w14:paraId="7DBDE395" w14:textId="00F2A373" w:rsidR="005E05C9" w:rsidRDefault="005E05C9" w:rsidP="005E05C9">
      <w:pPr>
        <w:pStyle w:val="Heading2"/>
        <w:rPr>
          <w:i w:val="0"/>
          <w:color w:val="0070C0"/>
        </w:rPr>
      </w:pPr>
      <w:bookmarkStart w:id="34" w:name="_Toc1537009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77752BDF" w14:textId="77777777" w:rsidR="009D569A" w:rsidRPr="009D569A" w:rsidRDefault="009D569A" w:rsidP="009D569A"/>
    <w:p w14:paraId="7DBDE396" w14:textId="77777777" w:rsidR="005E05C9" w:rsidRDefault="005E05C9" w:rsidP="00F01E3D"/>
    <w:p w14:paraId="7DBDE397" w14:textId="49A8E563" w:rsidR="00FA462A" w:rsidRP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lastRenderedPageBreak/>
        <w:t xml:space="preserve">Inbound to Cloverleaf from </w:t>
      </w:r>
      <w:r w:rsidR="00C83516">
        <w:rPr>
          <w:color w:val="auto"/>
          <w:highlight w:val="yellow"/>
        </w:rPr>
        <w:t>Cerner</w:t>
      </w:r>
      <w:r w:rsidRPr="00CD5859">
        <w:rPr>
          <w:color w:val="auto"/>
          <w:highlight w:val="yellow"/>
        </w:rPr>
        <w:t>:</w:t>
      </w:r>
      <w:r w:rsidR="00CD5859" w:rsidRPr="00CD5859">
        <w:rPr>
          <w:color w:val="auto"/>
          <w:highlight w:val="yellow"/>
        </w:rPr>
        <w:t xml:space="preserve"> (Inpatient)</w:t>
      </w:r>
    </w:p>
    <w:p w14:paraId="15B3709A" w14:textId="77777777" w:rsidR="003A6F28" w:rsidRPr="00A1532C" w:rsidRDefault="003A6F28" w:rsidP="003A6F28">
      <w:pPr>
        <w:spacing w:after="0"/>
        <w:rPr>
          <w:color w:val="auto"/>
          <w:sz w:val="18"/>
        </w:rPr>
      </w:pPr>
      <w:r w:rsidRPr="00A1532C">
        <w:rPr>
          <w:color w:val="auto"/>
          <w:sz w:val="18"/>
        </w:rPr>
        <w:t>MSH|^~\&amp;|HNAM|CERNER|INVISION|BAYCARE|20190718111203||ORU^R01|Q4432202650T5825930142||2.3||||||8859/1</w:t>
      </w:r>
    </w:p>
    <w:p w14:paraId="1FF37F71" w14:textId="77777777" w:rsidR="003A6F28" w:rsidRPr="00A1532C" w:rsidRDefault="003A6F28" w:rsidP="003A6F28">
      <w:pPr>
        <w:spacing w:after="0"/>
        <w:rPr>
          <w:color w:val="auto"/>
          <w:sz w:val="18"/>
        </w:rPr>
      </w:pPr>
      <w:r w:rsidRPr="00A1532C">
        <w:rPr>
          <w:color w:val="auto"/>
          <w:sz w:val="18"/>
        </w:rPr>
        <w:t>PID|1|2006002474^^^BayCare MRN^MRN|2006002474^^^BayCare MRN^MRN||UCTEST^GENONEONE^^^^^Current||20071231|M||||||||||1006009026^^^BayCare FIN^FIN NBR|||||||0</w:t>
      </w:r>
    </w:p>
    <w:p w14:paraId="5B6CCE11" w14:textId="77777777" w:rsidR="003A6F28" w:rsidRPr="00A1532C" w:rsidRDefault="003A6F28" w:rsidP="003A6F28">
      <w:pPr>
        <w:spacing w:after="0"/>
        <w:rPr>
          <w:color w:val="auto"/>
          <w:sz w:val="18"/>
        </w:rPr>
      </w:pPr>
      <w:r w:rsidRPr="00A1532C">
        <w:rPr>
          <w:color w:val="auto"/>
          <w:sz w:val="18"/>
        </w:rPr>
        <w:t>PV1|1|I|^^^SJN^^Building(s)^SJN||||^TEST^3SURGANES1^^^^^^^Personnel|||||||||||I||||||||||||||||||CD:638671|||SJN||Discharged|||20180801083000</w:t>
      </w:r>
    </w:p>
    <w:p w14:paraId="782A4EF8" w14:textId="77777777" w:rsidR="003A6F28" w:rsidRPr="00A1532C" w:rsidRDefault="003A6F28" w:rsidP="003A6F28">
      <w:pPr>
        <w:spacing w:after="0"/>
        <w:rPr>
          <w:color w:val="auto"/>
          <w:sz w:val="18"/>
        </w:rPr>
      </w:pPr>
      <w:r w:rsidRPr="00A1532C">
        <w:rPr>
          <w:color w:val="auto"/>
          <w:sz w:val="18"/>
        </w:rPr>
        <w:t>OBR|1|15232744931^HNAM_ORDERID||4900233^CREAT|||20190718110100|||||||20190718110200|Blood&amp;Blood^^^^^Venous Draw|^TEST^3SURGANES1^^^^^^^Personnel||||000002019199000036^HNA_ACCN~74112902^HNA_ACCNID||20190718111157||Lab|F||1^^^20190718110100^^ROUTINE~^^^^^TODAY|||||||||20190718110100</w:t>
      </w:r>
    </w:p>
    <w:p w14:paraId="0A247669" w14:textId="77777777" w:rsidR="003A6F28" w:rsidRPr="00A1532C" w:rsidRDefault="003A6F28" w:rsidP="003A6F28">
      <w:pPr>
        <w:spacing w:after="0"/>
        <w:rPr>
          <w:color w:val="auto"/>
          <w:sz w:val="18"/>
        </w:rPr>
      </w:pPr>
      <w:r w:rsidRPr="00A1532C">
        <w:rPr>
          <w:color w:val="auto"/>
          <w:sz w:val="18"/>
        </w:rPr>
        <w:t>OBX|1|NM|2160-0^CREATININE:MCNC:PT:SER/PLAS:QN:^LOINC^L670671^Creatinine^BCLAB||1.500|mg/dL^mg/dL|0.300-1.300^0.300^1.300|H|||F|||20190718111155||^Holz^Jane^K^^^^^^Personnel|^^^CD:719302443</w:t>
      </w:r>
    </w:p>
    <w:p w14:paraId="33DF466E" w14:textId="77777777" w:rsidR="003A6F28" w:rsidRPr="00A1532C" w:rsidRDefault="003A6F28" w:rsidP="003A6F28">
      <w:pPr>
        <w:spacing w:after="0"/>
        <w:rPr>
          <w:color w:val="auto"/>
          <w:sz w:val="18"/>
        </w:rPr>
      </w:pPr>
      <w:r w:rsidRPr="00A1532C">
        <w:rPr>
          <w:color w:val="auto"/>
          <w:sz w:val="18"/>
        </w:rPr>
        <w:t>OBX|2|CE|CD:3244548805^AKI Risk^^CD:3244548805^AKI Risk^BCLAB||Stage 2^Stage 2|||*|||F|||20190718111203||^SYSTEM^Donotchange^^^^^^^Personnel|^^^CD:719302443</w:t>
      </w:r>
    </w:p>
    <w:p w14:paraId="179DAADA" w14:textId="77777777" w:rsidR="003A6F28" w:rsidRPr="00A1532C" w:rsidRDefault="003A6F28" w:rsidP="003A6F28">
      <w:pPr>
        <w:spacing w:after="0"/>
        <w:rPr>
          <w:color w:val="auto"/>
          <w:sz w:val="18"/>
        </w:rPr>
      </w:pPr>
      <w:r w:rsidRPr="00A1532C">
        <w:rPr>
          <w:color w:val="auto"/>
          <w:sz w:val="18"/>
        </w:rPr>
        <w:t>NTE|1|RESCOM|Baseline Creatinine value used to calculate AKI Risk is 0.580 collected on 07/18/19 10:36:00</w:t>
      </w:r>
    </w:p>
    <w:p w14:paraId="7DBDE3AB" w14:textId="77777777" w:rsidR="00912129" w:rsidRDefault="00912129" w:rsidP="00912129">
      <w:pPr>
        <w:pStyle w:val="NoSpacing"/>
      </w:pPr>
    </w:p>
    <w:p w14:paraId="7DBDE3AC" w14:textId="5EC0DB8A" w:rsidR="00FA462A" w:rsidRDefault="00FA462A" w:rsidP="00F01E3D">
      <w:pPr>
        <w:rPr>
          <w:color w:val="auto"/>
        </w:rPr>
      </w:pPr>
      <w:r w:rsidRPr="00CD5859">
        <w:rPr>
          <w:color w:val="auto"/>
          <w:highlight w:val="yellow"/>
        </w:rPr>
        <w:t>Out</w:t>
      </w:r>
      <w:r w:rsidR="00B900FF" w:rsidRPr="00CD5859">
        <w:rPr>
          <w:color w:val="auto"/>
          <w:highlight w:val="yellow"/>
        </w:rPr>
        <w:t>b</w:t>
      </w:r>
      <w:r w:rsidR="00912129" w:rsidRPr="00CD5859">
        <w:rPr>
          <w:color w:val="auto"/>
          <w:highlight w:val="yellow"/>
        </w:rPr>
        <w:t xml:space="preserve">ound from Cloverleaf </w:t>
      </w:r>
      <w:r w:rsidR="009D569A">
        <w:rPr>
          <w:color w:val="auto"/>
          <w:highlight w:val="yellow"/>
        </w:rPr>
        <w:t>to PatientSafe</w:t>
      </w:r>
      <w:r w:rsidRPr="00CD5859">
        <w:rPr>
          <w:color w:val="auto"/>
          <w:highlight w:val="yellow"/>
        </w:rPr>
        <w:t>:</w:t>
      </w:r>
      <w:r w:rsidR="00CD5859" w:rsidRPr="00CD5859">
        <w:rPr>
          <w:color w:val="auto"/>
          <w:highlight w:val="yellow"/>
        </w:rPr>
        <w:t xml:space="preserve"> (Inpatient)</w:t>
      </w:r>
    </w:p>
    <w:p w14:paraId="203A7BA1" w14:textId="4E2B158A" w:rsidR="003A6F28" w:rsidRPr="003A6F28" w:rsidRDefault="003A6F28" w:rsidP="003A6F28">
      <w:pPr>
        <w:spacing w:after="0"/>
        <w:rPr>
          <w:rFonts w:asciiTheme="minorHAnsi" w:hAnsiTheme="minorHAnsi" w:cstheme="minorHAnsi"/>
          <w:color w:val="auto"/>
        </w:rPr>
      </w:pPr>
      <w:r w:rsidRPr="003A6F28">
        <w:rPr>
          <w:rFonts w:asciiTheme="minorHAnsi" w:hAnsiTheme="minorHAnsi" w:cstheme="minorHAnsi"/>
          <w:color w:val="auto"/>
        </w:rPr>
        <w:t>MSH|^~\&amp;|HNAM|CERNER|</w:t>
      </w:r>
      <w:r>
        <w:rPr>
          <w:rFonts w:asciiTheme="minorHAnsi" w:hAnsiTheme="minorHAnsi" w:cstheme="minorHAnsi"/>
          <w:color w:val="auto"/>
        </w:rPr>
        <w:t>MCS</w:t>
      </w:r>
      <w:r w:rsidRPr="003A6F28">
        <w:rPr>
          <w:rFonts w:asciiTheme="minorHAnsi" w:hAnsiTheme="minorHAnsi" w:cstheme="minorHAnsi"/>
          <w:color w:val="auto"/>
        </w:rPr>
        <w:t>|BAYCARE|20190718111203||ORU^R01|Q4432202650T5825930142||2.3||||||8859/1</w:t>
      </w:r>
    </w:p>
    <w:p w14:paraId="7EA58BBA" w14:textId="77777777" w:rsidR="003A6F28" w:rsidRPr="003A6F28" w:rsidRDefault="003A6F28" w:rsidP="003A6F28">
      <w:pPr>
        <w:spacing w:after="0"/>
        <w:rPr>
          <w:rFonts w:asciiTheme="minorHAnsi" w:hAnsiTheme="minorHAnsi" w:cstheme="minorHAnsi"/>
          <w:color w:val="auto"/>
        </w:rPr>
      </w:pPr>
      <w:r w:rsidRPr="003A6F28">
        <w:rPr>
          <w:rFonts w:asciiTheme="minorHAnsi" w:hAnsiTheme="minorHAnsi" w:cstheme="minorHAnsi"/>
          <w:color w:val="auto"/>
        </w:rPr>
        <w:t>PID|1|2006002474^^^BayCare MRN^MRN|2006002474||UCTEST^GENONEONE^^^^^||20071231|M||||||||||1006009026^^^BayCare FIN^FIN NBR|||||||0</w:t>
      </w:r>
    </w:p>
    <w:p w14:paraId="2FEE6046" w14:textId="77777777" w:rsidR="003A6F28" w:rsidRPr="003A6F28" w:rsidRDefault="003A6F28" w:rsidP="003A6F28">
      <w:pPr>
        <w:spacing w:after="0"/>
        <w:rPr>
          <w:rFonts w:asciiTheme="minorHAnsi" w:hAnsiTheme="minorHAnsi" w:cstheme="minorHAnsi"/>
          <w:color w:val="auto"/>
        </w:rPr>
      </w:pPr>
      <w:r w:rsidRPr="003A6F28">
        <w:rPr>
          <w:rFonts w:asciiTheme="minorHAnsi" w:hAnsiTheme="minorHAnsi" w:cstheme="minorHAnsi"/>
          <w:color w:val="auto"/>
        </w:rPr>
        <w:t>PV1|1|I|^^^SJN^^Building(s)^SJN|||||||||||||||I|^^^&amp;&amp;^^&amp;&amp;|||||||||||||||||CD:638671|||SJN||Discharged|||20180801083000</w:t>
      </w:r>
    </w:p>
    <w:p w14:paraId="66F02116" w14:textId="77777777" w:rsidR="003A6F28" w:rsidRPr="003A6F28" w:rsidRDefault="003A6F28" w:rsidP="003A6F28">
      <w:pPr>
        <w:spacing w:after="0"/>
        <w:rPr>
          <w:rFonts w:asciiTheme="minorHAnsi" w:hAnsiTheme="minorHAnsi" w:cstheme="minorHAnsi"/>
          <w:color w:val="auto"/>
        </w:rPr>
      </w:pPr>
      <w:r w:rsidRPr="003A6F28">
        <w:rPr>
          <w:rFonts w:asciiTheme="minorHAnsi" w:hAnsiTheme="minorHAnsi" w:cstheme="minorHAnsi"/>
          <w:color w:val="auto"/>
        </w:rPr>
        <w:t>OBR|1|^^^|15232744931^HNAM_ORDERID^^|4900233^CREAT|||20190718110100|||||||20190718110200|Blood&amp;Blood^^^^^Venous Draw|||||000002019199000036^HNA_ACCN~74112902^HNA_ACCNID||20190718111157||Lab|F||1^^^20190718110100^^ROUTINE~^^^^^TODAY|||||||||20190718110100</w:t>
      </w:r>
    </w:p>
    <w:p w14:paraId="25324A05" w14:textId="77777777" w:rsidR="003A6F28" w:rsidRPr="003A6F28" w:rsidRDefault="003A6F28" w:rsidP="003A6F28">
      <w:pPr>
        <w:spacing w:after="0"/>
        <w:rPr>
          <w:rFonts w:asciiTheme="minorHAnsi" w:hAnsiTheme="minorHAnsi" w:cstheme="minorHAnsi"/>
          <w:color w:val="auto"/>
        </w:rPr>
      </w:pPr>
      <w:r w:rsidRPr="003A6F28">
        <w:rPr>
          <w:rFonts w:asciiTheme="minorHAnsi" w:hAnsiTheme="minorHAnsi" w:cstheme="minorHAnsi"/>
          <w:color w:val="auto"/>
        </w:rPr>
        <w:t>OBX|1|NM|L670671^Creatinine^BCLAB^2160-0^CREATININE:MCNC:PT:SER/PLAS:QN:^LOINC||1.500|mg/dL^mg/dL|0.300-1.300^0.300^1.300|H|||F|||20190718111155||^Holz^Jane^K^^^^^^Personnel|^^^CD:719302443</w:t>
      </w:r>
    </w:p>
    <w:p w14:paraId="154E736B" w14:textId="77777777" w:rsidR="003A6F28" w:rsidRPr="003A6F28" w:rsidRDefault="003A6F28" w:rsidP="003A6F28">
      <w:pPr>
        <w:spacing w:after="0"/>
        <w:rPr>
          <w:rFonts w:asciiTheme="minorHAnsi" w:hAnsiTheme="minorHAnsi" w:cstheme="minorHAnsi"/>
          <w:color w:val="auto"/>
        </w:rPr>
      </w:pPr>
      <w:r w:rsidRPr="003A6F28">
        <w:rPr>
          <w:rFonts w:asciiTheme="minorHAnsi" w:hAnsiTheme="minorHAnsi" w:cstheme="minorHAnsi"/>
          <w:color w:val="auto"/>
        </w:rPr>
        <w:t>OBX|2|CE|CD:3244548805^AKI Risk^^CD:3244548805^AKI Risk^BCLAB||Stage 2^Stage 2|||*|||F|||20190718111203||^SYSTEM^Donotchange^^^^^^^Personnel|^^^CD:719302443</w:t>
      </w:r>
    </w:p>
    <w:p w14:paraId="4EE66EA9" w14:textId="7DAE7BED" w:rsidR="003A6F28" w:rsidRDefault="003A6F28" w:rsidP="003A6F28">
      <w:pPr>
        <w:spacing w:after="0"/>
        <w:rPr>
          <w:sz w:val="18"/>
        </w:rPr>
      </w:pPr>
      <w:r w:rsidRPr="003A6F28">
        <w:rPr>
          <w:rFonts w:asciiTheme="minorHAnsi" w:hAnsiTheme="minorHAnsi" w:cstheme="minorHAnsi"/>
          <w:color w:val="auto"/>
        </w:rPr>
        <w:t>NTE|1|RESCOM|Baseline Creatinine value used to calculate AKI Risk is 0.580 collected on 07/18/19 10:36:00</w:t>
      </w:r>
    </w:p>
    <w:p w14:paraId="7DBDE3B3" w14:textId="64A8C838" w:rsidR="005E05C9" w:rsidRDefault="005E05C9" w:rsidP="00CD5859"/>
    <w:p w14:paraId="67DA8D8F" w14:textId="77777777" w:rsidR="00CD5859" w:rsidRDefault="00CD5859" w:rsidP="00CD5859"/>
    <w:p w14:paraId="7DBDE3B4" w14:textId="1EB48D11" w:rsidR="005E05C9" w:rsidRPr="00912129" w:rsidRDefault="00087479" w:rsidP="00F01E3D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Go Live Date for PSS ORU</w:t>
      </w:r>
      <w:r w:rsidR="009D569A">
        <w:rPr>
          <w:b/>
          <w:sz w:val="24"/>
          <w:szCs w:val="24"/>
          <w:highlight w:val="yellow"/>
        </w:rPr>
        <w:t xml:space="preserve"> interface: January 2</w:t>
      </w:r>
      <w:r w:rsidR="00912129" w:rsidRPr="00822E01">
        <w:rPr>
          <w:b/>
          <w:sz w:val="24"/>
          <w:szCs w:val="24"/>
          <w:highlight w:val="yellow"/>
        </w:rPr>
        <w:t>2</w:t>
      </w:r>
      <w:r w:rsidR="009D569A">
        <w:rPr>
          <w:b/>
          <w:sz w:val="24"/>
          <w:szCs w:val="24"/>
          <w:highlight w:val="yellow"/>
        </w:rPr>
        <w:t>, 2019</w:t>
      </w:r>
    </w:p>
    <w:p w14:paraId="7DBDE3B5" w14:textId="77777777" w:rsidR="005E05C9" w:rsidRDefault="005E05C9" w:rsidP="00B900FF"/>
    <w:p w14:paraId="7DBDE3B7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15370098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DBDE3BF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Content>
              <w:p w14:paraId="7DBDE3B8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B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DBDE3C7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C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3C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C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DBDE3CF" w14:textId="77777777" w:rsidTr="009D569A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3C8" w14:textId="15DDB5C1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DBDE3C9" w14:textId="62489735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3CA" w14:textId="565DA9D1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DE3CB" w14:textId="298E624B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C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C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BDE3C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DBDE3D0" w14:textId="77777777" w:rsidR="0018506A" w:rsidRDefault="0018506A" w:rsidP="00D97B4D"/>
    <w:p w14:paraId="7DBDE3D1" w14:textId="77777777" w:rsidR="0018506A" w:rsidRDefault="0018506A" w:rsidP="00D97B4D"/>
    <w:p w14:paraId="7DBDE3D2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1537009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Content>
        <w:p w14:paraId="7DBDE3D3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DBDE3D4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DBDE3DC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Content>
              <w:p w14:paraId="7DBDE3D5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DBDE3E4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3D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DBDE3EC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3E5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DBDE3E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3E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DE3E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E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E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BDE3E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DBDE3ED" w14:textId="77777777" w:rsidR="00350DBA" w:rsidRDefault="00350DBA" w:rsidP="00350DBA"/>
    <w:p w14:paraId="7DBDE3EE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DBDE3E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2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3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DBDE3F4" w14:textId="77777777" w:rsidR="00872877" w:rsidRDefault="00872877" w:rsidP="007177BF">
      <w:pPr>
        <w:rPr>
          <w:rFonts w:asciiTheme="minorHAnsi" w:hAnsiTheme="minorHAnsi" w:cs="Arial"/>
        </w:rPr>
      </w:pPr>
    </w:p>
    <w:p w14:paraId="7DBDE3F5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DBDE3F6" w14:textId="77777777" w:rsidR="00872877" w:rsidRDefault="00872877" w:rsidP="007177BF">
      <w:pPr>
        <w:rPr>
          <w:rFonts w:asciiTheme="minorHAnsi" w:hAnsiTheme="minorHAnsi" w:cs="Arial"/>
        </w:rPr>
      </w:pPr>
    </w:p>
    <w:p w14:paraId="7DBDE3F7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769F6" w14:textId="77777777" w:rsidR="00C6615D" w:rsidRDefault="00C6615D" w:rsidP="007C4E0F">
      <w:pPr>
        <w:spacing w:after="0" w:line="240" w:lineRule="auto"/>
      </w:pPr>
      <w:r>
        <w:separator/>
      </w:r>
    </w:p>
  </w:endnote>
  <w:endnote w:type="continuationSeparator" w:id="0">
    <w:p w14:paraId="3A7112A9" w14:textId="77777777" w:rsidR="00C6615D" w:rsidRDefault="00C6615D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E401" w14:textId="77777777" w:rsidR="00C6615D" w:rsidRDefault="00C6615D">
    <w:pPr>
      <w:pStyle w:val="Footer"/>
    </w:pPr>
  </w:p>
  <w:p w14:paraId="7DBDE402" w14:textId="77777777" w:rsidR="00C6615D" w:rsidRDefault="00C661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BDE409" wp14:editId="7DBDE40A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1" w14:textId="63B7C684" w:rsidR="00C6615D" w:rsidRPr="00E32F93" w:rsidRDefault="00C6615D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A6F2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E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DBDE411" w14:textId="63B7C684" w:rsidR="00C6615D" w:rsidRPr="00E32F93" w:rsidRDefault="00C6615D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3A6F2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BDE40B" wp14:editId="7DBDE40C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2" w14:textId="77777777" w:rsidR="00C6615D" w:rsidRPr="00E32F93" w:rsidRDefault="00C6615D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E40B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DBDE412" w14:textId="77777777" w:rsidR="00C6615D" w:rsidRPr="00E32F93" w:rsidRDefault="00C6615D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BDE40D" wp14:editId="7DBDE40E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539E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0A3DA" w14:textId="77777777" w:rsidR="00C6615D" w:rsidRDefault="00C6615D" w:rsidP="007C4E0F">
      <w:pPr>
        <w:spacing w:after="0" w:line="240" w:lineRule="auto"/>
      </w:pPr>
      <w:r>
        <w:separator/>
      </w:r>
    </w:p>
  </w:footnote>
  <w:footnote w:type="continuationSeparator" w:id="0">
    <w:p w14:paraId="266EC3CE" w14:textId="77777777" w:rsidR="00C6615D" w:rsidRDefault="00C6615D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E3FE" w14:textId="77777777" w:rsidR="00C6615D" w:rsidRDefault="00C6615D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BDE403" wp14:editId="7DBDE40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0F" w14:textId="77777777" w:rsidR="00C6615D" w:rsidRPr="00AB08CB" w:rsidRDefault="00C6615D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E4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DBDE40F" w14:textId="77777777" w:rsidR="00C6615D" w:rsidRPr="00AB08CB" w:rsidRDefault="00C6615D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BDE405" wp14:editId="7DBDE406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0" w14:textId="77777777" w:rsidR="00C6615D" w:rsidRPr="001A2714" w:rsidRDefault="00C6615D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E405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DBDE410" w14:textId="77777777" w:rsidR="00C6615D" w:rsidRPr="001A2714" w:rsidRDefault="00C6615D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DBDE407" wp14:editId="7DBDE408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BDE3FF" w14:textId="77777777" w:rsidR="00C6615D" w:rsidRDefault="00C6615D" w:rsidP="00D91BE0">
    <w:pPr>
      <w:pStyle w:val="Header"/>
      <w:ind w:left="-360" w:right="-360"/>
    </w:pPr>
    <w:r>
      <w:t xml:space="preserve">     </w:t>
    </w:r>
  </w:p>
  <w:p w14:paraId="7DBDE400" w14:textId="77777777" w:rsidR="00C6615D" w:rsidRDefault="00C66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FE3"/>
    <w:multiLevelType w:val="hybridMultilevel"/>
    <w:tmpl w:val="BFAA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E7939"/>
    <w:multiLevelType w:val="hybridMultilevel"/>
    <w:tmpl w:val="F26EF2E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44A3052">
      <w:numFmt w:val="bullet"/>
      <w:lvlText w:val="-"/>
      <w:lvlJc w:val="left"/>
      <w:pPr>
        <w:ind w:left="3687" w:hanging="1455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21"/>
  </w:num>
  <w:num w:numId="9">
    <w:abstractNumId w:val="17"/>
  </w:num>
  <w:num w:numId="10">
    <w:abstractNumId w:val="26"/>
  </w:num>
  <w:num w:numId="11">
    <w:abstractNumId w:val="2"/>
  </w:num>
  <w:num w:numId="12">
    <w:abstractNumId w:val="27"/>
  </w:num>
  <w:num w:numId="13">
    <w:abstractNumId w:val="18"/>
  </w:num>
  <w:num w:numId="14">
    <w:abstractNumId w:val="23"/>
  </w:num>
  <w:num w:numId="15">
    <w:abstractNumId w:val="8"/>
  </w:num>
  <w:num w:numId="16">
    <w:abstractNumId w:val="15"/>
  </w:num>
  <w:num w:numId="17">
    <w:abstractNumId w:val="6"/>
  </w:num>
  <w:num w:numId="18">
    <w:abstractNumId w:val="7"/>
  </w:num>
  <w:num w:numId="19">
    <w:abstractNumId w:val="25"/>
  </w:num>
  <w:num w:numId="20">
    <w:abstractNumId w:val="9"/>
  </w:num>
  <w:num w:numId="21">
    <w:abstractNumId w:val="19"/>
  </w:num>
  <w:num w:numId="22">
    <w:abstractNumId w:val="24"/>
  </w:num>
  <w:num w:numId="23">
    <w:abstractNumId w:val="16"/>
  </w:num>
  <w:num w:numId="24">
    <w:abstractNumId w:val="11"/>
  </w:num>
  <w:num w:numId="25">
    <w:abstractNumId w:val="22"/>
  </w:num>
  <w:num w:numId="26">
    <w:abstractNumId w:val="3"/>
  </w:num>
  <w:num w:numId="27">
    <w:abstractNumId w:val="14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2397"/>
    <w:rsid w:val="0000331A"/>
    <w:rsid w:val="00004282"/>
    <w:rsid w:val="00004732"/>
    <w:rsid w:val="000079D2"/>
    <w:rsid w:val="0001066D"/>
    <w:rsid w:val="000109E5"/>
    <w:rsid w:val="00014CE3"/>
    <w:rsid w:val="00014DBF"/>
    <w:rsid w:val="000163F4"/>
    <w:rsid w:val="00016507"/>
    <w:rsid w:val="000217D8"/>
    <w:rsid w:val="00023CF1"/>
    <w:rsid w:val="00023D40"/>
    <w:rsid w:val="00025139"/>
    <w:rsid w:val="00025FD5"/>
    <w:rsid w:val="0002772E"/>
    <w:rsid w:val="000300E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5CC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6B0"/>
    <w:rsid w:val="00080CDC"/>
    <w:rsid w:val="000823FC"/>
    <w:rsid w:val="0008262B"/>
    <w:rsid w:val="00082763"/>
    <w:rsid w:val="00082C02"/>
    <w:rsid w:val="00084AD9"/>
    <w:rsid w:val="00086303"/>
    <w:rsid w:val="00086931"/>
    <w:rsid w:val="00087479"/>
    <w:rsid w:val="00090C63"/>
    <w:rsid w:val="00090F4A"/>
    <w:rsid w:val="000934D6"/>
    <w:rsid w:val="00093690"/>
    <w:rsid w:val="00094990"/>
    <w:rsid w:val="00095A9A"/>
    <w:rsid w:val="00096AA4"/>
    <w:rsid w:val="00097CDE"/>
    <w:rsid w:val="000A217D"/>
    <w:rsid w:val="000A5B72"/>
    <w:rsid w:val="000A7794"/>
    <w:rsid w:val="000B02B7"/>
    <w:rsid w:val="000B09B9"/>
    <w:rsid w:val="000B1915"/>
    <w:rsid w:val="000B29B8"/>
    <w:rsid w:val="000B3B29"/>
    <w:rsid w:val="000B3B43"/>
    <w:rsid w:val="000B4466"/>
    <w:rsid w:val="000B6F60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664"/>
    <w:rsid w:val="000D6CA2"/>
    <w:rsid w:val="000D76BD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48F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CB9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42D2"/>
    <w:rsid w:val="001B50EA"/>
    <w:rsid w:val="001C20E7"/>
    <w:rsid w:val="001C2B9F"/>
    <w:rsid w:val="001C319E"/>
    <w:rsid w:val="001C5E94"/>
    <w:rsid w:val="001C739F"/>
    <w:rsid w:val="001D114A"/>
    <w:rsid w:val="001D318B"/>
    <w:rsid w:val="001D3313"/>
    <w:rsid w:val="001D3834"/>
    <w:rsid w:val="001D6401"/>
    <w:rsid w:val="001E14D8"/>
    <w:rsid w:val="001E222A"/>
    <w:rsid w:val="001E25F6"/>
    <w:rsid w:val="001E2FAE"/>
    <w:rsid w:val="001E6F9B"/>
    <w:rsid w:val="001F0E7D"/>
    <w:rsid w:val="001F13E2"/>
    <w:rsid w:val="001F3B1E"/>
    <w:rsid w:val="001F4D5F"/>
    <w:rsid w:val="001F4F9B"/>
    <w:rsid w:val="001F565E"/>
    <w:rsid w:val="001F5CD4"/>
    <w:rsid w:val="001F6495"/>
    <w:rsid w:val="001F6B68"/>
    <w:rsid w:val="001F710C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283F"/>
    <w:rsid w:val="002228F9"/>
    <w:rsid w:val="002230C6"/>
    <w:rsid w:val="00223247"/>
    <w:rsid w:val="00223F18"/>
    <w:rsid w:val="002250F7"/>
    <w:rsid w:val="00225FE3"/>
    <w:rsid w:val="00234C8A"/>
    <w:rsid w:val="00234F8F"/>
    <w:rsid w:val="00235E8B"/>
    <w:rsid w:val="00235F9D"/>
    <w:rsid w:val="002369A3"/>
    <w:rsid w:val="00237415"/>
    <w:rsid w:val="0024016C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5788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7063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499A"/>
    <w:rsid w:val="002D7DC4"/>
    <w:rsid w:val="002E54A7"/>
    <w:rsid w:val="002F015C"/>
    <w:rsid w:val="002F0263"/>
    <w:rsid w:val="002F08B9"/>
    <w:rsid w:val="002F41BF"/>
    <w:rsid w:val="002F5B5E"/>
    <w:rsid w:val="00301595"/>
    <w:rsid w:val="00302065"/>
    <w:rsid w:val="00310822"/>
    <w:rsid w:val="00310A87"/>
    <w:rsid w:val="00311796"/>
    <w:rsid w:val="00315EDE"/>
    <w:rsid w:val="00320263"/>
    <w:rsid w:val="00322054"/>
    <w:rsid w:val="00322306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4325"/>
    <w:rsid w:val="003707EC"/>
    <w:rsid w:val="003712A1"/>
    <w:rsid w:val="0037171D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2CB6"/>
    <w:rsid w:val="0038323A"/>
    <w:rsid w:val="00383D69"/>
    <w:rsid w:val="00383F49"/>
    <w:rsid w:val="00384DC5"/>
    <w:rsid w:val="0039004E"/>
    <w:rsid w:val="00390572"/>
    <w:rsid w:val="00390AD5"/>
    <w:rsid w:val="003916E2"/>
    <w:rsid w:val="00396DD2"/>
    <w:rsid w:val="003A2419"/>
    <w:rsid w:val="003A26E2"/>
    <w:rsid w:val="003A3480"/>
    <w:rsid w:val="003A5B3E"/>
    <w:rsid w:val="003A6F28"/>
    <w:rsid w:val="003A6F3A"/>
    <w:rsid w:val="003B22A5"/>
    <w:rsid w:val="003B3C6E"/>
    <w:rsid w:val="003B4142"/>
    <w:rsid w:val="003C2D09"/>
    <w:rsid w:val="003C6802"/>
    <w:rsid w:val="003C6F99"/>
    <w:rsid w:val="003D01E1"/>
    <w:rsid w:val="003D0F2D"/>
    <w:rsid w:val="003D142B"/>
    <w:rsid w:val="003D176E"/>
    <w:rsid w:val="003D1BE5"/>
    <w:rsid w:val="003D2DA4"/>
    <w:rsid w:val="003D2DB4"/>
    <w:rsid w:val="003D3405"/>
    <w:rsid w:val="003D3C9F"/>
    <w:rsid w:val="003E31D0"/>
    <w:rsid w:val="003E6FF5"/>
    <w:rsid w:val="003F0654"/>
    <w:rsid w:val="003F11C1"/>
    <w:rsid w:val="003F29BD"/>
    <w:rsid w:val="003F48F6"/>
    <w:rsid w:val="003F6133"/>
    <w:rsid w:val="003F6A0A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5D2"/>
    <w:rsid w:val="00422E5D"/>
    <w:rsid w:val="00423A64"/>
    <w:rsid w:val="00423EEC"/>
    <w:rsid w:val="00424663"/>
    <w:rsid w:val="00427727"/>
    <w:rsid w:val="00430457"/>
    <w:rsid w:val="004308CF"/>
    <w:rsid w:val="0043313F"/>
    <w:rsid w:val="0043339D"/>
    <w:rsid w:val="0043471B"/>
    <w:rsid w:val="00434EAA"/>
    <w:rsid w:val="00436FC6"/>
    <w:rsid w:val="004416A4"/>
    <w:rsid w:val="00441DEB"/>
    <w:rsid w:val="00442E78"/>
    <w:rsid w:val="00443741"/>
    <w:rsid w:val="004451F8"/>
    <w:rsid w:val="00445D20"/>
    <w:rsid w:val="00445EF8"/>
    <w:rsid w:val="00446057"/>
    <w:rsid w:val="004463AA"/>
    <w:rsid w:val="0044683B"/>
    <w:rsid w:val="004469D0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44EB"/>
    <w:rsid w:val="00486E48"/>
    <w:rsid w:val="00495541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431A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6603"/>
    <w:rsid w:val="0051788F"/>
    <w:rsid w:val="005212A4"/>
    <w:rsid w:val="005238DD"/>
    <w:rsid w:val="005250BC"/>
    <w:rsid w:val="00525675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6EA2"/>
    <w:rsid w:val="005A77CC"/>
    <w:rsid w:val="005B0192"/>
    <w:rsid w:val="005B2D84"/>
    <w:rsid w:val="005B2F33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746"/>
    <w:rsid w:val="005D24E3"/>
    <w:rsid w:val="005D2F83"/>
    <w:rsid w:val="005D3731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1BC2"/>
    <w:rsid w:val="00612CD9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581B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866F8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3D4B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2A98"/>
    <w:rsid w:val="0070576F"/>
    <w:rsid w:val="007061F1"/>
    <w:rsid w:val="007070E4"/>
    <w:rsid w:val="007130D7"/>
    <w:rsid w:val="00713EFD"/>
    <w:rsid w:val="0071451A"/>
    <w:rsid w:val="00714632"/>
    <w:rsid w:val="007177BF"/>
    <w:rsid w:val="00717F61"/>
    <w:rsid w:val="00721F32"/>
    <w:rsid w:val="00723904"/>
    <w:rsid w:val="00723BA4"/>
    <w:rsid w:val="00724301"/>
    <w:rsid w:val="007250F7"/>
    <w:rsid w:val="00725678"/>
    <w:rsid w:val="00726D2A"/>
    <w:rsid w:val="0072743E"/>
    <w:rsid w:val="00727598"/>
    <w:rsid w:val="00727F75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18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1611"/>
    <w:rsid w:val="00781CE9"/>
    <w:rsid w:val="00786AC0"/>
    <w:rsid w:val="00787AEC"/>
    <w:rsid w:val="007905D4"/>
    <w:rsid w:val="00792CFA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2E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1B03"/>
    <w:rsid w:val="0080211C"/>
    <w:rsid w:val="0080338C"/>
    <w:rsid w:val="008054C7"/>
    <w:rsid w:val="00805768"/>
    <w:rsid w:val="00805EC2"/>
    <w:rsid w:val="00805ED9"/>
    <w:rsid w:val="00807242"/>
    <w:rsid w:val="00807323"/>
    <w:rsid w:val="00810FD4"/>
    <w:rsid w:val="008116E0"/>
    <w:rsid w:val="00812371"/>
    <w:rsid w:val="00817F22"/>
    <w:rsid w:val="00821E16"/>
    <w:rsid w:val="00822E01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9C2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3"/>
    <w:rsid w:val="00875AE5"/>
    <w:rsid w:val="00875E9D"/>
    <w:rsid w:val="00876B9A"/>
    <w:rsid w:val="00876BB4"/>
    <w:rsid w:val="0087734C"/>
    <w:rsid w:val="008804BA"/>
    <w:rsid w:val="008835C4"/>
    <w:rsid w:val="00883EB3"/>
    <w:rsid w:val="008850B5"/>
    <w:rsid w:val="00886254"/>
    <w:rsid w:val="00886FC7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5BB7"/>
    <w:rsid w:val="008C6E47"/>
    <w:rsid w:val="008C7435"/>
    <w:rsid w:val="008D069A"/>
    <w:rsid w:val="008D151A"/>
    <w:rsid w:val="008D1794"/>
    <w:rsid w:val="008D47E7"/>
    <w:rsid w:val="008D5E82"/>
    <w:rsid w:val="008D5EBE"/>
    <w:rsid w:val="008D6427"/>
    <w:rsid w:val="008D67DC"/>
    <w:rsid w:val="008E2A7E"/>
    <w:rsid w:val="008E2CD8"/>
    <w:rsid w:val="008E33A2"/>
    <w:rsid w:val="008E43D8"/>
    <w:rsid w:val="008E5FB2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2D3"/>
    <w:rsid w:val="00903362"/>
    <w:rsid w:val="00904A1F"/>
    <w:rsid w:val="0090533B"/>
    <w:rsid w:val="009056B2"/>
    <w:rsid w:val="00905DCD"/>
    <w:rsid w:val="009066D5"/>
    <w:rsid w:val="00910BD7"/>
    <w:rsid w:val="00912129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DF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3A1A"/>
    <w:rsid w:val="0095506D"/>
    <w:rsid w:val="009555E5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2D1B"/>
    <w:rsid w:val="0099333D"/>
    <w:rsid w:val="00993372"/>
    <w:rsid w:val="009933A2"/>
    <w:rsid w:val="00993EB4"/>
    <w:rsid w:val="00994767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A6BEB"/>
    <w:rsid w:val="009B27E6"/>
    <w:rsid w:val="009B40C6"/>
    <w:rsid w:val="009B5570"/>
    <w:rsid w:val="009B7A14"/>
    <w:rsid w:val="009C0EF3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69A"/>
    <w:rsid w:val="009D59C0"/>
    <w:rsid w:val="009E1F09"/>
    <w:rsid w:val="009E712B"/>
    <w:rsid w:val="009E7CD5"/>
    <w:rsid w:val="009F1259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643"/>
    <w:rsid w:val="00A07DF7"/>
    <w:rsid w:val="00A10178"/>
    <w:rsid w:val="00A105BE"/>
    <w:rsid w:val="00A1088C"/>
    <w:rsid w:val="00A12775"/>
    <w:rsid w:val="00A127B3"/>
    <w:rsid w:val="00A13519"/>
    <w:rsid w:val="00A14356"/>
    <w:rsid w:val="00A1532C"/>
    <w:rsid w:val="00A1618B"/>
    <w:rsid w:val="00A16CC1"/>
    <w:rsid w:val="00A17200"/>
    <w:rsid w:val="00A218FB"/>
    <w:rsid w:val="00A2288E"/>
    <w:rsid w:val="00A23098"/>
    <w:rsid w:val="00A2477B"/>
    <w:rsid w:val="00A26462"/>
    <w:rsid w:val="00A3063D"/>
    <w:rsid w:val="00A32C06"/>
    <w:rsid w:val="00A33AB9"/>
    <w:rsid w:val="00A33D5C"/>
    <w:rsid w:val="00A34333"/>
    <w:rsid w:val="00A360DE"/>
    <w:rsid w:val="00A3689C"/>
    <w:rsid w:val="00A36AEC"/>
    <w:rsid w:val="00A4326A"/>
    <w:rsid w:val="00A56357"/>
    <w:rsid w:val="00A57978"/>
    <w:rsid w:val="00A57E6A"/>
    <w:rsid w:val="00A60377"/>
    <w:rsid w:val="00A60909"/>
    <w:rsid w:val="00A61FF0"/>
    <w:rsid w:val="00A63008"/>
    <w:rsid w:val="00A643B4"/>
    <w:rsid w:val="00A65A2E"/>
    <w:rsid w:val="00A707F5"/>
    <w:rsid w:val="00A73C0A"/>
    <w:rsid w:val="00A75E35"/>
    <w:rsid w:val="00A76C1E"/>
    <w:rsid w:val="00A775E2"/>
    <w:rsid w:val="00A77D09"/>
    <w:rsid w:val="00A80829"/>
    <w:rsid w:val="00A80F28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6D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6D98"/>
    <w:rsid w:val="00AB71B7"/>
    <w:rsid w:val="00AC11D7"/>
    <w:rsid w:val="00AC261E"/>
    <w:rsid w:val="00AC3860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FFF"/>
    <w:rsid w:val="00AE6044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565E"/>
    <w:rsid w:val="00B26046"/>
    <w:rsid w:val="00B41721"/>
    <w:rsid w:val="00B41C9C"/>
    <w:rsid w:val="00B42A57"/>
    <w:rsid w:val="00B42AE1"/>
    <w:rsid w:val="00B42B1E"/>
    <w:rsid w:val="00B46568"/>
    <w:rsid w:val="00B500ED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8C9"/>
    <w:rsid w:val="00BF4AAC"/>
    <w:rsid w:val="00C00579"/>
    <w:rsid w:val="00C049FE"/>
    <w:rsid w:val="00C05A42"/>
    <w:rsid w:val="00C106F6"/>
    <w:rsid w:val="00C10FC2"/>
    <w:rsid w:val="00C139C4"/>
    <w:rsid w:val="00C14A36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27131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1E19"/>
    <w:rsid w:val="00C53B6B"/>
    <w:rsid w:val="00C53FB0"/>
    <w:rsid w:val="00C54BE6"/>
    <w:rsid w:val="00C5614B"/>
    <w:rsid w:val="00C603A1"/>
    <w:rsid w:val="00C60FB7"/>
    <w:rsid w:val="00C6104C"/>
    <w:rsid w:val="00C61466"/>
    <w:rsid w:val="00C61488"/>
    <w:rsid w:val="00C61DD8"/>
    <w:rsid w:val="00C638A1"/>
    <w:rsid w:val="00C6615D"/>
    <w:rsid w:val="00C66DF0"/>
    <w:rsid w:val="00C67B58"/>
    <w:rsid w:val="00C67C79"/>
    <w:rsid w:val="00C70112"/>
    <w:rsid w:val="00C73A85"/>
    <w:rsid w:val="00C73C81"/>
    <w:rsid w:val="00C73D17"/>
    <w:rsid w:val="00C76B1E"/>
    <w:rsid w:val="00C77B91"/>
    <w:rsid w:val="00C812A9"/>
    <w:rsid w:val="00C82387"/>
    <w:rsid w:val="00C83516"/>
    <w:rsid w:val="00C840F4"/>
    <w:rsid w:val="00C841C8"/>
    <w:rsid w:val="00C853C4"/>
    <w:rsid w:val="00C863ED"/>
    <w:rsid w:val="00C8713A"/>
    <w:rsid w:val="00C87282"/>
    <w:rsid w:val="00C91DD3"/>
    <w:rsid w:val="00C938DE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2E3F"/>
    <w:rsid w:val="00CC4173"/>
    <w:rsid w:val="00CC4E46"/>
    <w:rsid w:val="00CC6847"/>
    <w:rsid w:val="00CC6C18"/>
    <w:rsid w:val="00CC6DF3"/>
    <w:rsid w:val="00CC796B"/>
    <w:rsid w:val="00CD0605"/>
    <w:rsid w:val="00CD125A"/>
    <w:rsid w:val="00CD1613"/>
    <w:rsid w:val="00CD2641"/>
    <w:rsid w:val="00CD31E1"/>
    <w:rsid w:val="00CD5859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27F"/>
    <w:rsid w:val="00D25472"/>
    <w:rsid w:val="00D25AE3"/>
    <w:rsid w:val="00D278D4"/>
    <w:rsid w:val="00D305E3"/>
    <w:rsid w:val="00D317DC"/>
    <w:rsid w:val="00D31F52"/>
    <w:rsid w:val="00D32785"/>
    <w:rsid w:val="00D356C9"/>
    <w:rsid w:val="00D37541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2E2F"/>
    <w:rsid w:val="00D837D5"/>
    <w:rsid w:val="00D83C20"/>
    <w:rsid w:val="00D853B8"/>
    <w:rsid w:val="00D8702B"/>
    <w:rsid w:val="00D878FA"/>
    <w:rsid w:val="00D87EEC"/>
    <w:rsid w:val="00D906D7"/>
    <w:rsid w:val="00D915D6"/>
    <w:rsid w:val="00D916AB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1199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074A8"/>
    <w:rsid w:val="00E10F43"/>
    <w:rsid w:val="00E146CB"/>
    <w:rsid w:val="00E160F7"/>
    <w:rsid w:val="00E20064"/>
    <w:rsid w:val="00E22BB6"/>
    <w:rsid w:val="00E26124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FFD"/>
    <w:rsid w:val="00E93CB3"/>
    <w:rsid w:val="00E94ADB"/>
    <w:rsid w:val="00E955B8"/>
    <w:rsid w:val="00E97B31"/>
    <w:rsid w:val="00EB2CF9"/>
    <w:rsid w:val="00EB3A0D"/>
    <w:rsid w:val="00EB3AD8"/>
    <w:rsid w:val="00EB44C6"/>
    <w:rsid w:val="00EC3EBC"/>
    <w:rsid w:val="00EC5C38"/>
    <w:rsid w:val="00EC7417"/>
    <w:rsid w:val="00EC7D4B"/>
    <w:rsid w:val="00EC7EB8"/>
    <w:rsid w:val="00ED25AA"/>
    <w:rsid w:val="00ED3CA0"/>
    <w:rsid w:val="00ED4399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460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1518"/>
    <w:rsid w:val="00F32DA4"/>
    <w:rsid w:val="00F4040C"/>
    <w:rsid w:val="00F45612"/>
    <w:rsid w:val="00F47F03"/>
    <w:rsid w:val="00F5098C"/>
    <w:rsid w:val="00F513C3"/>
    <w:rsid w:val="00F5255D"/>
    <w:rsid w:val="00F5425F"/>
    <w:rsid w:val="00F55321"/>
    <w:rsid w:val="00F55CFF"/>
    <w:rsid w:val="00F5718D"/>
    <w:rsid w:val="00F57743"/>
    <w:rsid w:val="00F57B24"/>
    <w:rsid w:val="00F60679"/>
    <w:rsid w:val="00F60CB5"/>
    <w:rsid w:val="00F60FAB"/>
    <w:rsid w:val="00F62BEA"/>
    <w:rsid w:val="00F642E3"/>
    <w:rsid w:val="00F64709"/>
    <w:rsid w:val="00F65219"/>
    <w:rsid w:val="00F715FB"/>
    <w:rsid w:val="00F73565"/>
    <w:rsid w:val="00F758A6"/>
    <w:rsid w:val="00F76296"/>
    <w:rsid w:val="00F806D3"/>
    <w:rsid w:val="00F824FE"/>
    <w:rsid w:val="00F8424E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E31"/>
    <w:rsid w:val="00FA6220"/>
    <w:rsid w:val="00FA66E3"/>
    <w:rsid w:val="00FA72C5"/>
    <w:rsid w:val="00FA76F8"/>
    <w:rsid w:val="00FA7DB6"/>
    <w:rsid w:val="00FB1492"/>
    <w:rsid w:val="00FB2ABC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0BD0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DBDE123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E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58F127C55B4A31A98C46D90AA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E403-6E84-4B42-8F97-39B8E0C828CA}"/>
      </w:docPartPr>
      <w:docPartBody>
        <w:p w:rsidR="004620A3" w:rsidRDefault="0078156A">
          <w:pPr>
            <w:pStyle w:val="DD58F127C55B4A31A98C46D90AA1401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D29AA7AC7D455D85063E0C5677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DE1E-FBFB-4517-9658-9CB363D160B1}"/>
      </w:docPartPr>
      <w:docPartBody>
        <w:p w:rsidR="004620A3" w:rsidRDefault="0078156A">
          <w:pPr>
            <w:pStyle w:val="1DD29AA7AC7D455D85063E0C567715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FE21540D4104E1CBB350D42883A6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7497B-73EF-45B1-973C-D73965653B34}"/>
      </w:docPartPr>
      <w:docPartBody>
        <w:p w:rsidR="00E80400" w:rsidRDefault="00A9337F" w:rsidP="00A9337F">
          <w:pPr>
            <w:pStyle w:val="2FE21540D4104E1CBB350D42883A662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76B838462514530B87F2F56D0186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4951-589B-40CE-9F62-D610F098A145}"/>
      </w:docPartPr>
      <w:docPartBody>
        <w:p w:rsidR="00E80400" w:rsidRDefault="00A9337F" w:rsidP="00A9337F">
          <w:pPr>
            <w:pStyle w:val="276B838462514530B87F2F56D0186E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CABB20BE1774F0C918467DE943CF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5256-251A-43E2-906D-D3D9C8F000D6}"/>
      </w:docPartPr>
      <w:docPartBody>
        <w:p w:rsidR="00E80400" w:rsidRDefault="00A9337F" w:rsidP="00A9337F">
          <w:pPr>
            <w:pStyle w:val="8CABB20BE1774F0C918467DE943CF00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9AA2D334E124CF998587E402E927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C3C3-398A-487B-8386-6DDE6D65754F}"/>
      </w:docPartPr>
      <w:docPartBody>
        <w:p w:rsidR="00E80400" w:rsidRDefault="00A9337F" w:rsidP="00A9337F">
          <w:pPr>
            <w:pStyle w:val="C9AA2D334E124CF998587E402E92708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DF383FDBEAF473CBF7BAE4E96BC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54EE3-83B0-4FB2-BF57-A096D87851D4}"/>
      </w:docPartPr>
      <w:docPartBody>
        <w:p w:rsidR="00E80400" w:rsidRDefault="00A9337F" w:rsidP="00A9337F">
          <w:pPr>
            <w:pStyle w:val="7DF383FDBEAF473CBF7BAE4E96BCF8C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A04843FBD2C49339677E0D8AA1BF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77482-D9E5-4558-BCAC-4B70DAEFEB2C}"/>
      </w:docPartPr>
      <w:docPartBody>
        <w:p w:rsidR="00E80400" w:rsidRDefault="00A9337F" w:rsidP="00A9337F">
          <w:pPr>
            <w:pStyle w:val="4A04843FBD2C49339677E0D8AA1BF138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3C127A"/>
    <w:rsid w:val="003E3BAD"/>
    <w:rsid w:val="004620A3"/>
    <w:rsid w:val="006A5A3C"/>
    <w:rsid w:val="006F1B0F"/>
    <w:rsid w:val="0078156A"/>
    <w:rsid w:val="007D0200"/>
    <w:rsid w:val="008F2004"/>
    <w:rsid w:val="009E7ED3"/>
    <w:rsid w:val="00A9337F"/>
    <w:rsid w:val="00AD16BB"/>
    <w:rsid w:val="00E259A3"/>
    <w:rsid w:val="00E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37F"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  <w:style w:type="paragraph" w:customStyle="1" w:styleId="0FC75BC50DFC4ADD81778639C57F9B07">
    <w:name w:val="0FC75BC50DFC4ADD81778639C57F9B07"/>
    <w:rsid w:val="00A9337F"/>
  </w:style>
  <w:style w:type="paragraph" w:customStyle="1" w:styleId="60A1D7B3F5EF4489B7E18B1BBB4223D9">
    <w:name w:val="60A1D7B3F5EF4489B7E18B1BBB4223D9"/>
    <w:rsid w:val="00A9337F"/>
  </w:style>
  <w:style w:type="paragraph" w:customStyle="1" w:styleId="EDA4099AA782470EA9707B39F9C0CF0A">
    <w:name w:val="EDA4099AA782470EA9707B39F9C0CF0A"/>
    <w:rsid w:val="00A9337F"/>
  </w:style>
  <w:style w:type="paragraph" w:customStyle="1" w:styleId="8EF16B51DBAD45358FF4025370AF1C80">
    <w:name w:val="8EF16B51DBAD45358FF4025370AF1C80"/>
    <w:rsid w:val="00A9337F"/>
  </w:style>
  <w:style w:type="paragraph" w:customStyle="1" w:styleId="2FE21540D4104E1CBB350D42883A662C">
    <w:name w:val="2FE21540D4104E1CBB350D42883A662C"/>
    <w:rsid w:val="00A9337F"/>
  </w:style>
  <w:style w:type="paragraph" w:customStyle="1" w:styleId="276B838462514530B87F2F56D0186E1D">
    <w:name w:val="276B838462514530B87F2F56D0186E1D"/>
    <w:rsid w:val="00A9337F"/>
  </w:style>
  <w:style w:type="paragraph" w:customStyle="1" w:styleId="8CABB20BE1774F0C918467DE943CF008">
    <w:name w:val="8CABB20BE1774F0C918467DE943CF008"/>
    <w:rsid w:val="00A9337F"/>
  </w:style>
  <w:style w:type="paragraph" w:customStyle="1" w:styleId="C9AA2D334E124CF998587E402E92708E">
    <w:name w:val="C9AA2D334E124CF998587E402E92708E"/>
    <w:rsid w:val="00A9337F"/>
  </w:style>
  <w:style w:type="paragraph" w:customStyle="1" w:styleId="7DF383FDBEAF473CBF7BAE4E96BCF8CE">
    <w:name w:val="7DF383FDBEAF473CBF7BAE4E96BCF8CE"/>
    <w:rsid w:val="00A9337F"/>
  </w:style>
  <w:style w:type="paragraph" w:customStyle="1" w:styleId="4A04843FBD2C49339677E0D8AA1BF138">
    <w:name w:val="4A04843FBD2C49339677E0D8AA1BF138"/>
    <w:rsid w:val="00A93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45DCA-C25C-4464-9662-427830BDFCC7}"/>
</file>

<file path=customXml/itemProps2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660DD10-640A-4468-81CE-912CD477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40</TotalTime>
  <Pages>12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ORU_Cerner_PatientSafe Reqs</vt:lpstr>
    </vt:vector>
  </TitlesOfParts>
  <Company>HCA</Company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ORU_Cerner_PatientSafe Reqs</dc:title>
  <dc:subject>IDBB</dc:subject>
  <dc:creator>Lazarre, Levy</dc:creator>
  <cp:lastModifiedBy>Bohall, Tiffany A.</cp:lastModifiedBy>
  <cp:revision>8</cp:revision>
  <cp:lastPrinted>2013-10-28T16:55:00Z</cp:lastPrinted>
  <dcterms:created xsi:type="dcterms:W3CDTF">2019-01-29T17:22:00Z</dcterms:created>
  <dcterms:modified xsi:type="dcterms:W3CDTF">2019-07-30T13:07:00Z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