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B3D2E"/>
          <w:sz w:val="56"/>
          <w:szCs w:val="56"/>
        </w:rPr>
        <w:t xml:space="preserve">WealthWise V3</w:t>
      </w:r>
    </w:p>
    <w:p>
      <w:pPr>
        <w:spacing w:after="240"/>
        <w:jc w:val="center"/>
      </w:pPr>
      <w:r>
        <w:rPr>
          <w:color w:val="146C43"/>
          <w:sz w:val="28"/>
          <w:szCs w:val="28"/>
        </w:rPr>
        <w:t xml:space="preserve">Security Audit, Financial Quality Review &amp; Personal Roadmap</w:t>
      </w:r>
    </w:p>
    <w:p>
      <w:pPr>
        <w:spacing w:after="600"/>
        <w:jc w:val="center"/>
      </w:pPr>
      <w:r>
        <w:rPr>
          <w:i/>
          <w:iCs/>
          <w:sz w:val="22"/>
          <w:szCs w:val="22"/>
        </w:rPr>
        <w:t xml:space="preserve">Prepared for Yasser  ·  May 11, 2026</w:t>
      </w:r>
    </w:p>
    <w:p>
      <w:pPr>
        <w:jc w:val="center"/>
      </w:pPr>
      <w:r>
        <w:rPr>
          <w:color w:val="666666"/>
          <w:sz w:val="18"/>
          <w:szCs w:val="18"/>
        </w:rPr>
        <w:t xml:space="preserve">Confidential — Personal Use Only</w:t>
      </w:r>
    </w:p>
    <w:p>
      <w:r>
        <w:br w:type="page"/>
      </w:r>
    </w:p>
    <w:p>
      <w:pPr>
        <w:pStyle w:val="Heading1"/>
        <w:spacing w:after="200" w:before="320"/>
      </w:pPr>
      <w:r>
        <w:rPr>
          <w:b/>
          <w:bCs/>
        </w:rPr>
        <w:t xml:space="preserve">Executive Summary</w:t>
      </w:r>
    </w:p>
    <w:p>
      <w:pPr>
        <w:spacing w:after="120"/>
      </w:pPr>
      <w:r>
        <w:t xml:space="preserve">This report covers four things you asked for: a hands-on security audit of the WealthWise application, a financial-quality review of its logic, an upgrade of its appearance and feature set to current best-in-class standards, and a personal 2-year emergency plan written as if from your financial advisor. The work has been applied directly to your codebase — what follows is the documentation and the playbook.</w:t>
      </w:r>
    </w:p>
    <w:p>
      <w:pPr>
        <w:pStyle w:val="Heading3"/>
        <w:spacing w:after="100" w:before="180"/>
      </w:pPr>
      <w:r>
        <w:rPr>
          <w:b/>
          <w:bCs/>
        </w:rPr>
        <w:t xml:space="preserve">What changed in the app</w:t>
      </w:r>
    </w:p>
    <w:p>
      <w:pPr>
        <w:pStyle w:val="ListParagraph"/>
        <w:numPr>
          <w:ilvl w:val="0"/>
          <w:numId w:val="2"/>
        </w:numPr>
        <w:spacing w:after="80"/>
      </w:pPr>
      <w:r>
        <w:t xml:space="preserve">Firestore security rules were rewritten so any sub-collection (statements, plans, audit logs) inherits the same per-user lock and adds a hard size cap to prevent runaway cost.</w:t>
      </w:r>
    </w:p>
    <w:p>
      <w:pPr>
        <w:pStyle w:val="ListParagraph"/>
        <w:numPr>
          <w:ilvl w:val="0"/>
          <w:numId w:val="2"/>
        </w:numPr>
        <w:spacing w:after="80"/>
      </w:pPr>
      <w:r>
        <w:t xml:space="preserve">The hardcoded Firebase API key was removed; the app now requires env vars and fails loudly if any are missing. A .env.example file was added and .gitignore was updated to keep it in the repo while still ignoring real secrets.</w:t>
      </w:r>
    </w:p>
    <w:p>
      <w:pPr>
        <w:pStyle w:val="ListParagraph"/>
        <w:numPr>
          <w:ilvl w:val="0"/>
          <w:numId w:val="2"/>
        </w:numPr>
        <w:spacing w:after="80"/>
      </w:pPr>
      <w:r>
        <w:t xml:space="preserve">A bug in the financial-health AI flow that produced zeroed-out numbers (missing currency-rates argument) was fixed.</w:t>
      </w:r>
    </w:p>
    <w:p>
      <w:pPr>
        <w:pStyle w:val="ListParagraph"/>
        <w:numPr>
          <w:ilvl w:val="0"/>
          <w:numId w:val="2"/>
        </w:numPr>
        <w:spacing w:after="80"/>
      </w:pPr>
      <w:r>
        <w:t xml:space="preserve">Emergency-fund math was added to the core calculations engine — monthly burn, three runway scenarios, 6/12/24-month targets, and shortfall.</w:t>
      </w:r>
    </w:p>
    <w:p>
      <w:pPr>
        <w:pStyle w:val="ListParagraph"/>
        <w:numPr>
          <w:ilvl w:val="0"/>
          <w:numId w:val="2"/>
        </w:numPr>
        <w:spacing w:after="80"/>
      </w:pPr>
      <w:r>
        <w:t xml:space="preserve">A new "Statement X-Ray" page lets you upload a PDF/CSV bank statement and get an AI categorization, ranked money drains, anomaly flags, and a dollarized fix list — saved to your private profile only on your command.</w:t>
      </w:r>
    </w:p>
    <w:p>
      <w:pPr>
        <w:pStyle w:val="ListParagraph"/>
        <w:numPr>
          <w:ilvl w:val="0"/>
          <w:numId w:val="2"/>
        </w:numPr>
        <w:spacing w:after="80"/>
      </w:pPr>
      <w:r>
        <w:t xml:space="preserve">A new "Emergency Plan" page gives you a 5-tier ladder up to 24 months, what-if sliders, an APY-aware 36-month projection chart, and a monthly playbook.</w:t>
      </w:r>
    </w:p>
    <w:p>
      <w:pPr>
        <w:pStyle w:val="ListParagraph"/>
        <w:numPr>
          <w:ilvl w:val="0"/>
          <w:numId w:val="2"/>
        </w:numPr>
        <w:spacing w:after="80"/>
      </w:pPr>
      <w:r>
        <w:t xml:space="preserve">The dashboard now shows a savings-rate tile, an emergency-fund progress meter, a runway badge, and a red-banner alert if cash flow turns negative or runway falls under three months.</w:t>
      </w:r>
    </w:p>
    <w:p>
      <w:pPr>
        <w:pStyle w:val="Heading3"/>
        <w:spacing w:after="100" w:before="180"/>
      </w:pPr>
      <w:r>
        <w:rPr>
          <w:b/>
          <w:bCs/>
        </w:rPr>
        <w:t xml:space="preserve">Your headline number</w:t>
      </w:r>
    </w:p>
    <w:p>
      <w:pPr>
        <w:spacing w:after="120"/>
      </w:pPr>
      <w:r>
        <w:t xml:space="preserve">Your 2-year emergency fund target is your essential monthly burn × 24. Until that number is fully funded in cash and short-duration Treasuries, every other financial decision — investing, big purchases, real estate — should be evaluated against the question: does this delay my runway? If yes, defer it.</w:t>
      </w:r>
    </w:p>
    <w:p>
      <w:r>
        <w:br w:type="page"/>
      </w:r>
    </w:p>
    <w:p>
      <w:pPr>
        <w:pStyle w:val="Heading1"/>
        <w:spacing w:after="200" w:before="320"/>
      </w:pPr>
      <w:r>
        <w:rPr>
          <w:b/>
          <w:bCs/>
        </w:rPr>
        <w:t xml:space="preserve">1. Security Audit</w:t>
      </w:r>
    </w:p>
    <w:p>
      <w:pPr>
        <w:spacing w:after="120"/>
      </w:pPr>
      <w:r>
        <w:t xml:space="preserve">I reviewed the codebase against the OWASP Top 10 for web applications, common Firebase misconfiguration patterns, and Genkit/AI-flow specific risks. Findings are grouped by severity. Items marked "Fixed in this pass" are already applied; items marked "Action item" require something only you can do (rotating keys, enabling App Check, etc.).</w:t>
      </w:r>
    </w:p>
    <w:p>
      <w:pPr>
        <w:pStyle w:val="Heading2"/>
        <w:spacing w:after="140" w:before="240"/>
      </w:pPr>
      <w:r>
        <w:rPr>
          <w:b/>
          <w:bCs/>
        </w:rPr>
        <w:t xml:space="preserve">1.1 Critical &amp; High</w:t>
      </w:r>
    </w:p>
    <w:p>
      <w:pPr>
        <w:pStyle w:val="Heading3"/>
        <w:spacing w:after="100" w:before="180"/>
      </w:pPr>
      <w:r>
        <w:rPr>
          <w:b/>
          <w:bCs/>
        </w:rPr>
        <w:t xml:space="preserve">Firestore rules were too narrow  ·  Fixed</w:t>
      </w:r>
    </w:p>
    <w:p>
      <w:pPr>
        <w:spacing w:after="120"/>
      </w:pPr>
      <w:r>
        <w:t xml:space="preserve">The original rule only matched /users/{userId} and not its sub-collections, which meant any feature using a sub-collection would silently fail closed or, depending on your data model, fall through to a default-deny. The new rules cover /users/{userId}/{document=**} with the same ownership check, add a request-size cap, and explicitly deny any other path. This is the foundation that makes the new Statement X-Ray feature safe to use.</w:t>
      </w:r>
    </w:p>
    <w:p>
      <w:pPr>
        <w:pStyle w:val="Heading3"/>
        <w:spacing w:after="100" w:before="180"/>
      </w:pPr>
      <w:r>
        <w:rPr>
          <w:b/>
          <w:bCs/>
        </w:rPr>
        <w:t xml:space="preserve">Firebase API key hardcoded in source  ·  Fixed</w:t>
      </w:r>
    </w:p>
    <w:p>
      <w:pPr>
        <w:spacing w:after="120"/>
      </w:pPr>
      <w:r>
        <w:t xml:space="preserve">The previous firebase.ts fell back to a hardcoded API key. Even though Firebase Web API keys are not secrets in the traditional sense (they are public identifiers), shipping them in source removes your ability to rotate per-environment and accidentally couples staging to prod. The new firebase.ts throws at build time if any required env var is missing, which forces you to commit a per-environment key set into your hosting provider.</w:t>
      </w:r>
    </w:p>
    <w:p>
      <w:pPr>
        <w:pStyle w:val="Heading3"/>
        <w:spacing w:after="100" w:before="180"/>
      </w:pPr>
      <w:r>
        <w:rPr>
          <w:b/>
          <w:bCs/>
        </w:rPr>
        <w:t xml:space="preserve">Genkit prompt-injection surface  ·  Action item</w:t>
      </w:r>
    </w:p>
    <w:p>
      <w:pPr>
        <w:spacing w:after="120"/>
      </w:pPr>
      <w:r>
        <w:t xml:space="preserve">The advisor flow accepts an arbitrary "context" string from the client and passes it through as the entire prompt. This is intentional today (you want full flexibility), but anyone who can authenticate could craft a prompt that wastes Gemini quota or attempts to exfiltrate the system prompt. Recommended mitigations: rate-limit the flow per user, move the system instructions to the server and concatenate them after user content, and enable Cloud Logging on the Genkit endpoint so you can audit prompts retrospectively.</w:t>
      </w:r>
    </w:p>
    <w:p>
      <w:pPr>
        <w:pStyle w:val="Heading2"/>
        <w:spacing w:after="140" w:before="240"/>
      </w:pPr>
      <w:r>
        <w:rPr>
          <w:b/>
          <w:bCs/>
        </w:rPr>
        <w:t xml:space="preserve">1.2 Medium</w:t>
      </w:r>
    </w:p>
    <w:p>
      <w:pPr>
        <w:pStyle w:val="Heading3"/>
        <w:spacing w:after="100" w:before="180"/>
      </w:pPr>
      <w:r>
        <w:rPr>
          <w:b/>
          <w:bCs/>
        </w:rPr>
        <w:t xml:space="preserve">Bug: financial-health analysis returned zeroes  ·  Fixed</w:t>
      </w:r>
    </w:p>
    <w:p>
      <w:pPr>
        <w:spacing w:after="120"/>
      </w:pPr>
      <w:r>
        <w:t xml:space="preserve">calculateMetrics() requires three arguments — (data, currency, rates) — but the get-financial-health-analysis flow called it with only two, so all conversions used the implicit default and returned zero. Net effect: the AI was scoring an empty portfolio. The flow now passes the rates argument explicitly, with initialRates as a safe fallback.</w:t>
      </w:r>
    </w:p>
    <w:p>
      <w:pPr>
        <w:pStyle w:val="Heading3"/>
        <w:spacing w:after="100" w:before="180"/>
      </w:pPr>
      <w:r>
        <w:rPr>
          <w:b/>
          <w:bCs/>
        </w:rPr>
        <w:t xml:space="preserve">No Firebase App Check  ·  Action item</w:t>
      </w:r>
    </w:p>
    <w:p>
      <w:pPr>
        <w:spacing w:after="120"/>
      </w:pPr>
      <w:r>
        <w:t xml:space="preserve">App Check is the difference between "anyone on the internet can call your Firestore from a hand-rolled client" and "only your real web app can." Enable reCAPTCHA Enterprise v3 in the Firebase console and add the App Check init to firebase.ts. Mark this as do-before-public-launch.</w:t>
      </w:r>
    </w:p>
    <w:p>
      <w:pPr>
        <w:pStyle w:val="Heading3"/>
        <w:spacing w:after="100" w:before="180"/>
      </w:pPr>
      <w:r>
        <w:rPr>
          <w:b/>
          <w:bCs/>
        </w:rPr>
        <w:t xml:space="preserve">No Content-Security-Policy header  ·  Action item</w:t>
      </w:r>
    </w:p>
    <w:p>
      <w:pPr>
        <w:spacing w:after="120"/>
      </w:pPr>
      <w:r>
        <w:t xml:space="preserve">Next.js does not emit a strict CSP by default. Add the following to next.config.ts, then iterate as you find legitimate violations: default-src 'self'; script-src 'self' 'unsafe-inline' https://cdnjs.cloudflare.com https://www.gstatic.com; img-src 'self' data: https:; connect-src 'self' https://*.googleapis.com https://api.exchangerate-api.com https://api.coingecko.com; frame-ancestors 'none'.</w:t>
      </w:r>
    </w:p>
    <w:p>
      <w:pPr>
        <w:pStyle w:val="Heading3"/>
        <w:spacing w:after="100" w:before="180"/>
      </w:pPr>
      <w:r>
        <w:rPr>
          <w:b/>
          <w:bCs/>
        </w:rPr>
        <w:t xml:space="preserve">Session persistence is browser-session  ·  Confirmed safe</w:t>
      </w:r>
    </w:p>
    <w:p>
      <w:pPr>
        <w:spacing w:after="120"/>
      </w:pPr>
      <w:r>
        <w:t xml:space="preserve">AuthContext sets browserSessionPersistence, which means the user is logged out when they close the browser tab. This is the right default for a financial app. Just make sure your users know about it — the sign-in page already states "Session expires when window closes."</w:t>
      </w:r>
    </w:p>
    <w:p>
      <w:pPr>
        <w:pStyle w:val="Heading2"/>
        <w:spacing w:after="140" w:before="240"/>
      </w:pPr>
      <w:r>
        <w:rPr>
          <w:b/>
          <w:bCs/>
        </w:rPr>
        <w:t xml:space="preserve">1.3 Low / Hygiene</w:t>
      </w:r>
    </w:p>
    <w:p>
      <w:pPr>
        <w:pStyle w:val="ListParagraph"/>
        <w:numPr>
          <w:ilvl w:val="0"/>
          <w:numId w:val="2"/>
        </w:numPr>
        <w:spacing w:after="80"/>
      </w:pPr>
      <w:r>
        <w:t xml:space="preserve">curl.log and dev.log are present in the repo root. Add them to .gitignore.</w:t>
      </w:r>
    </w:p>
    <w:p>
      <w:pPr>
        <w:pStyle w:val="ListParagraph"/>
        <w:numPr>
          <w:ilvl w:val="0"/>
          <w:numId w:val="2"/>
        </w:numPr>
        <w:spacing w:after="80"/>
      </w:pPr>
      <w:r>
        <w:t xml:space="preserve">Public folder contains placeholder documents and a service worker — audit sw.js for offline data exposure if you serve sensitive content offline.</w:t>
      </w:r>
    </w:p>
    <w:p>
      <w:pPr>
        <w:pStyle w:val="ListParagraph"/>
        <w:numPr>
          <w:ilvl w:val="0"/>
          <w:numId w:val="2"/>
        </w:numPr>
        <w:spacing w:after="80"/>
      </w:pPr>
      <w:r>
        <w:t xml:space="preserve">Several Radix UI packages are pre-1.0 majors; run npm audit and patch monthly.</w:t>
      </w:r>
    </w:p>
    <w:p>
      <w:pPr>
        <w:pStyle w:val="ListParagraph"/>
        <w:numPr>
          <w:ilvl w:val="0"/>
          <w:numId w:val="2"/>
        </w:numPr>
        <w:spacing w:after="80"/>
      </w:pPr>
      <w:r>
        <w:t xml:space="preserve">Consider adding integrity hashes (SRI) for the PDF.js CDN load used by the Statement X-Ray page.</w:t>
      </w:r>
    </w:p>
    <w:p>
      <w:r>
        <w:br w:type="page"/>
      </w:r>
    </w:p>
    <w:p>
      <w:pPr>
        <w:pStyle w:val="Heading1"/>
        <w:spacing w:after="200" w:before="320"/>
      </w:pPr>
      <w:r>
        <w:rPr>
          <w:b/>
          <w:bCs/>
        </w:rPr>
        <w:t xml:space="preserve">2. Financial-Quality Review</w:t>
      </w:r>
    </w:p>
    <w:p>
      <w:pPr>
        <w:spacing w:after="120"/>
      </w:pPr>
      <w:r>
        <w:t xml:space="preserve">Beyond raw security, I looked at whether the numbers the app reports are trustworthy. A wealth app whose numbers are off by 10% will quietly erode your decisions. Findings are summarized below; corrections are already merged.</w:t>
      </w:r>
    </w:p>
    <w:p>
      <w:pPr>
        <w:pStyle w:val="Heading2"/>
        <w:spacing w:after="140" w:before="240"/>
      </w:pPr>
      <w:r>
        <w:rPr>
          <w:b/>
          <w:bCs/>
        </w:rPr>
        <w:t xml:space="preserve">2.1 Currency conversion</w:t>
      </w:r>
    </w:p>
    <w:p>
      <w:pPr>
        <w:spacing w:after="120"/>
      </w:pPr>
      <w:r>
        <w:t xml:space="preserve">The convert() function in calculations.ts is sound: it normalises everything through USD using the provided rates table and supports gold/silver/platinum in grams via per-ounce conversion. The previous test suite implicitly assumed rates were always passed; the missing-argument bug in financial-health analysis is now fixed. One nit for future work: cache exchangerate-api responses for at least an hour to avoid 429s and to make snapshot reproducibility cleaner.</w:t>
      </w:r>
    </w:p>
    <w:p>
      <w:pPr>
        <w:pStyle w:val="Heading2"/>
        <w:spacing w:after="140" w:before="240"/>
      </w:pPr>
      <w:r>
        <w:rPr>
          <w:b/>
          <w:bCs/>
        </w:rPr>
        <w:t xml:space="preserve">2.2 Net-worth history</w:t>
      </w:r>
    </w:p>
    <w:p>
      <w:pPr>
        <w:spacing w:after="120"/>
      </w:pPr>
      <w:r>
        <w:t xml:space="preserve">The daily-snapshot logic correctly stores the currency used at the time of the snapshot and normalises on read, which is the right design — without that, switching display currency would retroactively rewrite history. I would only add a cap on the size of the history array (handled by the new Firestore rule) and a periodic compactor that keeps daily granularity for 90 days, weekly for a year, then monthly.</w:t>
      </w:r>
    </w:p>
    <w:p>
      <w:pPr>
        <w:pStyle w:val="Heading2"/>
        <w:spacing w:after="140" w:before="240"/>
      </w:pPr>
      <w:r>
        <w:rPr>
          <w:b/>
          <w:bCs/>
        </w:rPr>
        <w:t xml:space="preserve">2.3 Emergency-fund metrics (new)</w:t>
      </w:r>
    </w:p>
    <w:p>
      <w:pPr>
        <w:spacing w:after="120"/>
      </w:pPr>
      <w:r>
        <w:t xml:space="preserve">The calculation engine now exposes a dedicated emergency block: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monthlyBurn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Household + loan payments + average installment burden, in display currency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cashOnRunway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 only — the strictest baseline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runwayCashMonths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cashOnRunway / monthlyBurn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runwayLiquidMonths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 + bullion) / monthlyBurn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runwayLiquidPlusOff</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 + bullion + off-plan deposits) / monthlyBurn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target6mo / target12mo / target24mo</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monthlyBurn × 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progressPct</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cashOnRunway / target24mo, capped at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shortfall24mo</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much more cash you need to reach the 2-year goal</w:t>
            </w:r>
          </w:p>
        </w:tc>
      </w:tr>
    </w:tbl>
    <w:p>
      <w:pPr>
        <w:spacing w:after="120"/>
      </w:pPr>
      <w:r>
        <w:t xml:space="preserve"> </w:t>
      </w:r>
    </w:p>
    <w:p>
      <w:pPr>
        <w:spacing w:after="120"/>
      </w:pPr>
      <w:r>
        <w:t xml:space="preserve">These metrics feed the new dashboard tile, the alert banner, and the Emergency Plan page — and they're what the AI uses when it advises you on a statement.</w:t>
      </w:r>
    </w:p>
    <w:p>
      <w:pPr>
        <w:pStyle w:val="Heading2"/>
        <w:spacing w:after="140" w:before="240"/>
      </w:pPr>
      <w:r>
        <w:rPr>
          <w:b/>
          <w:bCs/>
        </w:rPr>
        <w:t xml:space="preserve">2.4 Savings rate &amp; debt-to-income (new)</w:t>
      </w:r>
    </w:p>
    <w:p>
      <w:pPr>
        <w:spacing w:after="120"/>
      </w:pPr>
      <w:r>
        <w:t xml:space="preserve">Two more professional ratios are now computed and exposed on the dashboard:</w:t>
      </w:r>
    </w:p>
    <w:p>
      <w:pPr>
        <w:pStyle w:val="ListParagraph"/>
        <w:numPr>
          <w:ilvl w:val="0"/>
          <w:numId w:val="2"/>
        </w:numPr>
        <w:spacing w:after="80"/>
      </w:pPr>
      <w:r>
        <w:t xml:space="preserve">Savings rate = operatingCashFlow / totalIncome × 100. The healthy band is ≥ 20%, adequate is 5–20%, critical below 5%.</w:t>
      </w:r>
    </w:p>
    <w:p>
      <w:pPr>
        <w:pStyle w:val="ListParagraph"/>
        <w:numPr>
          <w:ilvl w:val="0"/>
          <w:numId w:val="2"/>
        </w:numPr>
        <w:spacing w:after="80"/>
      </w:pPr>
      <w:r>
        <w:t xml:space="preserve">Debt-to-income = (loanExpenses + installmentsAvg) / totalIncome × 100. Anything above 36% is widely considered the danger zone for taking on more credit.</w:t>
      </w:r>
    </w:p>
    <w:p>
      <w:r>
        <w:br w:type="page"/>
      </w:r>
    </w:p>
    <w:p>
      <w:pPr>
        <w:pStyle w:val="Heading1"/>
        <w:spacing w:after="200" w:before="320"/>
      </w:pPr>
      <w:r>
        <w:rPr>
          <w:b/>
          <w:bCs/>
        </w:rPr>
        <w:t xml:space="preserve">3. New Features &amp; UI Polish</w:t>
      </w:r>
    </w:p>
    <w:p>
      <w:pPr>
        <w:pStyle w:val="Heading2"/>
        <w:spacing w:after="140" w:before="240"/>
      </w:pPr>
      <w:r>
        <w:rPr>
          <w:b/>
          <w:bCs/>
        </w:rPr>
        <w:t xml:space="preserve">3.1 Statement X-Ray</w:t>
      </w:r>
    </w:p>
    <w:p>
      <w:pPr>
        <w:spacing w:after="120"/>
      </w:pPr>
      <w:r>
        <w:t xml:space="preserve">Route: /statement. Purpose: upload a bank statement in any of three ways (paste plain text, paste CSV rows, or upload a PDF) and have the AI return five things: a 2-3 sentence executive summary, the period's income/spend/net cashflow/savings-rate, a category breakdown with top merchants, the top "money drains" ranked by annualized cost, a list of anomalies (duplicate charges, FX fees, suspicious renewals), and an action-oriented recommendation list whose dollarized impact is tied back to your 2-year emergency-fund goal.</w:t>
      </w:r>
    </w:p>
    <w:p>
      <w:pPr>
        <w:pStyle w:val="Heading3"/>
        <w:spacing w:after="100" w:before="180"/>
      </w:pPr>
      <w:r>
        <w:rPr>
          <w:b/>
          <w:bCs/>
        </w:rPr>
        <w:t xml:space="preserve">Privacy posture</w:t>
      </w:r>
    </w:p>
    <w:p>
      <w:pPr>
        <w:spacing w:after="120"/>
      </w:pPr>
      <w:r>
        <w:t xml:space="preserve">Statement text is sent only to your own Genkit/Gemini endpoint over HTTPS and is not stored anywhere unless you click "Save to my profile" — at which point it goes into your own Firestore sub-collection, which is protected by the new rules. PDF parsing happens in your browser using a CDN-loaded PDF.js; the binary bytes never leave your device.</w:t>
      </w:r>
    </w:p>
    <w:p>
      <w:pPr>
        <w:pStyle w:val="Heading3"/>
        <w:spacing w:after="100" w:before="180"/>
      </w:pPr>
      <w:r>
        <w:rPr>
          <w:b/>
          <w:bCs/>
        </w:rPr>
        <w:t xml:space="preserve">How to use it</w:t>
      </w:r>
    </w:p>
    <w:p>
      <w:pPr>
        <w:pStyle w:val="ListParagraph"/>
        <w:numPr>
          <w:ilvl w:val="0"/>
          <w:numId w:val="3"/>
        </w:numPr>
        <w:spacing w:after="80"/>
      </w:pPr>
      <w:r>
        <w:t xml:space="preserve">Open your bank's online statement and either click "Export CSV" or open the PDF.</w:t>
      </w:r>
    </w:p>
    <w:p>
      <w:pPr>
        <w:pStyle w:val="ListParagraph"/>
        <w:numPr>
          <w:ilvl w:val="0"/>
          <w:numId w:val="3"/>
        </w:numPr>
        <w:spacing w:after="80"/>
      </w:pPr>
      <w:r>
        <w:t xml:space="preserve">Drop the file (or paste the text) into the upload box.</w:t>
      </w:r>
    </w:p>
    <w:p>
      <w:pPr>
        <w:pStyle w:val="ListParagraph"/>
        <w:numPr>
          <w:ilvl w:val="0"/>
          <w:numId w:val="3"/>
        </w:numPr>
        <w:spacing w:after="80"/>
      </w:pPr>
      <w:r>
        <w:t xml:space="preserve">Fill in your monthly income and how many months the statement covers — this lets the AI weigh percentages correctly.</w:t>
      </w:r>
    </w:p>
    <w:p>
      <w:pPr>
        <w:pStyle w:val="ListParagraph"/>
        <w:numPr>
          <w:ilvl w:val="0"/>
          <w:numId w:val="3"/>
        </w:numPr>
        <w:spacing w:after="80"/>
      </w:pPr>
      <w:r>
        <w:t xml:space="preserve">Click "Run AI Analysis". Read the "Where your money is leaking" card first — that's where the highest-impact wins live.</w:t>
      </w:r>
    </w:p>
    <w:p>
      <w:pPr>
        <w:pStyle w:val="ListParagraph"/>
        <w:numPr>
          <w:ilvl w:val="0"/>
          <w:numId w:val="3"/>
        </w:numPr>
        <w:spacing w:after="80"/>
      </w:pPr>
      <w:r>
        <w:t xml:space="preserve">Take the top three actions in the recommendations list. Re-run the analysis next month to confirm the drains stopped.</w:t>
      </w:r>
    </w:p>
    <w:p>
      <w:pPr>
        <w:pStyle w:val="Heading2"/>
        <w:spacing w:after="140" w:before="240"/>
      </w:pPr>
      <w:r>
        <w:rPr>
          <w:b/>
          <w:bCs/>
        </w:rPr>
        <w:t xml:space="preserve">3.2 Emergency Plan</w:t>
      </w:r>
    </w:p>
    <w:p>
      <w:pPr>
        <w:spacing w:after="120"/>
      </w:pPr>
      <w:r>
        <w:t xml:space="preserve">Route: /emergency. Purpose: turn your monthly burn into a concrete 24-month accumulation plan. The page does four things: shows current progress against the 24-month target, lets you simulate scenarios with sliders (burn / cash on hand / monthly savings / APY), projects your balance 36 months out with reference lines for the 6-month and 24-month tiers, and walks you up a 5-tier ladder of escalating safety vehicles.</w:t>
      </w:r>
    </w:p>
    <w:p>
      <w:pPr>
        <w:pStyle w:val="Heading2"/>
        <w:spacing w:after="140" w:before="240"/>
      </w:pPr>
      <w:r>
        <w:rPr>
          <w:b/>
          <w:bCs/>
        </w:rPr>
        <w:t xml:space="preserve">3.3 Dashboard tiles</w:t>
      </w:r>
    </w:p>
    <w:p>
      <w:pPr>
        <w:spacing w:after="120"/>
      </w:pPr>
      <w:r>
        <w:t xml:space="preserve">The bento grid was extended with two new tiles — Emergency Fund progress (wide) and Savings Rate (square) — and a red alert banner that appears when cash flow goes negative or runway falls below three months. Two quick-action cards at the bottom of the dashboard route you to the new pages.</w:t>
      </w:r>
    </w:p>
    <w:p>
      <w:pPr>
        <w:pStyle w:val="Heading2"/>
        <w:spacing w:after="140" w:before="240"/>
      </w:pPr>
      <w:r>
        <w:rPr>
          <w:b/>
          <w:bCs/>
        </w:rPr>
        <w:t xml:space="preserve">3.4 Visual language</w:t>
      </w:r>
    </w:p>
    <w:p>
      <w:pPr>
        <w:spacing w:after="120"/>
      </w:pPr>
      <w:r>
        <w:t xml:space="preserve">The base aesthetic — dark obsidian background, emerald/cyan/violet aurora orbs, glassmorphic bento cards, and JetBrains-Mono accents — was preserved and extended consistently to the new pages. The redesign followed three principles: density before decoration (every tile must show a number that matters); progressive disclosure (use a Sparkline or a slider before showing a full chart); and one accent per page (emerald for accumulation, rose for risk, amber for caution).</w:t>
      </w:r>
    </w:p>
    <w:p>
      <w:r>
        <w:br w:type="page"/>
      </w:r>
    </w:p>
    <w:p>
      <w:pPr>
        <w:pStyle w:val="Heading1"/>
        <w:spacing w:after="200" w:before="320"/>
      </w:pPr>
      <w:r>
        <w:rPr>
          <w:b/>
          <w:bCs/>
        </w:rPr>
        <w:t xml:space="preserve">4. Your 2-Year Emergency Plan</w:t>
      </w:r>
    </w:p>
    <w:p>
      <w:pPr>
        <w:spacing w:after="120"/>
      </w:pPr>
      <w:r>
        <w:t xml:space="preserve">From here on this report speaks to you as your financial advisor would. I assume nothing about your current numbers; the math works at any income.</w:t>
      </w:r>
    </w:p>
    <w:p>
      <w:pPr>
        <w:pStyle w:val="Heading2"/>
        <w:spacing w:after="140" w:before="240"/>
      </w:pPr>
      <w:r>
        <w:rPr>
          <w:b/>
          <w:bCs/>
        </w:rPr>
        <w:t xml:space="preserve">4.1 Step one — Find your real monthly burn</w:t>
      </w:r>
    </w:p>
    <w:p>
      <w:pPr>
        <w:spacing w:after="120"/>
      </w:pPr>
      <w:r>
        <w:t xml:space="preserve">"Burn" is what you absolutely must pay each month even with zero income coming in. It is not the same as "what I spent last month." For our purposes burn includes: housing + utilities + groceries + transport-to-work + insurance + minimum debt payments + child or family support. It excludes: dining out, subscriptions you would cancel under stress, gifts, travel, discretionary shopping.</w:t>
      </w:r>
    </w:p>
    <w:p>
      <w:pPr>
        <w:spacing w:after="120"/>
      </w:pPr>
      <w:r>
        <w:t xml:space="preserve">Use the new Statement X-Ray page to compute this in five minutes: upload three months of statements, sort by category, then take Housing + Food &amp; Groceries + Transport + Health + Fees + minimum debt payments. The number you get is your monthly burn. Round up to the nearest hundred. That is your B.</w:t>
      </w:r>
    </w:p>
    <w:p>
      <w:pPr>
        <w:pStyle w:val="Heading2"/>
        <w:spacing w:after="140" w:before="240"/>
      </w:pPr>
      <w:r>
        <w:rPr>
          <w:b/>
          <w:bCs/>
        </w:rPr>
        <w:t xml:space="preserve">4.2 Step two — Set the four milestones</w:t>
      </w:r>
    </w:p>
    <w:p>
      <w:pPr>
        <w:spacing w:after="120"/>
      </w:pPr>
      <w:r>
        <w:t xml:space="preserve">Multiply B by 1, 3, 6, 12, and 24. Those are your five tiers: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000"/>
        <w:gridCol w:w="14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Tier</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Vehicle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 to first 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1 · Survival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 ×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Checking + HYSA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month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2 · Stability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 ×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High-Yield Savings (4–5% APY)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3–6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3 · Resilience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 ×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HYSA + 4-week T-bill ladder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6–12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4 · Independence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 × 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 HYSA, 50% 13-week T-bills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12–18 months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Tier 5 · Strategic 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 × 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 Treasuries (3/6/12-mo ladder), 20% I-Bonds, 20% HYSA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18–30 months</w:t>
            </w:r>
          </w:p>
        </w:tc>
      </w:tr>
    </w:tbl>
    <w:p>
      <w:pPr>
        <w:pStyle w:val="Heading2"/>
        <w:spacing w:after="140" w:before="240"/>
      </w:pPr>
      <w:r>
        <w:rPr>
          <w:b/>
          <w:bCs/>
        </w:rPr>
        <w:t xml:space="preserve">4.3 Step three — Pick your savings rate</w:t>
      </w:r>
    </w:p>
    <w:p>
      <w:pPr>
        <w:spacing w:after="120"/>
      </w:pPr>
      <w:r>
        <w:t xml:space="preserve">Take your post-tax monthly income I. Aim to send (I − B) × 0.7 to the fund every month. The remaining 30% of the surplus stays in your main account as breathing room so a small surprise (car repair, dentist) does not break the plan. If (I − B) is negative or near zero, you cannot start saving until you cut burn or grow income — the Statement X-Ray's recommendations exist precisely for this moment.</w:t>
      </w:r>
    </w:p>
    <w:p>
      <w:pPr>
        <w:pStyle w:val="Heading2"/>
        <w:spacing w:after="140" w:before="240"/>
      </w:pPr>
      <w:r>
        <w:rPr>
          <w:b/>
          <w:bCs/>
        </w:rPr>
        <w:t xml:space="preserve">4.4 Step four — Park each tier in the right vehicle</w:t>
      </w:r>
    </w:p>
    <w:p>
      <w:pPr>
        <w:spacing w:after="120"/>
      </w:pPr>
      <w:r>
        <w:t xml:space="preserve">Liquidity is a price you pay for safety; you want to pay the least liquidity tax that still lets you cover unexpected events. The right vehicle for each tier is the one that maximizes APY without breaking the rule "must be available within X days."</w:t>
      </w:r>
    </w:p>
    <w:p>
      <w:pPr>
        <w:pStyle w:val="ListParagraph"/>
        <w:numPr>
          <w:ilvl w:val="0"/>
          <w:numId w:val="2"/>
        </w:numPr>
        <w:spacing w:after="80"/>
      </w:pPr>
      <w:r>
        <w:t xml:space="preserve">Tier 1 (B × 1): keep in checking + HYSA. Reachable in minutes.</w:t>
      </w:r>
    </w:p>
    <w:p>
      <w:pPr>
        <w:pStyle w:val="ListParagraph"/>
        <w:numPr>
          <w:ilvl w:val="0"/>
          <w:numId w:val="2"/>
        </w:numPr>
        <w:spacing w:after="80"/>
      </w:pPr>
      <w:r>
        <w:t xml:space="preserve">Tier 2 and 3 (up to B × 6): HYSA paying ≥ 4% APY. Reachable same-day or next-day.</w:t>
      </w:r>
    </w:p>
    <w:p>
      <w:pPr>
        <w:pStyle w:val="ListParagraph"/>
        <w:numPr>
          <w:ilvl w:val="0"/>
          <w:numId w:val="2"/>
        </w:numPr>
        <w:spacing w:after="80"/>
      </w:pPr>
      <w:r>
        <w:t xml:space="preserve">Tier 4 (up to B × 12): start a 4-week Treasury auto-roll ladder for half of this tier — yields a bit more than HYSA, T+1 settlement.</w:t>
      </w:r>
    </w:p>
    <w:p>
      <w:pPr>
        <w:pStyle w:val="ListParagraph"/>
        <w:numPr>
          <w:ilvl w:val="0"/>
          <w:numId w:val="2"/>
        </w:numPr>
        <w:spacing w:after="80"/>
      </w:pPr>
      <w:r>
        <w:t xml:space="preserve">Tier 5 (up to B × 24): build a 3/6/12-month Treasury ladder, with 20% in I-Bonds (US) or local inflation-linked equivalents for inflation protection, and 20% staying in HYSA so something is always immediately accessible.</w:t>
      </w:r>
    </w:p>
    <w:p>
      <w:pPr>
        <w:pStyle w:val="Heading2"/>
        <w:spacing w:after="140" w:before="240"/>
      </w:pPr>
      <w:r>
        <w:rPr>
          <w:b/>
          <w:bCs/>
        </w:rPr>
        <w:t xml:space="preserve">4.5 Step five — Automation &gt; willpower</w:t>
      </w:r>
    </w:p>
    <w:p>
      <w:pPr>
        <w:spacing w:after="120"/>
      </w:pPr>
      <w:r>
        <w:t xml:space="preserve">On the day you receive income, an automatic transfer should move (I − B) × 0.7 into the fund. That single rule beats every spreadsheet, every habit, every motivational quote. Set it once, then forget it. Re-validate the burn number whenever life changes by more than ~10% (new lease, new child, new car loan).</w:t>
      </w:r>
    </w:p>
    <w:p>
      <w:pPr>
        <w:pStyle w:val="Heading2"/>
        <w:spacing w:after="140" w:before="240"/>
      </w:pPr>
      <w:r>
        <w:rPr>
          <w:b/>
          <w:bCs/>
        </w:rPr>
        <w:t xml:space="preserve">4.6 Step six — When to use the fund</w:t>
      </w:r>
    </w:p>
    <w:p>
      <w:pPr>
        <w:spacing w:after="120"/>
      </w:pPr>
      <w:r>
        <w:t xml:space="preserve">Three triggers, and only three: (1) income loss of more than one month; (2) urgent medical or dental that insurance does not cover; (3) major repair to a primary residence or single car when no other option exists. Anything that does not fit those triggers — a vacation, a wedding, a "good deal" on equity — comes from cash flow or from a separate sinking fund, not from this account. Refill within 12 months after any draw.</w:t>
      </w:r>
    </w:p>
    <w:p>
      <w:pPr>
        <w:pStyle w:val="Heading2"/>
        <w:spacing w:after="140" w:before="240"/>
      </w:pPr>
      <w:r>
        <w:rPr>
          <w:b/>
          <w:bCs/>
        </w:rPr>
        <w:t xml:space="preserve">4.7 Common mistakes to avoid</w:t>
      </w:r>
    </w:p>
    <w:p>
      <w:pPr>
        <w:pStyle w:val="ListParagraph"/>
        <w:numPr>
          <w:ilvl w:val="0"/>
          <w:numId w:val="2"/>
        </w:numPr>
        <w:spacing w:after="80"/>
      </w:pPr>
      <w:r>
        <w:t xml:space="preserve">Investing the emergency fund in stocks for "better returns." The whole point is that it is uncorrelated to your income.</w:t>
      </w:r>
    </w:p>
    <w:p>
      <w:pPr>
        <w:pStyle w:val="ListParagraph"/>
        <w:numPr>
          <w:ilvl w:val="0"/>
          <w:numId w:val="2"/>
        </w:numPr>
        <w:spacing w:after="80"/>
      </w:pPr>
      <w:r>
        <w:t xml:space="preserve">Keeping the fund in the same checking account as your daily spending — friction is a feature here.</w:t>
      </w:r>
    </w:p>
    <w:p>
      <w:pPr>
        <w:pStyle w:val="ListParagraph"/>
        <w:numPr>
          <w:ilvl w:val="0"/>
          <w:numId w:val="2"/>
        </w:numPr>
        <w:spacing w:after="80"/>
      </w:pPr>
      <w:r>
        <w:t xml:space="preserve">Saving while running a credit-card balance above the HYSA APY. Pay the card first.</w:t>
      </w:r>
    </w:p>
    <w:p>
      <w:pPr>
        <w:pStyle w:val="ListParagraph"/>
        <w:numPr>
          <w:ilvl w:val="0"/>
          <w:numId w:val="2"/>
        </w:numPr>
        <w:spacing w:after="80"/>
      </w:pPr>
      <w:r>
        <w:t xml:space="preserve">Pausing contributions to celebrate hitting Tier 3. Tier 3 is the baseline, not the destination.</w:t>
      </w:r>
    </w:p>
    <w:p>
      <w:pPr>
        <w:pStyle w:val="ListParagraph"/>
        <w:numPr>
          <w:ilvl w:val="0"/>
          <w:numId w:val="2"/>
        </w:numPr>
        <w:spacing w:after="80"/>
      </w:pPr>
      <w:r>
        <w:t xml:space="preserve">Building this in one currency when your liabilities are in another. Match the fund's currency to where the obligations live.</w:t>
      </w:r>
    </w:p>
    <w:p>
      <w:r>
        <w:br w:type="page"/>
      </w:r>
    </w:p>
    <w:p>
      <w:pPr>
        <w:pStyle w:val="Heading1"/>
        <w:spacing w:after="200" w:before="320"/>
      </w:pPr>
      <w:r>
        <w:rPr>
          <w:b/>
          <w:bCs/>
        </w:rPr>
        <w:t xml:space="preserve">5. Modern Financial Principles Applied</w:t>
      </w:r>
    </w:p>
    <w:p>
      <w:pPr>
        <w:spacing w:after="120"/>
      </w:pPr>
      <w:r>
        <w:t xml:space="preserve">The features above are not arbitrary — they were chosen because they map to current best practice in personal finance. Brief reference for each:</w:t>
      </w:r>
    </w:p>
    <w:p>
      <w:pPr>
        <w:pStyle w:val="Heading3"/>
        <w:spacing w:after="100" w:before="180"/>
      </w:pPr>
      <w:r>
        <w:rPr>
          <w:b/>
          <w:bCs/>
        </w:rPr>
        <w:t xml:space="preserve">Bogleheads three-fund philosophy</w:t>
      </w:r>
    </w:p>
    <w:p>
      <w:pPr>
        <w:spacing w:after="120"/>
      </w:pPr>
      <w:r>
        <w:t xml:space="preserve">Once the emergency fund is fully built, surplus capital should flow into a low-cost three-fund index portfolio (total domestic stock + total international stock + total bond) rather than active picks. The app does not enforce this, but the AI advisor flow has been seeded to recommend it.</w:t>
      </w:r>
    </w:p>
    <w:p>
      <w:pPr>
        <w:pStyle w:val="Heading3"/>
        <w:spacing w:after="100" w:before="180"/>
      </w:pPr>
      <w:r>
        <w:rPr>
          <w:b/>
          <w:bCs/>
        </w:rPr>
        <w:t xml:space="preserve">Ramsey-style debt ordering</w:t>
      </w:r>
    </w:p>
    <w:p>
      <w:pPr>
        <w:spacing w:after="120"/>
      </w:pPr>
      <w:r>
        <w:t xml:space="preserve">All consumer debt above 6% APR should be paid down before scaling beyond Tier 2 of the emergency fund. The Statement X-Ray flags high-interest debt as a "critical" drain.</w:t>
      </w:r>
    </w:p>
    <w:p>
      <w:pPr>
        <w:pStyle w:val="Heading3"/>
        <w:spacing w:after="100" w:before="180"/>
      </w:pPr>
      <w:r>
        <w:rPr>
          <w:b/>
          <w:bCs/>
        </w:rPr>
        <w:t xml:space="preserve">Bernstein's "deep-risk" framework</w:t>
      </w:r>
    </w:p>
    <w:p>
      <w:pPr>
        <w:spacing w:after="120"/>
      </w:pPr>
      <w:r>
        <w:t xml:space="preserve">Tier 5 deliberately includes inflation-linked bonds (I-Bonds in the US, equivalent products elsewhere) because deep risk — multi-decade inflation, regime change — is not the same as the shallow market-volatility risk the rest of the fund is hedging.</w:t>
      </w:r>
    </w:p>
    <w:p>
      <w:pPr>
        <w:pStyle w:val="Heading3"/>
        <w:spacing w:after="100" w:before="180"/>
      </w:pPr>
      <w:r>
        <w:rPr>
          <w:b/>
          <w:bCs/>
        </w:rPr>
        <w:t xml:space="preserve">Karsten Jeske / Big ERN sequence-of-returns work</w:t>
      </w:r>
    </w:p>
    <w:p>
      <w:pPr>
        <w:spacing w:after="120"/>
      </w:pPr>
      <w:r>
        <w:t xml:space="preserve">A 24-month cushion specifically addresses the worst window of sequence-of-returns risk: a downturn in the first two years of retirement or unemployment, which compresses recovery odds more than any single-year drop.</w:t>
      </w:r>
    </w:p>
    <w:p>
      <w:pPr>
        <w:pStyle w:val="Heading3"/>
        <w:spacing w:after="100" w:before="180"/>
      </w:pPr>
      <w:r>
        <w:rPr>
          <w:b/>
          <w:bCs/>
        </w:rPr>
        <w:t xml:space="preserve">Behavioural automation (Thaler / Sunstein)</w:t>
      </w:r>
    </w:p>
    <w:p>
      <w:pPr>
        <w:spacing w:after="120"/>
      </w:pPr>
      <w:r>
        <w:t xml:space="preserve">Defaults beat intentions. Every recommendation in this report is automatable on payday so the user never has to "decide" to save — they have to decide not to.</w:t>
      </w:r>
    </w:p>
    <w:p>
      <w:r>
        <w:br w:type="page"/>
      </w:r>
    </w:p>
    <w:p>
      <w:pPr>
        <w:pStyle w:val="Heading1"/>
        <w:spacing w:after="200" w:before="320"/>
      </w:pPr>
      <w:r>
        <w:rPr>
          <w:b/>
          <w:bCs/>
        </w:rPr>
        <w:t xml:space="preserve">6. 30-Day Action Checklist</w:t>
      </w:r>
    </w:p>
    <w:p>
      <w:pPr>
        <w:spacing w:after="120"/>
      </w:pPr>
      <w:r>
        <w:t xml:space="preserve">In priority order. Tick each off as you complete it.</w:t>
      </w:r>
    </w:p>
    <w:p>
      <w:pPr>
        <w:pStyle w:val="ListParagraph"/>
        <w:numPr>
          <w:ilvl w:val="0"/>
          <w:numId w:val="3"/>
        </w:numPr>
        <w:spacing w:after="80"/>
      </w:pPr>
      <w:r>
        <w:t xml:space="preserve">Copy .env.example to .env.local, fill in your real Firebase + Gemini keys, and add the same env vars to your Firebase Hosting / App Hosting console.</w:t>
      </w:r>
    </w:p>
    <w:p>
      <w:pPr>
        <w:pStyle w:val="ListParagraph"/>
        <w:numPr>
          <w:ilvl w:val="0"/>
          <w:numId w:val="3"/>
        </w:numPr>
        <w:spacing w:after="80"/>
      </w:pPr>
      <w:r>
        <w:t xml:space="preserve">Push the new firestore.rules with: firebase deploy --only firestore:rules.</w:t>
      </w:r>
    </w:p>
    <w:p>
      <w:pPr>
        <w:pStyle w:val="ListParagraph"/>
        <w:numPr>
          <w:ilvl w:val="0"/>
          <w:numId w:val="3"/>
        </w:numPr>
        <w:spacing w:after="80"/>
      </w:pPr>
      <w:r>
        <w:t xml:space="preserve">Enable Firebase App Check (reCAPTCHA Enterprise v3) on the same console.</w:t>
      </w:r>
    </w:p>
    <w:p>
      <w:pPr>
        <w:pStyle w:val="ListParagraph"/>
        <w:numPr>
          <w:ilvl w:val="0"/>
          <w:numId w:val="3"/>
        </w:numPr>
        <w:spacing w:after="80"/>
      </w:pPr>
      <w:r>
        <w:t xml:space="preserve">Rotate the Firebase Web API key that was previously committed in source.</w:t>
      </w:r>
    </w:p>
    <w:p>
      <w:pPr>
        <w:pStyle w:val="ListParagraph"/>
        <w:numPr>
          <w:ilvl w:val="0"/>
          <w:numId w:val="3"/>
        </w:numPr>
        <w:spacing w:after="80"/>
      </w:pPr>
      <w:r>
        <w:t xml:space="preserve">Add a Content-Security-Policy header per Section 1.2.</w:t>
      </w:r>
    </w:p>
    <w:p>
      <w:pPr>
        <w:pStyle w:val="ListParagraph"/>
        <w:numPr>
          <w:ilvl w:val="0"/>
          <w:numId w:val="3"/>
        </w:numPr>
        <w:spacing w:after="80"/>
      </w:pPr>
      <w:r>
        <w:t xml:space="preserve">Open /statement, upload your most recent statement, and act on the top three drains within the same week.</w:t>
      </w:r>
    </w:p>
    <w:p>
      <w:pPr>
        <w:pStyle w:val="ListParagraph"/>
        <w:numPr>
          <w:ilvl w:val="0"/>
          <w:numId w:val="3"/>
        </w:numPr>
        <w:spacing w:after="80"/>
      </w:pPr>
      <w:r>
        <w:t xml:space="preserve">Open /emergency, calibrate the four sliders to your real numbers, set your monthly transfer in your bank app to match the "Monthly savings into the fund" value.</w:t>
      </w:r>
    </w:p>
    <w:p>
      <w:pPr>
        <w:pStyle w:val="ListParagraph"/>
        <w:numPr>
          <w:ilvl w:val="0"/>
          <w:numId w:val="3"/>
        </w:numPr>
        <w:spacing w:after="80"/>
      </w:pPr>
      <w:r>
        <w:t xml:space="preserve">Decide which tier you are targeting first; mark it on the home dashboard.</w:t>
      </w:r>
    </w:p>
    <w:p>
      <w:pPr>
        <w:pStyle w:val="ListParagraph"/>
        <w:numPr>
          <w:ilvl w:val="0"/>
          <w:numId w:val="3"/>
        </w:numPr>
        <w:spacing w:after="80"/>
      </w:pPr>
      <w:r>
        <w:t xml:space="preserve">Schedule a recurring monthly self-review (15 minutes) on your calendar to re-run /statement and re-check progress against the target.</w:t>
      </w:r>
    </w:p>
    <w:p>
      <w:pPr>
        <w:pStyle w:val="ListParagraph"/>
        <w:numPr>
          <w:ilvl w:val="0"/>
          <w:numId w:val="3"/>
        </w:numPr>
        <w:spacing w:after="80"/>
      </w:pPr>
      <w:r>
        <w:t xml:space="preserve">Once Tier 3 is funded, schedule a 90-minute session to design your post-emergency investment plan — index portfolio, contribution rate, account types.</w:t>
      </w:r>
    </w:p>
    <w:p>
      <w:r>
        <w:br w:type="page"/>
      </w:r>
    </w:p>
    <w:p>
      <w:pPr>
        <w:pStyle w:val="Heading1"/>
        <w:spacing w:after="200" w:before="320"/>
      </w:pPr>
      <w:r>
        <w:rPr>
          <w:b/>
          <w:bCs/>
        </w:rPr>
        <w:t xml:space="preserve">Closing Note</w:t>
      </w:r>
    </w:p>
    <w:p>
      <w:pPr>
        <w:spacing w:after="120"/>
      </w:pPr>
      <w:r>
        <w:t xml:space="preserve">Mastering your financial details is less about complex math and more about reducing the number of decisions you have to make. The combination of an honest monthly-burn number, automated transfers into the right vehicle, a 2-year cushion, and a monthly 15-minute review covers ~95% of what a personal CFO would do for you. The remaining 5% — tax optimisation, real-estate cash-flow modelling, retirement glide-paths — is where the AI advisor in this app earns its keep. Use it.</w:t>
      </w:r>
    </w:p>
    <w:p>
      <w:pPr>
        <w:spacing w:after="120"/>
      </w:pPr>
      <w:r>
        <w:t xml:space="preserve"> </w:t>
      </w:r>
    </w:p>
    <w:p>
      <w:pPr>
        <w:spacing w:after="120"/>
      </w:pPr>
      <w:r>
        <w:rPr>
          <w:b/>
          <w:bCs/>
        </w:rPr>
        <w:t xml:space="preserve">Stay calm. Stay liquid. Stay invested. — Your WealthWise advisor.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WealthWise V3  ·  Security, Quality &amp; Advisory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0B3D2E"/>
      <w:sz w:val="34"/>
      <w:szCs w:val="34"/>
    </w:rPr>
  </w:style>
  <w:style w:type="paragraph" w:styleId="Heading2">
    <w:name w:val="Heading 2"/>
    <w:basedOn w:val="Normal"/>
    <w:next w:val="Normal"/>
    <w:qFormat/>
    <w:pPr>
      <w:spacing w:after="140" w:before="220"/>
      <w:outlineLvl w:val="1"/>
    </w:pPr>
    <w:rPr>
      <w:rFonts w:ascii="Calibri" w:cs="Calibri" w:eastAsia="Calibri" w:hAnsi="Calibri"/>
      <w:b/>
      <w:bCs/>
      <w:color w:val="146C43"/>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0E1E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2026-05-11T14:03:35.811Z</dcterms:created>
  <dcterms:modified xsi:type="dcterms:W3CDTF">2026-05-11T14:03:35.811Z</dcterms:modified>
</cp:coreProperties>
</file>

<file path=docProps/custom.xml><?xml version="1.0" encoding="utf-8"?>
<Properties xmlns="http://schemas.openxmlformats.org/officeDocument/2006/custom-properties" xmlns:vt="http://schemas.openxmlformats.org/officeDocument/2006/docPropsVTypes"/>
</file>