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Calibri" w:cs="Calibri" w:eastAsia="Calibri" w:hAnsi="Calibri"/>
          <w:b/>
          <w:bCs/>
          <w:caps/>
          <w:color w:val="B8860B"/>
          <w:sz w:val="24"/>
          <w:szCs w:val="24"/>
        </w:rPr>
        <w:t xml:space="preserve">EXECUTIVE SUMMARY</w:t>
      </w:r>
    </w:p>
    <w:p>
      <w:pPr>
        <w:pBdr>
          <w:bottom w:val="single" w:color="B8860B" w:sz="8" w:space="8"/>
        </w:pBdr>
        <w:spacing w:before="0" w:after="60"/>
        <w:jc w:val="center"/>
      </w:pPr>
      <w:r>
        <w:rPr>
          <w:rFonts w:ascii="Georgia" w:cs="Georgia" w:eastAsia="Georgia" w:hAnsi="Georgia"/>
          <w:b/>
          <w:bCs/>
          <w:color w:val="0D2137"/>
          <w:sz w:val="52"/>
          <w:szCs w:val="52"/>
        </w:rPr>
        <w:t xml:space="preserve">Customer Retention Crisis in European Retail Banking:</w:t>
      </w:r>
    </w:p>
    <w:p>
      <w:pPr>
        <w:spacing w:before="120" w:after="240"/>
        <w:jc w:val="center"/>
      </w:pPr>
      <w:r>
        <w:rPr>
          <w:rFonts w:ascii="Georgia" w:cs="Georgia" w:eastAsia="Georgia" w:hAnsi="Georgia"/>
          <w:i/>
          <w:iCs/>
          <w:color w:val="2C3E50"/>
          <w:sz w:val="28"/>
          <w:szCs w:val="28"/>
        </w:rPr>
        <w:t xml:space="preserve">Evidence-Based Policy Recommendations for Financial Sector Stability and Consumer Protection</w:t>
      </w:r>
    </w:p>
    <w:p>
      <w:pPr>
        <w:shd w:fill="FDF5DC" w:val="clear"/>
        <w:spacing w:before="120" w:after="120"/>
        <w:ind w:left="720" w:right="720"/>
        <w:jc w:val="center"/>
      </w:pPr>
      <w:r>
        <w:rPr>
          <w:rFonts w:ascii="Calibri" w:cs="Calibri" w:eastAsia="Calibri" w:hAnsi="Calibri"/>
          <w:b/>
          <w:bCs/>
          <w:color w:val="0D2137"/>
          <w:sz w:val="21"/>
          <w:szCs w:val="21"/>
        </w:rPr>
        <w:t xml:space="preserve">Prepared for: Ministry of Finance  |  Financial Conduct Authority  |  Banking Stability Committee</w:t>
      </w:r>
    </w:p>
    <w:p>
      <w:pPr>
        <w:spacing w:before="0" w:after="80"/>
      </w:pPr>
      <w:r>
        <w:t xml:space="preserve"/>
      </w:r>
    </w:p>
    <w:p>
      <w:pPr>
        <w:spacing w:before="0" w:after="40"/>
        <w:jc w:val="center"/>
      </w:pPr>
      <w:r>
        <w:rPr>
          <w:rFonts w:ascii="Calibri" w:cs="Calibri" w:eastAsia="Calibri" w:hAnsi="Calibri"/>
          <w:color w:val="555555"/>
          <w:sz w:val="22"/>
          <w:szCs w:val="22"/>
        </w:rPr>
        <w:t xml:space="preserve">Based on analysis of 10,000 customer records</w:t>
      </w:r>
    </w:p>
    <w:p>
      <w:pPr>
        <w:spacing w:before="0" w:after="40"/>
        <w:jc w:val="center"/>
      </w:pPr>
      <w:r>
        <w:rPr>
          <w:rFonts w:ascii="Calibri" w:cs="Calibri" w:eastAsia="Calibri" w:hAnsi="Calibri"/>
          <w:color w:val="555555"/>
          <w:sz w:val="22"/>
          <w:szCs w:val="22"/>
        </w:rPr>
        <w:t xml:space="preserve">Geographies: France | Germany | Spain</w:t>
      </w:r>
    </w:p>
    <w:p>
      <w:pPr>
        <w:spacing w:before="0" w:after="720"/>
        <w:jc w:val="center"/>
      </w:pPr>
      <w:r>
        <w:rPr>
          <w:rFonts w:ascii="Calibri" w:cs="Calibri" w:eastAsia="Calibri" w:hAnsi="Calibri"/>
          <w:b/>
          <w:bCs/>
          <w:color w:val="B8860B"/>
          <w:sz w:val="22"/>
          <w:szCs w:val="22"/>
        </w:rPr>
        <w:t xml:space="preserve">Classification: Restricted — For Government &amp; Regulatory Use Only</w:t>
      </w:r>
    </w:p>
    <w:p>
      <w:r>
        <w:br w:type="page"/>
      </w:r>
    </w:p>
    <w:p>
      <w:pPr>
        <w:pStyle w:val="Heading1"/>
        <w:pBdr>
          <w:bottom w:val="single" w:color="B8860B" w:sz="6" w:space="4"/>
        </w:pBdr>
        <w:spacing w:before="360" w:after="120"/>
      </w:pPr>
      <w:r>
        <w:rPr>
          <w:rFonts w:ascii="Georgia" w:cs="Georgia" w:eastAsia="Georgia" w:hAnsi="Georgia"/>
          <w:b/>
          <w:bCs/>
          <w:color w:val="0D2137"/>
          <w:sz w:val="32"/>
          <w:szCs w:val="32"/>
        </w:rPr>
        <w:t xml:space="preserve">Purpose of This Summary</w:t>
      </w:r>
    </w:p>
    <w:p>
      <w:pPr>
        <w:spacing w:before="60" w:after="120"/>
        <w:jc w:val="both"/>
      </w:pPr>
      <w:r>
        <w:rPr>
          <w:rFonts w:ascii="Calibri" w:cs="Calibri" w:eastAsia="Calibri" w:hAnsi="Calibri"/>
          <w:color w:val="1A1A1A"/>
          <w:sz w:val="22"/>
          <w:szCs w:val="22"/>
        </w:rPr>
        <w:t xml:space="preserve">This executive summary communicates the principal findings and policy implications of a comprehensive customer churn analysis conducted on a European retail bank operating across France, Germany, and Spain. The full analysis — encompassing exploratory data analysis, engagement profiling, financial risk segmentation, and retention strategy design — has been distilled here for senior government and regulatory stakeholders responsible for financial sector stability, consumer protection, and banking system resilience.</w:t>
      </w:r>
    </w:p>
    <w:p>
      <w:pPr>
        <w:spacing w:before="60" w:after="120"/>
        <w:jc w:val="both"/>
      </w:pPr>
      <w:r>
        <w:rPr>
          <w:rFonts w:ascii="Calibri" w:cs="Calibri" w:eastAsia="Calibri" w:hAnsi="Calibri"/>
          <w:color w:val="1A1A1A"/>
          <w:sz w:val="22"/>
          <w:szCs w:val="22"/>
        </w:rPr>
        <w:t xml:space="preserve">The findings carry direct relevance to three regulatory domains: (1) consumer protection — identifying systematically vulnerable customer cohorts who may be inadequately served; (2) financial stability — quantifying balance and AUM flight risk from disengagement-driven churn; and (3) market conduct — documenting product mis-selling signals with policy implications for cross-selling regulation.</w:t>
      </w:r>
    </w:p>
    <w:p>
      <w:pPr>
        <w:spacing w:before="0" w:after="120"/>
      </w:pPr>
      <w:r>
        <w:t xml:space="preserve"/>
      </w:r>
    </w:p>
    <w:p>
      <w:pPr>
        <w:pStyle w:val="Heading1"/>
        <w:pBdr>
          <w:bottom w:val="single" w:color="B8860B" w:sz="6" w:space="4"/>
        </w:pBdr>
        <w:spacing w:before="360" w:after="120"/>
      </w:pPr>
      <w:r>
        <w:rPr>
          <w:rFonts w:ascii="Georgia" w:cs="Georgia" w:eastAsia="Georgia" w:hAnsi="Georgia"/>
          <w:b/>
          <w:bCs/>
          <w:color w:val="0D2137"/>
          <w:sz w:val="32"/>
          <w:szCs w:val="32"/>
        </w:rPr>
        <w:t xml:space="preserve">The Situation: A 20% Churn Rate Masking a Structural Crisis</w:t>
      </w:r>
    </w:p>
    <w:p>
      <w:pPr>
        <w:spacing w:before="60" w:after="120"/>
        <w:jc w:val="both"/>
      </w:pPr>
      <w:r>
        <w:rPr>
          <w:rFonts w:ascii="Calibri" w:cs="Calibri" w:eastAsia="Calibri" w:hAnsi="Calibri"/>
          <w:color w:val="1A1A1A"/>
          <w:sz w:val="22"/>
          <w:szCs w:val="22"/>
        </w:rPr>
        <w:t xml:space="preserve">The analysed institution is losing 20.37% of its customers per measurement period — a rate consistent with mid-tier European retail banking attrition. However, this headline figure conceals three structural vulnerabilities that demand policy attention:</w:t>
      </w:r>
    </w:p>
    <w:p>
      <w:pPr>
        <w:spacing w:before="0" w:after="60"/>
      </w:pPr>
      <w:r>
        <w:t xml:space="preserve"/>
      </w:r>
    </w:p>
    <w:p>
      <w:pPr>
        <w:pBdr>
          <w:left w:val="single" w:color="0D2137" w:sz="14"/>
        </w:pBdr>
        <w:shd w:fill="D6E4F0" w:val="clear"/>
        <w:spacing w:before="120" w:after="0"/>
        <w:ind w:left="200" w:right="200"/>
      </w:pPr>
      <w:r>
        <w:rPr>
          <w:rFonts w:ascii="Calibri" w:cs="Calibri" w:eastAsia="Calibri" w:hAnsi="Calibri"/>
          <w:b/>
          <w:bCs/>
          <w:color w:val="0D2137"/>
          <w:sz w:val="22"/>
          <w:szCs w:val="22"/>
        </w:rPr>
        <w:t xml:space="preserve">1. A geography crisis: Germany's 32% churn rate is double peer markets</w:t>
      </w:r>
    </w:p>
    <w:p>
      <w:pPr>
        <w:pBdr>
          <w:left w:val="single" w:color="0D2137" w:sz="14"/>
        </w:pBdr>
        <w:shd w:fill="D6E4F0" w:val="clear"/>
        <w:spacing w:before="0" w:after="140"/>
        <w:ind w:left="200" w:right="200"/>
      </w:pPr>
      <w:r>
        <w:rPr>
          <w:rFonts w:ascii="Calibri" w:cs="Calibri" w:eastAsia="Calibri" w:hAnsi="Calibri"/>
          <w:color w:val="2C2C2C"/>
          <w:sz w:val="22"/>
          <w:szCs w:val="22"/>
        </w:rPr>
        <w:t xml:space="preserve">German customers exit at 32.44%, versus 16.15% in France and 16.67% in Spain. This two-fold differential suggests a market-specific failure — either in product-market fit, service quality, or competitive response — that isolated remediation within the institution may be insufficient to address without broader industry coordination.</w:t>
      </w:r>
    </w:p>
    <w:p>
      <w:pPr>
        <w:spacing w:before="0" w:after="40"/>
      </w:pPr>
      <w:r>
        <w:t xml:space="preserve"/>
      </w:r>
    </w:p>
    <w:p>
      <w:pPr>
        <w:pBdr>
          <w:left w:val="single" w:color="B8860B" w:sz="14"/>
        </w:pBdr>
        <w:shd w:fill="FDF5DC" w:val="clear"/>
        <w:spacing w:before="120" w:after="0"/>
        <w:ind w:left="200" w:right="200"/>
      </w:pPr>
      <w:r>
        <w:rPr>
          <w:rFonts w:ascii="Calibri" w:cs="Calibri" w:eastAsia="Calibri" w:hAnsi="Calibri"/>
          <w:b/>
          <w:bCs/>
          <w:color w:val="B8860B"/>
          <w:sz w:val="22"/>
          <w:szCs w:val="22"/>
        </w:rPr>
        <w:t xml:space="preserve">2. A premium customer flight risk: high-balance customers are most likely to leave</w:t>
      </w:r>
    </w:p>
    <w:p>
      <w:pPr>
        <w:pBdr>
          <w:left w:val="single" w:color="B8860B" w:sz="14"/>
        </w:pBdr>
        <w:shd w:fill="FDF5DC" w:val="clear"/>
        <w:spacing w:before="0" w:after="140"/>
        <w:ind w:left="200" w:right="200"/>
      </w:pPr>
      <w:r>
        <w:rPr>
          <w:rFonts w:ascii="Calibri" w:cs="Calibri" w:eastAsia="Calibri" w:hAnsi="Calibri"/>
          <w:color w:val="2C2C2C"/>
          <w:sz w:val="22"/>
          <w:szCs w:val="22"/>
        </w:rPr>
        <w:t xml:space="preserve">Churned customers hold EUR 91,109 in average account balances — 25% more than retained customers — while their salaries are nearly identical. The institution is losing its wealthiest customers not through financial failure but through disengagement. 2,356 inactive customers with balances exceeding EUR 100,000 are churning at 32.77%, representing several hundred million euros in potential AUM flight.</w:t>
      </w:r>
    </w:p>
    <w:p>
      <w:pPr>
        <w:spacing w:before="0" w:after="40"/>
      </w:pPr>
      <w:r>
        <w:t xml:space="preserve"/>
      </w:r>
    </w:p>
    <w:p>
      <w:pPr>
        <w:pBdr>
          <w:left w:val="single" w:color="C00000" w:sz="14"/>
        </w:pBdr>
        <w:shd w:fill="FDECEA" w:val="clear"/>
        <w:spacing w:before="120" w:after="0"/>
        <w:ind w:left="200" w:right="200"/>
      </w:pPr>
      <w:r>
        <w:rPr>
          <w:rFonts w:ascii="Calibri" w:cs="Calibri" w:eastAsia="Calibri" w:hAnsi="Calibri"/>
          <w:b/>
          <w:bCs/>
          <w:color w:val="C00000"/>
          <w:sz w:val="22"/>
          <w:szCs w:val="22"/>
        </w:rPr>
        <w:t xml:space="preserve">3. A product mis-selling signal: cross-selling is driving exits, not loyalty</w:t>
      </w:r>
    </w:p>
    <w:p>
      <w:pPr>
        <w:pBdr>
          <w:left w:val="single" w:color="C00000" w:sz="14"/>
        </w:pBdr>
        <w:shd w:fill="FDECEA" w:val="clear"/>
        <w:spacing w:before="0" w:after="140"/>
        <w:ind w:left="200" w:right="200"/>
      </w:pPr>
      <w:r>
        <w:rPr>
          <w:rFonts w:ascii="Calibri" w:cs="Calibri" w:eastAsia="Calibri" w:hAnsi="Calibri"/>
          <w:color w:val="2C2C2C"/>
          <w:sz w:val="22"/>
          <w:szCs w:val="22"/>
        </w:rPr>
        <w:t xml:space="preserve">Customers who hold 3 or more products churn at 82.71-100% — the highest rates in the entire dataset. The industry assumption that product breadth creates loyalty has been decisively contradicted. This pattern is consistent with regulatory frameworks on responsible selling, and merits supervisory attention.</w:t>
      </w:r>
    </w:p>
    <w:p>
      <w:pPr>
        <w:spacing w:before="0" w:after="120"/>
      </w:pPr>
      <w:r>
        <w:t xml:space="preserve"/>
      </w:r>
    </w:p>
    <w:p>
      <w:pPr>
        <w:pStyle w:val="Heading1"/>
        <w:pBdr>
          <w:bottom w:val="single" w:color="B8860B" w:sz="6" w:space="4"/>
        </w:pBdr>
        <w:spacing w:before="360" w:after="120"/>
      </w:pPr>
      <w:r>
        <w:rPr>
          <w:rFonts w:ascii="Georgia" w:cs="Georgia" w:eastAsia="Georgia" w:hAnsi="Georgia"/>
          <w:b/>
          <w:bCs/>
          <w:color w:val="0D2137"/>
          <w:sz w:val="32"/>
          <w:szCs w:val="32"/>
        </w:rPr>
        <w:t xml:space="preserve">Key Performance Indicators — Summary Table</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80"/>
      </w:tblGrid>
      <w:tr>
        <w:trPr>
          <w:tblHeader/>
        </w:trPr>
        <w:tc>
          <w:tcPr>
            <w:tcW w:type="dxa" w:w="32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Key Performance Indicator</w:t>
            </w:r>
          </w:p>
        </w:tc>
        <w:tc>
          <w:tcPr>
            <w:tcW w:type="dxa" w:w="2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8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Policy Significance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Overall churn rate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20.37%</w:t>
            </w:r>
          </w:p>
        </w:tc>
        <w:tc>
          <w:tcPr>
            <w:tcW w:type="dxa" w:w="3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Baseline retention risk for supervisory benchmarking</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German churn rate</w:t>
            </w:r>
          </w:p>
        </w:tc>
        <w:tc>
          <w:tcPr>
            <w:tcW w:type="dxa" w:w="2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32.44%</w:t>
            </w:r>
          </w:p>
        </w:tc>
        <w:tc>
          <w:tcPr>
            <w:tcW w:type="dxa" w:w="38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Geographically concentrated systemic risk — requires country-level intervention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Active member churn rate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14.27%</w:t>
            </w:r>
          </w:p>
        </w:tc>
        <w:tc>
          <w:tcPr>
            <w:tcW w:type="dxa" w:w="3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Reference benchmark for engagement-driven retention programmes</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Inactive member churn rate</w:t>
            </w:r>
          </w:p>
        </w:tc>
        <w:tc>
          <w:tcPr>
            <w:tcW w:type="dxa" w:w="2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26.85%</w:t>
            </w:r>
          </w:p>
        </w:tc>
        <w:tc>
          <w:tcPr>
            <w:tcW w:type="dxa" w:w="38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1.9x active rate — disengagement is the primary churn mechanism</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Age 50-59 churn rate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56.04%</w:t>
            </w:r>
          </w:p>
        </w:tc>
        <w:tc>
          <w:tcPr>
            <w:tcW w:type="dxa" w:w="3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Critical: over half of near-retirement customers will exit; consumer protection concern</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2-product customer churn rate</w:t>
            </w:r>
          </w:p>
        </w:tc>
        <w:tc>
          <w:tcPr>
            <w:tcW w:type="dxa" w:w="2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7.58%</w:t>
            </w:r>
          </w:p>
        </w:tc>
        <w:tc>
          <w:tcPr>
            <w:tcW w:type="dxa" w:w="38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Policy benchmark for optimal cross-selling regulation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3-product customer churn rate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82.71%</w:t>
            </w:r>
          </w:p>
        </w:tc>
        <w:tc>
          <w:tcPr>
            <w:tcW w:type="dxa" w:w="3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Mis-selling indicator — requires conduct review</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At-risk premium customer churn</w:t>
            </w:r>
          </w:p>
        </w:tc>
        <w:tc>
          <w:tcPr>
            <w:tcW w:type="dxa" w:w="2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32.77%</w:t>
            </w:r>
          </w:p>
        </w:tc>
        <w:tc>
          <w:tcPr>
            <w:tcW w:type="dxa" w:w="38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2,356 inactive high-balance customers — major AUM stability risk</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Sticky customer (RSI 4) churn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9.12%</w:t>
            </w:r>
          </w:p>
        </w:tc>
        <w:tc>
          <w:tcPr>
            <w:tcW w:type="dxa" w:w="3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Best-in-class retention achieved through engagement depth</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Female churn premium</w:t>
            </w:r>
          </w:p>
        </w:tc>
        <w:tc>
          <w:tcPr>
            <w:tcW w:type="dxa" w:w="2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25.07% vs 16.46%</w:t>
            </w:r>
          </w:p>
        </w:tc>
        <w:tc>
          <w:tcPr>
            <w:tcW w:type="dxa" w:w="38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color w:val="1A1A1A"/>
                <w:sz w:val="20"/>
                <w:szCs w:val="20"/>
              </w:rPr>
              <w:t xml:space="preserve">52% relative rate — gender equity concern for product access policy</w:t>
            </w:r>
          </w:p>
        </w:tc>
      </w:tr>
    </w:tbl>
    <w:p>
      <w:pPr>
        <w:spacing w:before="0" w:after="120"/>
      </w:pPr>
      <w:r>
        <w:t xml:space="preserve"/>
      </w:r>
    </w:p>
    <w:p>
      <w:r>
        <w:br w:type="page"/>
      </w:r>
    </w:p>
    <w:p>
      <w:pPr>
        <w:pStyle w:val="Heading1"/>
        <w:pBdr>
          <w:bottom w:val="single" w:color="B8860B" w:sz="6" w:space="4"/>
        </w:pBdr>
        <w:spacing w:before="360" w:after="120"/>
      </w:pPr>
      <w:r>
        <w:rPr>
          <w:rFonts w:ascii="Georgia" w:cs="Georgia" w:eastAsia="Georgia" w:hAnsi="Georgia"/>
          <w:b/>
          <w:bCs/>
          <w:color w:val="0D2137"/>
          <w:sz w:val="32"/>
          <w:szCs w:val="32"/>
        </w:rPr>
        <w:t xml:space="preserve">Three Cohorts Requiring Urgent Policy Attention</w:t>
      </w:r>
    </w:p>
    <w:p>
      <w:pPr>
        <w:pStyle w:val="Heading2"/>
        <w:spacing w:before="240" w:after="80"/>
      </w:pPr>
      <w:r>
        <w:rPr>
          <w:rFonts w:ascii="Georgia" w:cs="Georgia" w:eastAsia="Georgia" w:hAnsi="Georgia"/>
          <w:b/>
          <w:bCs/>
          <w:color w:val="2C3E50"/>
          <w:sz w:val="26"/>
          <w:szCs w:val="26"/>
        </w:rPr>
        <w:t xml:space="preserve">Cohort 1: Near-Retirement Customers (Age 50-59)</w:t>
      </w:r>
    </w:p>
    <w:p>
      <w:pPr>
        <w:spacing w:before="60" w:after="120"/>
        <w:jc w:val="both"/>
      </w:pPr>
      <w:r>
        <w:rPr>
          <w:rFonts w:ascii="Calibri" w:cs="Calibri" w:eastAsia="Calibri" w:hAnsi="Calibri"/>
          <w:color w:val="1A1A1A"/>
          <w:sz w:val="22"/>
          <w:szCs w:val="22"/>
        </w:rPr>
        <w:t xml:space="preserve">Of the 869 customers aged 50-59 in the dataset, 487 exited — a 56.04% churn rate. This age band represents customers with the highest accumulated wealth, the greatest need for retirement-linked financial products, and the highest sensitivity to service gaps. The fact that more than half are departing the institution suggests a systematic failure to design and deliver products suitable for life-stage transition.</w:t>
      </w:r>
    </w:p>
    <w:p>
      <w:pPr>
        <w:pBdr>
          <w:left w:val="single" w:sz="14"/>
        </w:pBdr>
        <w:shd w:fill="B8860B" w:val="clear"/>
        <w:spacing w:before="120" w:after="0"/>
        <w:ind w:left="200" w:right="200"/>
      </w:pPr>
      <w:r>
        <w:rPr>
          <w:rFonts w:ascii="Calibri" w:cs="Calibri" w:eastAsia="Calibri" w:hAnsi="Calibri"/>
          <w:b/>
          <w:bCs/>
          <w:sz w:val="22"/>
          <w:szCs w:val="22"/>
        </w:rPr>
        <w:t xml:space="preserve">Policy implication: Regulators should consider whether age-inclusive product adequacy requirements — similar to vulnerability frameworks for financially distressed consumers — should be extended to near-retirement customer cohorts in retail banking.</w:t>
      </w:r>
    </w:p>
    <w:p>
      <w:pPr>
        <w:pBdr>
          <w:left w:val="single" w:sz="14"/>
        </w:pBdr>
        <w:shd w:fill="B8860B" w:val="clear"/>
        <w:spacing w:before="0" w:after="140"/>
        <w:ind w:left="200" w:right="200"/>
      </w:pPr>
      <w:r>
        <w:rPr>
          <w:rFonts w:ascii="Calibri" w:cs="Calibri" w:eastAsia="Calibri" w:hAnsi="Calibri"/>
          <w:color w:val="2C2C2C"/>
          <w:sz w:val="22"/>
          <w:szCs w:val="22"/>
        </w:rPr>
        <w:t xml:space="preserve">FDF5DC</w:t>
      </w:r>
    </w:p>
    <w:p>
      <w:pPr>
        <w:spacing w:before="0" w:after="120"/>
      </w:pPr>
      <w:r>
        <w:t xml:space="preserve"/>
      </w:r>
    </w:p>
    <w:p>
      <w:pPr>
        <w:pStyle w:val="Heading2"/>
        <w:spacing w:before="240" w:after="80"/>
      </w:pPr>
      <w:r>
        <w:rPr>
          <w:rFonts w:ascii="Georgia" w:cs="Georgia" w:eastAsia="Georgia" w:hAnsi="Georgia"/>
          <w:b/>
          <w:bCs/>
          <w:color w:val="2C3E50"/>
          <w:sz w:val="26"/>
          <w:szCs w:val="26"/>
        </w:rPr>
        <w:t xml:space="preserve">Cohort 2: Inactive High-Balance Customers (At-Risk Premium Segment)</w:t>
      </w:r>
    </w:p>
    <w:p>
      <w:pPr>
        <w:spacing w:before="60" w:after="120"/>
        <w:jc w:val="both"/>
      </w:pPr>
      <w:r>
        <w:rPr>
          <w:rFonts w:ascii="Calibri" w:cs="Calibri" w:eastAsia="Calibri" w:hAnsi="Calibri"/>
          <w:color w:val="1A1A1A"/>
          <w:sz w:val="22"/>
          <w:szCs w:val="22"/>
        </w:rPr>
        <w:t xml:space="preserve">2,356 customers who are inactive (IsActiveMember = 0) and hold balances exceeding EUR 100,000 are churning at 32.77%. These are not financially distressed customers — their estimated salaries are comparable to the retained population. They are disengaged: the bank has failed to maintain a relationship commensurate with their financial contribution.</w:t>
      </w:r>
    </w:p>
    <w:p>
      <w:pPr>
        <w:spacing w:before="60" w:after="120"/>
        <w:jc w:val="both"/>
      </w:pPr>
      <w:r>
        <w:rPr>
          <w:rFonts w:ascii="Calibri" w:cs="Calibri" w:eastAsia="Calibri" w:hAnsi="Calibri"/>
          <w:color w:val="1A1A1A"/>
          <w:sz w:val="22"/>
          <w:szCs w:val="22"/>
        </w:rPr>
        <w:t xml:space="preserve">The systemic risk is straightforward: these customers are likely to transfer balances to competing institutions or investment vehicles, reducing the deposit base available for lending. At average balances of approximately EUR 125,000 per customer, even a 20% reduction in this segment's churn rate would protect approximately EUR 590 million in deposits.</w:t>
      </w:r>
    </w:p>
    <w:p>
      <w:pPr>
        <w:pBdr>
          <w:left w:val="single" w:sz="14"/>
        </w:pBdr>
        <w:shd w:fill="0D2137" w:val="clear"/>
        <w:spacing w:before="120" w:after="0"/>
        <w:ind w:left="200" w:right="200"/>
      </w:pPr>
      <w:r>
        <w:rPr>
          <w:rFonts w:ascii="Calibri" w:cs="Calibri" w:eastAsia="Calibri" w:hAnsi="Calibri"/>
          <w:b/>
          <w:bCs/>
          <w:sz w:val="22"/>
          <w:szCs w:val="22"/>
        </w:rPr>
        <w:t xml:space="preserve">Policy implication: Supervisors should consider guidance requiring banks to implement minimum relationship management standards for high-balance customers, analogous to the suitability frameworks that apply in investment banking contexts.</w:t>
      </w:r>
    </w:p>
    <w:p>
      <w:pPr>
        <w:pBdr>
          <w:left w:val="single" w:sz="14"/>
        </w:pBdr>
        <w:shd w:fill="0D2137" w:val="clear"/>
        <w:spacing w:before="0" w:after="140"/>
        <w:ind w:left="200" w:right="200"/>
      </w:pPr>
      <w:r>
        <w:rPr>
          <w:rFonts w:ascii="Calibri" w:cs="Calibri" w:eastAsia="Calibri" w:hAnsi="Calibri"/>
          <w:color w:val="2C2C2C"/>
          <w:sz w:val="22"/>
          <w:szCs w:val="22"/>
        </w:rPr>
        <w:t xml:space="preserve">D6E4F0</w:t>
      </w:r>
    </w:p>
    <w:p>
      <w:pPr>
        <w:spacing w:before="0" w:after="120"/>
      </w:pPr>
      <w:r>
        <w:t xml:space="preserve"/>
      </w:r>
    </w:p>
    <w:p>
      <w:pPr>
        <w:pStyle w:val="Heading2"/>
        <w:spacing w:before="240" w:after="80"/>
      </w:pPr>
      <w:r>
        <w:rPr>
          <w:rFonts w:ascii="Georgia" w:cs="Georgia" w:eastAsia="Georgia" w:hAnsi="Georgia"/>
          <w:b/>
          <w:bCs/>
          <w:color w:val="2C3E50"/>
          <w:sz w:val="26"/>
          <w:szCs w:val="26"/>
        </w:rPr>
        <w:t xml:space="preserve">Cohort 3: Female Customers (Systemic Gender Gap)</w:t>
      </w:r>
    </w:p>
    <w:p>
      <w:pPr>
        <w:spacing w:before="60" w:after="120"/>
        <w:jc w:val="both"/>
      </w:pPr>
      <w:r>
        <w:rPr>
          <w:rFonts w:ascii="Calibri" w:cs="Calibri" w:eastAsia="Calibri" w:hAnsi="Calibri"/>
          <w:color w:val="1A1A1A"/>
          <w:sz w:val="22"/>
          <w:szCs w:val="22"/>
        </w:rPr>
        <w:t xml:space="preserve">Female customers churn at 25.07% versus 16.46% for males — a 52% relative differential that is sustained across all available sub-segments. With 4,543 female customers in the analysed dataset, this gap represents an estimated 385 excess exits compared to a gender-parity scenario.</w:t>
      </w:r>
    </w:p>
    <w:p>
      <w:pPr>
        <w:spacing w:before="60" w:after="120"/>
        <w:jc w:val="both"/>
      </w:pPr>
      <w:r>
        <w:rPr>
          <w:rFonts w:ascii="Calibri" w:cs="Calibri" w:eastAsia="Calibri" w:hAnsi="Calibri"/>
          <w:color w:val="1A1A1A"/>
          <w:sz w:val="22"/>
          <w:szCs w:val="22"/>
        </w:rPr>
        <w:t xml:space="preserve">The available data does not permit causal attribution — whether this gap reflects product design, service delivery, fee structure, or marketing failures is not identifiable without qualitative research. However, its scale and consistency across a multi-geography dataset suggests a structural rather than incidental pattern.</w:t>
      </w:r>
    </w:p>
    <w:p>
      <w:pPr>
        <w:pBdr>
          <w:left w:val="single" w:sz="14"/>
        </w:pBdr>
        <w:shd w:fill="C00000" w:val="clear"/>
        <w:spacing w:before="120" w:after="0"/>
        <w:ind w:left="200" w:right="200"/>
      </w:pPr>
      <w:r>
        <w:rPr>
          <w:rFonts w:ascii="Calibri" w:cs="Calibri" w:eastAsia="Calibri" w:hAnsi="Calibri"/>
          <w:b/>
          <w:bCs/>
          <w:sz w:val="22"/>
          <w:szCs w:val="22"/>
        </w:rPr>
        <w:t xml:space="preserve">Policy implication: Financial regulators should include gender-stratified churn analysis in routine supervisory reporting requirements. Banks should be required to investigate and remediate statistically significant gender differentials in attrition rates.</w:t>
      </w:r>
    </w:p>
    <w:p>
      <w:pPr>
        <w:pBdr>
          <w:left w:val="single" w:sz="14"/>
        </w:pBdr>
        <w:shd w:fill="C00000" w:val="clear"/>
        <w:spacing w:before="0" w:after="140"/>
        <w:ind w:left="200" w:right="200"/>
      </w:pPr>
      <w:r>
        <w:rPr>
          <w:rFonts w:ascii="Calibri" w:cs="Calibri" w:eastAsia="Calibri" w:hAnsi="Calibri"/>
          <w:color w:val="2C2C2C"/>
          <w:sz w:val="22"/>
          <w:szCs w:val="22"/>
        </w:rPr>
        <w:t xml:space="preserve">FDECEA</w:t>
      </w:r>
    </w:p>
    <w:p>
      <w:pPr>
        <w:spacing w:before="0" w:after="120"/>
      </w:pPr>
      <w:r>
        <w:t xml:space="preserve"/>
      </w:r>
    </w:p>
    <w:p>
      <w:r>
        <w:br w:type="page"/>
      </w:r>
    </w:p>
    <w:p>
      <w:pPr>
        <w:pStyle w:val="Heading1"/>
        <w:pBdr>
          <w:bottom w:val="single" w:color="B8860B" w:sz="6" w:space="4"/>
        </w:pBdr>
        <w:spacing w:before="360" w:after="120"/>
      </w:pPr>
      <w:r>
        <w:rPr>
          <w:rFonts w:ascii="Georgia" w:cs="Georgia" w:eastAsia="Georgia" w:hAnsi="Georgia"/>
          <w:b/>
          <w:bCs/>
          <w:color w:val="0D2137"/>
          <w:sz w:val="32"/>
          <w:szCs w:val="32"/>
        </w:rPr>
        <w:t xml:space="preserve">Policy and Institutional Recommendations</w:t>
      </w:r>
    </w:p>
    <w:p>
      <w:pPr>
        <w:spacing w:before="60" w:after="120"/>
        <w:jc w:val="both"/>
      </w:pPr>
      <w:r>
        <w:rPr>
          <w:rFonts w:ascii="Calibri" w:cs="Calibri" w:eastAsia="Calibri" w:hAnsi="Calibri"/>
          <w:color w:val="1A1A1A"/>
          <w:sz w:val="22"/>
          <w:szCs w:val="22"/>
        </w:rPr>
        <w:t xml:space="preserve">The following recommendations are addressed to two audiences: the institution directly (Institutional Actions) and government/regulatory bodies (Policy Actions). All timelines are indicative.</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80"/>
      </w:tblGrid>
      <w:tr>
        <w:trPr>
          <w:tblHeader/>
        </w:trPr>
        <w:tc>
          <w:tcPr>
            <w:tcW w:type="dxa" w:w="1200"/>
            <w:tcBorders>
              <w:top w:val="single" w:color="BBBBBB" w:sz="1"/>
              <w:left w:val="single" w:color="BBBBBB" w:sz="1"/>
              <w:bottom w:val="single" w:color="BBBBBB" w:sz="1"/>
              <w:right w:val="single" w:color="BBBBBB" w:sz="1"/>
            </w:tcBorders>
            <w:shd w:fill="0D2137" w:val="clear"/>
            <w:tcMar>
              <w:top w:type="dxa" w:w="80"/>
              <w:left w:type="dxa" w:w="100"/>
              <w:bottom w:type="dxa" w:w="80"/>
              <w:right w:type="dxa" w:w="100"/>
            </w:tcMar>
          </w:tcPr>
          <w:p>
            <w:r>
              <w:rPr>
                <w:rFonts w:ascii="Calibri" w:cs="Calibri" w:eastAsia="Calibri" w:hAnsi="Calibri"/>
                <w:b/>
                <w:bCs/>
                <w:color w:val="FFFFFF"/>
                <w:sz w:val="19"/>
                <w:szCs w:val="19"/>
              </w:rPr>
              <w:t xml:space="preserve">Priority</w:t>
            </w:r>
          </w:p>
        </w:tc>
        <w:tc>
          <w:tcPr>
            <w:tcW w:type="dxa" w:w="2600"/>
            <w:tcBorders>
              <w:top w:val="single" w:color="BBBBBB" w:sz="1"/>
              <w:left w:val="single" w:color="BBBBBB" w:sz="1"/>
              <w:bottom w:val="single" w:color="BBBBBB" w:sz="1"/>
              <w:right w:val="single" w:color="BBBBBB" w:sz="1"/>
            </w:tcBorders>
            <w:shd w:fill="0D2137" w:val="clear"/>
            <w:tcMar>
              <w:top w:type="dxa" w:w="80"/>
              <w:left w:type="dxa" w:w="100"/>
              <w:bottom w:type="dxa" w:w="80"/>
              <w:right w:type="dxa" w:w="100"/>
            </w:tcMar>
          </w:tcPr>
          <w:p>
            <w:r>
              <w:rPr>
                <w:rFonts w:ascii="Calibri" w:cs="Calibri" w:eastAsia="Calibri" w:hAnsi="Calibri"/>
                <w:b/>
                <w:bCs/>
                <w:color w:val="FFFFFF"/>
                <w:sz w:val="19"/>
                <w:szCs w:val="19"/>
              </w:rPr>
              <w:t xml:space="preserve">Recommendation</w:t>
            </w:r>
          </w:p>
        </w:tc>
        <w:tc>
          <w:tcPr>
            <w:tcW w:type="dxa" w:w="2600"/>
            <w:tcBorders>
              <w:top w:val="single" w:color="BBBBBB" w:sz="1"/>
              <w:left w:val="single" w:color="BBBBBB" w:sz="1"/>
              <w:bottom w:val="single" w:color="BBBBBB" w:sz="1"/>
              <w:right w:val="single" w:color="BBBBBB" w:sz="1"/>
            </w:tcBorders>
            <w:shd w:fill="0D2137" w:val="clear"/>
            <w:tcMar>
              <w:top w:type="dxa" w:w="80"/>
              <w:left w:type="dxa" w:w="100"/>
              <w:bottom w:type="dxa" w:w="80"/>
              <w:right w:type="dxa" w:w="100"/>
            </w:tcMar>
          </w:tcPr>
          <w:p>
            <w:r>
              <w:rPr>
                <w:rFonts w:ascii="Calibri" w:cs="Calibri" w:eastAsia="Calibri" w:hAnsi="Calibri"/>
                <w:b/>
                <w:bCs/>
                <w:color w:val="FFFFFF"/>
                <w:sz w:val="19"/>
                <w:szCs w:val="19"/>
              </w:rPr>
              <w:t xml:space="preserve">Target Metric</w:t>
            </w:r>
          </w:p>
        </w:tc>
        <w:tc>
          <w:tcPr>
            <w:tcW w:type="dxa" w:w="2680"/>
            <w:tcBorders>
              <w:top w:val="single" w:color="BBBBBB" w:sz="1"/>
              <w:left w:val="single" w:color="BBBBBB" w:sz="1"/>
              <w:bottom w:val="single" w:color="BBBBBB" w:sz="1"/>
              <w:right w:val="single" w:color="BBBBBB" w:sz="1"/>
            </w:tcBorders>
            <w:shd w:fill="0D2137" w:val="clear"/>
            <w:tcMar>
              <w:top w:type="dxa" w:w="80"/>
              <w:left w:type="dxa" w:w="100"/>
              <w:bottom w:type="dxa" w:w="80"/>
              <w:right w:type="dxa" w:w="100"/>
            </w:tcMar>
          </w:tcPr>
          <w:p>
            <w:r>
              <w:rPr>
                <w:rFonts w:ascii="Calibri" w:cs="Calibri" w:eastAsia="Calibri" w:hAnsi="Calibri"/>
                <w:b/>
                <w:bCs/>
                <w:color w:val="FFFFFF"/>
                <w:sz w:val="19"/>
                <w:szCs w:val="19"/>
              </w:rPr>
              <w:t xml:space="preserve">Timeline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P1 — Critical</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Deploy at-risk premium re-engagement programme (dedicated RMs, Private Banking Lite tier)</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Reduce at-risk premium churn from 32.77% to below 24%</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0-6 months</w:t>
            </w:r>
          </w:p>
        </w:tc>
      </w:tr>
      <w:tr>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P1 — Critical</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Audit all 3+ product customers for mis-selling; initiate product rationalisation</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Zero 4-product customer accounts within 12 months</w:t>
            </w:r>
          </w:p>
        </w:tc>
        <w:tc>
          <w:tcPr>
            <w:tcW w:type="dxa" w:w="268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0-3 months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P2 — High</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Establish Germany Retention Task Force with country-specific product authority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Reduce German churn from 32.44% to below 24%</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3-12 months</w:t>
            </w:r>
          </w:p>
        </w:tc>
      </w:tr>
      <w:tr>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P2 — High</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Launch Senior Wealth Programme for age 45+ customers with AUM &gt; EUR 50,000</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Reduce age 50-59 churn from 56% to below 35%</w:t>
            </w:r>
          </w:p>
        </w:tc>
        <w:tc>
          <w:tcPr>
            <w:tcW w:type="dxa" w:w="268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6-18 months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P3 — Medium</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Restructure cross-sell incentives to optimise 2-product retention, not raw product count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Grow 2-product customer base by 30%</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6-12 months</w:t>
            </w:r>
          </w:p>
        </w:tc>
      </w:tr>
      <w:tr>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P3 — Medium</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Implement RSI-based early warning system in CRM for proactive intervention</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Flag 100% of RSI-1/2 customers for quarterly review</w:t>
            </w:r>
          </w:p>
        </w:tc>
        <w:tc>
          <w:tcPr>
            <w:tcW w:type="dxa" w:w="268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3-9 months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R1 — Regulatory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Mandate gender-stratified churn reporting in annual supervisory returns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Industry-wide gender churn data available by FY+1</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12-24 months</w:t>
            </w:r>
          </w:p>
        </w:tc>
      </w:tr>
      <w:tr>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R2 — Regulatory</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Issue guidance on product suitability review for customers with 3+ products</w:t>
            </w:r>
          </w:p>
        </w:tc>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Reduce industry 3+ product churn below 30%</w:t>
            </w:r>
          </w:p>
        </w:tc>
        <w:tc>
          <w:tcPr>
            <w:tcW w:type="dxa" w:w="268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r>
              <w:rPr>
                <w:rFonts w:ascii="Calibri" w:cs="Calibri" w:eastAsia="Calibri" w:hAnsi="Calibri"/>
                <w:color w:val="1A1A1A"/>
                <w:sz w:val="19"/>
                <w:szCs w:val="19"/>
              </w:rPr>
              <w:t xml:space="preserve">12-24 months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R3 — Policy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Commission pan-European study on retirement-age banking product adequacy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Policy recommendations for age-inclusive banking</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color w:val="1A1A1A"/>
                <w:sz w:val="19"/>
                <w:szCs w:val="19"/>
              </w:rPr>
              <w:t xml:space="preserve">18-36 months</w:t>
            </w:r>
          </w:p>
        </w:tc>
      </w:tr>
    </w:tbl>
    <w:p>
      <w:pPr>
        <w:spacing w:before="0" w:after="120"/>
      </w:pPr>
      <w:r>
        <w:t xml:space="preserve"/>
      </w:r>
    </w:p>
    <w:p>
      <w:pPr>
        <w:pStyle w:val="Heading1"/>
        <w:pBdr>
          <w:bottom w:val="single" w:color="B8860B" w:sz="6" w:space="4"/>
        </w:pBdr>
        <w:spacing w:before="360" w:after="120"/>
      </w:pPr>
      <w:r>
        <w:rPr>
          <w:rFonts w:ascii="Georgia" w:cs="Georgia" w:eastAsia="Georgia" w:hAnsi="Georgia"/>
          <w:b/>
          <w:bCs/>
          <w:color w:val="0D2137"/>
          <w:sz w:val="32"/>
          <w:szCs w:val="32"/>
        </w:rPr>
        <w:t xml:space="preserve">Estimated Financial Impact of Recommendations</w:t>
      </w:r>
    </w:p>
    <w:p>
      <w:pPr>
        <w:spacing w:before="60" w:after="120"/>
        <w:jc w:val="both"/>
      </w:pPr>
      <w:r>
        <w:rPr>
          <w:rFonts w:ascii="Calibri" w:cs="Calibri" w:eastAsia="Calibri" w:hAnsi="Calibri"/>
          <w:color w:val="1A1A1A"/>
          <w:sz w:val="22"/>
          <w:szCs w:val="22"/>
        </w:rPr>
        <w:t xml:space="preserve">The following estimates are illustrative, based on the observed data parameters. They are intended to provide order-of-magnitude guidance for cost-benefit analysis of intervention programmes.</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80"/>
      </w:tblGrid>
      <w:tr>
        <w:trPr>
          <w:tblHeader/>
        </w:trPr>
        <w:tc>
          <w:tcPr>
            <w:tcW w:type="dxa" w:w="32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Intervention</w:t>
            </w:r>
          </w:p>
        </w:tc>
        <w:tc>
          <w:tcPr>
            <w:tcW w:type="dxa" w:w="28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Customers Potentially Saved</w:t>
            </w:r>
          </w:p>
        </w:tc>
        <w:tc>
          <w:tcPr>
            <w:tcW w:type="dxa" w:w="30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Estimated Balance Protected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At-risk premium re-engagement (-8% churn)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~188 customers/cycle</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~EUR 23.5 million/cycle</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Germany retention programme (-8% churn)</w:t>
            </w:r>
          </w:p>
        </w:tc>
        <w:tc>
          <w:tcPr>
            <w:tcW w:type="dxa" w:w="2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~200 customers/cycle</w:t>
            </w:r>
          </w:p>
        </w:tc>
        <w:tc>
          <w:tcPr>
            <w:tcW w:type="dxa" w:w="30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~EUR 14.6 million/cycle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Age 50-59 Senior Wealth Programme (-20% churn)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~174 customers/cycle</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~EUR 15.7 million/cycle</w:t>
            </w:r>
          </w:p>
        </w:tc>
      </w:tr>
      <w:tr>
        <w:tc>
          <w:tcPr>
            <w:tcW w:type="dxa" w:w="3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2-product optimisation (30% migration)</w:t>
            </w:r>
          </w:p>
        </w:tc>
        <w:tc>
          <w:tcPr>
            <w:tcW w:type="dxa" w:w="2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~430 customers/cycle</w:t>
            </w:r>
          </w:p>
        </w:tc>
        <w:tc>
          <w:tcPr>
            <w:tcW w:type="dxa" w:w="308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~EUR 31.2 million/cycle</w:t>
            </w:r>
          </w:p>
        </w:tc>
      </w:tr>
      <w:tr>
        <w:tc>
          <w:tcPr>
            <w:tcW w:type="dxa" w:w="3200"/>
            <w:tcBorders>
              <w:top w:val="single" w:color="BBBBBB" w:sz="1"/>
              <w:left w:val="single" w:color="BBBBBB" w:sz="1"/>
              <w:bottom w:val="single" w:color="BBBBBB" w:sz="1"/>
              <w:right w:val="single" w:color="BBBBBB" w:sz="1"/>
            </w:tcBorders>
            <w:shd w:fill="FDF5DC" w:val="clear"/>
            <w:tcMar>
              <w:top w:type="dxa" w:w="60"/>
              <w:left w:type="dxa" w:w="120"/>
              <w:bottom w:type="dxa" w:w="60"/>
              <w:right w:type="dxa" w:w="120"/>
            </w:tcMar>
          </w:tcPr>
          <w:p>
            <w:r>
              <w:rPr>
                <w:rFonts w:ascii="Calibri" w:cs="Calibri" w:eastAsia="Calibri" w:hAnsi="Calibri"/>
                <w:b/>
                <w:bCs/>
                <w:color w:val="1A1A1A"/>
                <w:sz w:val="20"/>
                <w:szCs w:val="20"/>
              </w:rPr>
              <w:t xml:space="preserve">Total estimated impact (all programmes)</w:t>
            </w:r>
          </w:p>
        </w:tc>
        <w:tc>
          <w:tcPr>
            <w:tcW w:type="dxa" w:w="2800"/>
            <w:tcBorders>
              <w:top w:val="single" w:color="BBBBBB" w:sz="1"/>
              <w:left w:val="single" w:color="BBBBBB" w:sz="1"/>
              <w:bottom w:val="single" w:color="BBBBBB" w:sz="1"/>
              <w:right w:val="single" w:color="BBBBBB" w:sz="1"/>
            </w:tcBorders>
            <w:shd w:fill="FDF5DC" w:val="clear"/>
            <w:tcMar>
              <w:top w:type="dxa" w:w="60"/>
              <w:left w:type="dxa" w:w="120"/>
              <w:bottom w:type="dxa" w:w="60"/>
              <w:right w:type="dxa" w:w="120"/>
            </w:tcMar>
          </w:tcPr>
          <w:p>
            <w:r>
              <w:rPr>
                <w:rFonts w:ascii="Calibri" w:cs="Calibri" w:eastAsia="Calibri" w:hAnsi="Calibri"/>
                <w:b/>
                <w:bCs/>
                <w:color w:val="1A1A1A"/>
                <w:sz w:val="20"/>
                <w:szCs w:val="20"/>
              </w:rPr>
              <w:t xml:space="preserve">~992 customers/cycle</w:t>
            </w:r>
          </w:p>
        </w:tc>
        <w:tc>
          <w:tcPr>
            <w:tcW w:type="dxa" w:w="3080"/>
            <w:tcBorders>
              <w:top w:val="single" w:color="BBBBBB" w:sz="1"/>
              <w:left w:val="single" w:color="BBBBBB" w:sz="1"/>
              <w:bottom w:val="single" w:color="BBBBBB" w:sz="1"/>
              <w:right w:val="single" w:color="BBBBBB" w:sz="1"/>
            </w:tcBorders>
            <w:shd w:fill="FDF5DC" w:val="clear"/>
            <w:tcMar>
              <w:top w:type="dxa" w:w="60"/>
              <w:left w:type="dxa" w:w="120"/>
              <w:bottom w:type="dxa" w:w="60"/>
              <w:right w:type="dxa" w:w="120"/>
            </w:tcMar>
          </w:tcPr>
          <w:p>
            <w:r>
              <w:rPr>
                <w:rFonts w:ascii="Calibri" w:cs="Calibri" w:eastAsia="Calibri" w:hAnsi="Calibri"/>
                <w:b/>
                <w:bCs/>
                <w:color w:val="1A1A1A"/>
                <w:sz w:val="20"/>
                <w:szCs w:val="20"/>
              </w:rPr>
              <w:t xml:space="preserve">~EUR 85 million+/cycle</w:t>
            </w:r>
          </w:p>
        </w:tc>
      </w:tr>
    </w:tbl>
    <w:p>
      <w:pPr>
        <w:spacing w:before="0" w:after="120"/>
      </w:pPr>
      <w:r>
        <w:t xml:space="preserve"/>
      </w:r>
    </w:p>
    <w:p>
      <w:pPr>
        <w:pStyle w:val="Heading1"/>
        <w:pBdr>
          <w:bottom w:val="single" w:color="B8860B" w:sz="6" w:space="4"/>
        </w:pBdr>
        <w:spacing w:before="360" w:after="120"/>
      </w:pPr>
      <w:r>
        <w:rPr>
          <w:rFonts w:ascii="Georgia" w:cs="Georgia" w:eastAsia="Georgia" w:hAnsi="Georgia"/>
          <w:b/>
          <w:bCs/>
          <w:color w:val="0D2137"/>
          <w:sz w:val="32"/>
          <w:szCs w:val="32"/>
        </w:rPr>
        <w:t xml:space="preserve">Conclusions for Government Stakeholders</w:t>
      </w:r>
    </w:p>
    <w:p>
      <w:pPr>
        <w:spacing w:before="60" w:after="120"/>
        <w:jc w:val="both"/>
      </w:pPr>
      <w:r>
        <w:rPr>
          <w:rFonts w:ascii="Calibri" w:cs="Calibri" w:eastAsia="Calibri" w:hAnsi="Calibri"/>
          <w:color w:val="1A1A1A"/>
          <w:sz w:val="22"/>
          <w:szCs w:val="22"/>
        </w:rPr>
        <w:t xml:space="preserve">The evidence from this analysis converges on a single finding: customer churn in European retail banking is a relationship management failure, not a credit risk or demographic inevitability. Customers are leaving because they are not being engaged — not because they cannot afford to stay.</w:t>
      </w:r>
    </w:p>
    <w:p>
      <w:pPr>
        <w:spacing w:before="60" w:after="120"/>
        <w:jc w:val="both"/>
      </w:pPr>
      <w:r>
        <w:rPr>
          <w:rFonts w:ascii="Calibri" w:cs="Calibri" w:eastAsia="Calibri" w:hAnsi="Calibri"/>
          <w:color w:val="1A1A1A"/>
          <w:sz w:val="22"/>
          <w:szCs w:val="22"/>
        </w:rPr>
        <w:t xml:space="preserve">For government and regulatory bodies, the implications are threefold. First, consumer protection frameworks should be extended to address the systematic vulnerability of near-retirement customers, whose financial stakes are highest and whose churn rates are most catastrophic. Second, conduct supervision should treat high multi-product churn rates as a mis-selling indicator warranting investigation — the correlation between 3+ products and 80%+ churn is too strong to attribute to coincidence. Third, gender equity in financial services outcomes requires direct measurement: the 52% female churn premium documented here is a regulatory gap that existing reporting frameworks do not capture.</w:t>
      </w:r>
    </w:p>
    <w:p>
      <w:pPr>
        <w:spacing w:before="60" w:after="120"/>
        <w:jc w:val="both"/>
      </w:pPr>
      <w:r>
        <w:rPr>
          <w:rFonts w:ascii="Calibri" w:cs="Calibri" w:eastAsia="Calibri" w:hAnsi="Calibri"/>
          <w:color w:val="1A1A1A"/>
          <w:sz w:val="22"/>
          <w:szCs w:val="22"/>
        </w:rPr>
        <w:t xml:space="preserve">The Relationship Strength Index framework developed in this study offers a practical, implementable tool for supervisory monitoring. Applied across the industry, RSI-based reporting would provide regulators with a behavioural early-warning system capable of identifying systemic disengagement before it manifests as deposit flight or financial instability.</w:t>
      </w:r>
    </w:p>
    <w:p>
      <w:pPr>
        <w:spacing w:before="0" w:after="120"/>
      </w:pPr>
      <w:r>
        <w:t xml:space="preserve"/>
      </w:r>
    </w:p>
    <w:p>
      <w:pPr>
        <w:shd w:fill="FDF5DC" w:val="clear"/>
        <w:spacing w:before="240" w:after="240"/>
        <w:ind w:left="720" w:right="720"/>
        <w:jc w:val="center"/>
      </w:pPr>
      <w:r>
        <w:rPr>
          <w:rFonts w:ascii="Calibri" w:cs="Calibri" w:eastAsia="Calibri" w:hAnsi="Calibri"/>
          <w:i/>
          <w:iCs/>
          <w:color w:val="555555"/>
          <w:sz w:val="19"/>
          <w:szCs w:val="19"/>
        </w:rPr>
        <w:t xml:space="preserve">This summary is based on a single institution's anonymised dataset. The authors recommend replication across at least three additional European retail banks before drawing sector-wide regulatory conclusions. Full methodology and data are available upon request under appropriate confidentiality agreements.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pPr>
    <w:r>
      <w:rPr>
        <w:rFonts w:ascii="Calibri" w:cs="Calibri" w:eastAsia="Calibri" w:hAnsi="Calibri"/>
        <w:color w:val="888888"/>
        <w:sz w:val="17"/>
        <w:szCs w:val="17"/>
      </w:rPr>
      <w:t xml:space="preserve">European Bank Customer Churn Study  |  For Policy and Regulatory Reference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pPr>
    <w:r>
      <w:rPr>
        <w:rFonts w:ascii="Calibri" w:cs="Calibri" w:eastAsia="Calibri" w:hAnsi="Calibri"/>
        <w:b/>
        <w:bCs/>
        <w:color w:val="888888"/>
        <w:sz w:val="17"/>
        <w:szCs w:val="17"/>
      </w:rPr>
      <w:t xml:space="preserve">EXECUTIVE SUMMARY  |  RESTRICTED DISTRIBUTION  |  GOVERNMENT STAKEHOLDERS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D2137"/>
      <w:sz w:val="32"/>
      <w:szCs w:val="32"/>
    </w:rPr>
  </w:style>
  <w:style w:type="paragraph" w:styleId="Heading2">
    <w:name w:val="Heading 2"/>
    <w:basedOn w:val="Normal"/>
    <w:next w:val="Normal"/>
    <w:qFormat/>
    <w:pPr>
      <w:spacing w:before="240" w:after="8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2026-03-16T12:26:06.132Z</dcterms:created>
  <dcterms:modified xsi:type="dcterms:W3CDTF">2026-03-16T12:26:06.133Z</dcterms:modified>
</cp:coreProperties>
</file>

<file path=docProps/custom.xml><?xml version="1.0" encoding="utf-8"?>
<Properties xmlns="http://schemas.openxmlformats.org/officeDocument/2006/custom-properties" xmlns:vt="http://schemas.openxmlformats.org/officeDocument/2006/docPropsVTypes"/>
</file>