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60"/>
        <w:jc w:val="center"/>
      </w:pPr>
      <w:r>
        <w:rPr>
          <w:rFonts w:ascii="Arial" w:cs="Arial" w:eastAsia="Arial" w:hAnsi="Arial"/>
          <w:b/>
          <w:bCs/>
          <w:caps/>
          <w:color w:val="2E75B6"/>
          <w:sz w:val="20"/>
          <w:szCs w:val="20"/>
        </w:rPr>
        <w:t xml:space="preserve">RESEARCH PAPER</w:t>
      </w:r>
    </w:p>
    <w:p>
      <w:pPr>
        <w:pBdr>
          <w:bottom w:val="single" w:color="2E75B6" w:sz="8" w:space="8"/>
        </w:pBdr>
        <w:spacing w:before="0" w:after="240"/>
        <w:jc w:val="center"/>
      </w:pPr>
      <w:r>
        <w:rPr>
          <w:rFonts w:ascii="Arial" w:cs="Arial" w:eastAsia="Arial" w:hAnsi="Arial"/>
          <w:b/>
          <w:bCs/>
          <w:color w:val="1F4E79"/>
          <w:sz w:val="48"/>
          <w:szCs w:val="48"/>
        </w:rPr>
        <w:t xml:space="preserve">Customer Churn Analysis: A Behavioral and Relationship-Strength Perspective</w:t>
      </w:r>
    </w:p>
    <w:p>
      <w:pPr>
        <w:spacing w:before="240" w:after="80"/>
        <w:jc w:val="center"/>
      </w:pPr>
      <w:r>
        <w:rPr>
          <w:rFonts w:ascii="Arial" w:cs="Arial" w:eastAsia="Arial" w:hAnsi="Arial"/>
          <w:color w:val="555555"/>
          <w:sz w:val="28"/>
          <w:szCs w:val="28"/>
        </w:rPr>
        <w:t xml:space="preserve">Exploratory Data Analysis, Engagement Profiling &amp; Retention Strategy</w:t>
      </w:r>
    </w:p>
    <w:p>
      <w:pPr>
        <w:spacing w:before="0" w:after="80"/>
      </w:pPr>
      <w:r>
        <w:t xml:space="preserve"/>
      </w:r>
    </w:p>
    <w:p>
      <w:pPr>
        <w:shd w:fill="D6E4F0" w:val="clear"/>
        <w:spacing w:before="120" w:after="120"/>
        <w:jc w:val="center"/>
      </w:pPr>
      <w:r>
        <w:rPr>
          <w:rFonts w:ascii="Arial" w:cs="Arial" w:eastAsia="Arial" w:hAnsi="Arial"/>
          <w:color w:val="1F4E79"/>
          <w:sz w:val="22"/>
          <w:szCs w:val="22"/>
        </w:rPr>
        <w:t xml:space="preserve">Dataset: European Bank  |  n = 10,000 Customers  |  14 Variables  |  FY 2024</w:t>
      </w:r>
    </w:p>
    <w:p>
      <w:pPr>
        <w:spacing w:before="0" w:after="720"/>
      </w:pPr>
      <w:r>
        <w:t xml:space="preserve"/>
      </w:r>
    </w:p>
    <w:p>
      <w:pPr>
        <w:spacing w:before="0" w:after="40"/>
        <w:jc w:val="center"/>
      </w:pPr>
      <w:r>
        <w:rPr>
          <w:rFonts w:ascii="Arial" w:cs="Arial" w:eastAsia="Arial" w:hAnsi="Arial"/>
          <w:b/>
          <w:bCs/>
          <w:color w:val="555555"/>
          <w:sz w:val="20"/>
          <w:szCs w:val="20"/>
        </w:rPr>
        <w:t xml:space="preserve">Keywords:</w:t>
      </w:r>
    </w:p>
    <w:p>
      <w:pPr>
        <w:spacing w:before="0" w:after="720"/>
        <w:jc w:val="center"/>
      </w:pPr>
      <w:r>
        <w:rPr>
          <w:rFonts w:ascii="Arial" w:cs="Arial" w:eastAsia="Arial" w:hAnsi="Arial"/>
          <w:i/>
          <w:iCs/>
          <w:color w:val="777777"/>
          <w:sz w:val="20"/>
          <w:szCs w:val="20"/>
        </w:rPr>
        <w:t xml:space="preserve">Customer Churn, Engagement Analytics, Retention Strategy, Product Utilization, Behavioral Segmentation, Relationship Strength Index</w:t>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Abstract</w:t>
      </w:r>
    </w:p>
    <w:p>
      <w:pPr>
        <w:spacing w:before="60" w:after="120"/>
        <w:jc w:val="both"/>
      </w:pPr>
      <w:r>
        <w:rPr>
          <w:rFonts w:ascii="Arial" w:cs="Arial" w:eastAsia="Arial" w:hAnsi="Arial"/>
          <w:color w:val="1A1A1A"/>
          <w:sz w:val="22"/>
          <w:szCs w:val="22"/>
        </w:rPr>
        <w:t xml:space="preserve">This research paper presents a comprehensive exploratory data analysis (EDA) of customer churn behaviour in a European retail banking context, drawing on a dataset of 10,000 customers across three geographies: France, Germany, and Spain. Unlike conventional churn studies that prioritise demographic or creditworthiness factors, this analysis reframes churn as a manifestation of relationship strength — operationalised through engagement activity, product utilisation depth, and financial commitment.</w:t>
      </w:r>
    </w:p>
    <w:p>
      <w:pPr>
        <w:spacing w:before="60" w:after="120"/>
        <w:jc w:val="both"/>
      </w:pPr>
      <w:r>
        <w:rPr>
          <w:rFonts w:ascii="Arial" w:cs="Arial" w:eastAsia="Arial" w:hAnsi="Arial"/>
          <w:color w:val="1A1A1A"/>
          <w:sz w:val="22"/>
          <w:szCs w:val="22"/>
        </w:rPr>
        <w:t xml:space="preserve">The study identifies five behavioural engagement profiles ranging from Active Engaged (9.66% churn) to Inactive Disengaged (36.65% churn), demonstrating that engagement status is the primary predictor of retention, surpassing credit score, tenure, and salary. A novel Relationship Strength Index (RSI) is constructed and validated, showing a monotonic churn reduction from 34.5% at RSI 1 to 9.1% at RSI 4. The paper also documents a counter-intuitive product utilisation paradox: customers holding three or more products exhibit catastrophic churn rates (82.7–100%), signalling systematic mis-selling.</w:t>
      </w:r>
    </w:p>
    <w:p>
      <w:pPr>
        <w:spacing w:before="60" w:after="120"/>
        <w:jc w:val="both"/>
      </w:pPr>
      <w:r>
        <w:rPr>
          <w:rFonts w:ascii="Arial" w:cs="Arial" w:eastAsia="Arial" w:hAnsi="Arial"/>
          <w:color w:val="1A1A1A"/>
          <w:sz w:val="22"/>
          <w:szCs w:val="22"/>
        </w:rPr>
        <w:t xml:space="preserve">Key findings include: Germany's churn rate (32.44%) is nearly double that of France and Spain; customers aged 50–59 face a 56% churn probability; inactive customers with balances above EUR 100,000 (at-risk premium segment) churn at 32.77%; and churned customers hold 25% higher average balances than retained customers, decoupling income from attrition risk.</w:t>
      </w:r>
    </w:p>
    <w:p>
      <w:pPr>
        <w:spacing w:before="60" w:after="120"/>
        <w:jc w:val="both"/>
      </w:pPr>
      <w:r>
        <w:rPr>
          <w:rFonts w:ascii="Arial" w:cs="Arial" w:eastAsia="Arial" w:hAnsi="Arial"/>
          <w:color w:val="1A1A1A"/>
          <w:sz w:val="22"/>
          <w:szCs w:val="22"/>
        </w:rPr>
        <w:t xml:space="preserve">Strategic recommendations are provided across five dimensions: geographic intervention, age-segmented retention products, product-bundling optimisation, premium customer re-engagement, and digital activation. The paper concludes with a Streamlit-based analytics framework specification for operationalising these insights.</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1. Introduction</w:t>
      </w:r>
    </w:p>
    <w:p>
      <w:pPr>
        <w:pStyle w:val="Heading2"/>
        <w:spacing w:before="240" w:after="80"/>
      </w:pPr>
      <w:r>
        <w:rPr>
          <w:rFonts w:ascii="Arial" w:cs="Arial" w:eastAsia="Arial" w:hAnsi="Arial"/>
          <w:b/>
          <w:bCs/>
          <w:color w:val="2E75B6"/>
          <w:sz w:val="28"/>
          <w:szCs w:val="28"/>
        </w:rPr>
        <w:t xml:space="preserve">1.1 Background and Motivation</w:t>
      </w:r>
    </w:p>
    <w:p>
      <w:pPr>
        <w:spacing w:before="60" w:after="120"/>
        <w:jc w:val="both"/>
      </w:pPr>
      <w:r>
        <w:rPr>
          <w:rFonts w:ascii="Arial" w:cs="Arial" w:eastAsia="Arial" w:hAnsi="Arial"/>
          <w:color w:val="1A1A1A"/>
          <w:sz w:val="22"/>
          <w:szCs w:val="22"/>
        </w:rPr>
        <w:t xml:space="preserve">Customer churn — the voluntary disengagement of a client from a financial institution — represents one of the most consequential and costly challenges in retail banking. Industry estimates consistently place the cost of customer acquisition at five to seven times the cost of retention, making churn prevention a primary strategic and financial priority.</w:t>
      </w:r>
    </w:p>
    <w:p>
      <w:pPr>
        <w:spacing w:before="60" w:after="120"/>
        <w:jc w:val="both"/>
      </w:pPr>
      <w:r>
        <w:rPr>
          <w:rFonts w:ascii="Arial" w:cs="Arial" w:eastAsia="Arial" w:hAnsi="Arial"/>
          <w:color w:val="1A1A1A"/>
          <w:sz w:val="22"/>
          <w:szCs w:val="22"/>
        </w:rPr>
        <w:t xml:space="preserve">Traditional approaches to churn prediction have concentrated on demographic profiling (age, gender, geography) and financial health indicators (credit score, balance, salary). While these variables carry some predictive signal, they provide limited actionable guidance for retention intervention. This study proposes an alternative analytical lens: examining churn through the prism of relationship strength, operationalised via three behavioural dimensions: engagement activity, product utilisation breadth, and financial commitment patterns.</w:t>
      </w:r>
    </w:p>
    <w:p>
      <w:pPr>
        <w:pStyle w:val="Heading2"/>
        <w:spacing w:before="240" w:after="80"/>
      </w:pPr>
      <w:r>
        <w:rPr>
          <w:rFonts w:ascii="Arial" w:cs="Arial" w:eastAsia="Arial" w:hAnsi="Arial"/>
          <w:b/>
          <w:bCs/>
          <w:color w:val="2E75B6"/>
          <w:sz w:val="28"/>
          <w:szCs w:val="28"/>
        </w:rPr>
        <w:t xml:space="preserve">1.2 Research Objectives</w:t>
      </w:r>
    </w:p>
    <w:p>
      <w:pPr>
        <w:spacing w:before="60" w:after="120"/>
        <w:jc w:val="left"/>
      </w:pPr>
      <w:r>
        <w:rPr>
          <w:rFonts w:ascii="Arial" w:cs="Arial" w:eastAsia="Arial" w:hAnsi="Arial"/>
          <w:color w:val="1A1A1A"/>
          <w:sz w:val="22"/>
          <w:szCs w:val="22"/>
        </w:rPr>
        <w:t xml:space="preserve">This study pursues the following analytical objectives:</w:t>
      </w:r>
    </w:p>
    <w:p>
      <w:pPr>
        <w:pStyle w:val="ListParagraph"/>
        <w:numPr>
          <w:ilvl w:val="0"/>
          <w:numId w:val="2"/>
        </w:numPr>
        <w:spacing w:before="40" w:after="40"/>
      </w:pPr>
      <w:r>
        <w:rPr>
          <w:rFonts w:ascii="Arial" w:cs="Arial" w:eastAsia="Arial" w:hAnsi="Arial"/>
          <w:color w:val="1A1A1A"/>
          <w:sz w:val="22"/>
          <w:szCs w:val="22"/>
        </w:rPr>
        <w:t xml:space="preserve">To quantify the differential churn risk across engagement status, product utilisation depth, and geographic segments.</w:t>
      </w:r>
    </w:p>
    <w:p>
      <w:pPr>
        <w:pStyle w:val="ListParagraph"/>
        <w:numPr>
          <w:ilvl w:val="0"/>
          <w:numId w:val="2"/>
        </w:numPr>
        <w:spacing w:before="40" w:after="40"/>
      </w:pPr>
      <w:r>
        <w:rPr>
          <w:rFonts w:ascii="Arial" w:cs="Arial" w:eastAsia="Arial" w:hAnsi="Arial"/>
          <w:color w:val="1A1A1A"/>
          <w:sz w:val="22"/>
          <w:szCs w:val="22"/>
        </w:rPr>
        <w:t xml:space="preserve">To construct and validate a Relationship Strength Index (RSI) capable of stratifying customers by retention probability.</w:t>
      </w:r>
    </w:p>
    <w:p>
      <w:pPr>
        <w:pStyle w:val="ListParagraph"/>
        <w:numPr>
          <w:ilvl w:val="0"/>
          <w:numId w:val="2"/>
        </w:numPr>
        <w:spacing w:before="40" w:after="40"/>
      </w:pPr>
      <w:r>
        <w:rPr>
          <w:rFonts w:ascii="Arial" w:cs="Arial" w:eastAsia="Arial" w:hAnsi="Arial"/>
          <w:color w:val="1A1A1A"/>
          <w:sz w:val="22"/>
          <w:szCs w:val="22"/>
        </w:rPr>
        <w:t xml:space="preserve">To identify high-value disengaged customer cohorts whose attrition carries disproportionate balance and revenue risk.</w:t>
      </w:r>
    </w:p>
    <w:p>
      <w:pPr>
        <w:pStyle w:val="ListParagraph"/>
        <w:numPr>
          <w:ilvl w:val="0"/>
          <w:numId w:val="2"/>
        </w:numPr>
        <w:spacing w:before="40" w:after="40"/>
      </w:pPr>
      <w:r>
        <w:rPr>
          <w:rFonts w:ascii="Arial" w:cs="Arial" w:eastAsia="Arial" w:hAnsi="Arial"/>
          <w:color w:val="1A1A1A"/>
          <w:sz w:val="22"/>
          <w:szCs w:val="22"/>
        </w:rPr>
        <w:t xml:space="preserve">To develop actionable retention strategy recommendations grounded in empirical EDA findings.</w:t>
      </w:r>
    </w:p>
    <w:p>
      <w:pPr>
        <w:pStyle w:val="ListParagraph"/>
        <w:numPr>
          <w:ilvl w:val="0"/>
          <w:numId w:val="2"/>
        </w:numPr>
        <w:spacing w:before="40" w:after="40"/>
      </w:pPr>
      <w:r>
        <w:rPr>
          <w:rFonts w:ascii="Arial" w:cs="Arial" w:eastAsia="Arial" w:hAnsi="Arial"/>
          <w:color w:val="1A1A1A"/>
          <w:sz w:val="22"/>
          <w:szCs w:val="22"/>
        </w:rPr>
        <w:t xml:space="preserve">To specify an interactive analytics framework (Streamlit dashboard) for operationalising findings at scale.</w:t>
      </w:r>
    </w:p>
    <w:p>
      <w:pPr>
        <w:spacing w:before="0" w:after="120"/>
      </w:pPr>
      <w:r>
        <w:t xml:space="preserve"/>
      </w:r>
    </w:p>
    <w:p>
      <w:pPr>
        <w:pStyle w:val="Heading2"/>
        <w:spacing w:before="240" w:after="80"/>
      </w:pPr>
      <w:r>
        <w:rPr>
          <w:rFonts w:ascii="Arial" w:cs="Arial" w:eastAsia="Arial" w:hAnsi="Arial"/>
          <w:b/>
          <w:bCs/>
          <w:color w:val="2E75B6"/>
          <w:sz w:val="28"/>
          <w:szCs w:val="28"/>
        </w:rPr>
        <w:t xml:space="preserve">1.3 Dataset Overview</w:t>
      </w:r>
    </w:p>
    <w:p>
      <w:pPr>
        <w:spacing w:before="60" w:after="120"/>
        <w:jc w:val="left"/>
      </w:pPr>
      <w:r>
        <w:rPr>
          <w:rFonts w:ascii="Arial" w:cs="Arial" w:eastAsia="Arial" w:hAnsi="Arial"/>
          <w:color w:val="1A1A1A"/>
          <w:sz w:val="22"/>
          <w:szCs w:val="22"/>
        </w:rPr>
        <w:t xml:space="preserve">The analytical dataset comprises 10,000 customer records from a European retail bank, spanning operations in France, Germany, and Spain. Each record contains 14 variables across four categories:</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Demographic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Age, Gender, Geography, Surname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Customer identity and segmentation</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Financial</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Balance, EstimatedSalary, CreditScore</w:t>
            </w:r>
          </w:p>
        </w:tc>
        <w:tc>
          <w:tcPr>
            <w:tcW w:type="dxa" w:w="4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Asset and creditworthiness indicators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Engagement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IsActiveMember, HasCrCard, Tenure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Behavioural and relationship depth</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Product</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NumOfProducts</w:t>
            </w:r>
          </w:p>
        </w:tc>
        <w:tc>
          <w:tcPr>
            <w:tcW w:type="dxa" w:w="4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Service utilisation breadth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Exited (Churn Label)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Binary: 1 = churned, 0 = retained</w:t>
            </w:r>
          </w:p>
        </w:tc>
      </w:tr>
    </w:tbl>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2. Methodology</w:t>
      </w:r>
    </w:p>
    <w:p>
      <w:pPr>
        <w:pStyle w:val="Heading2"/>
        <w:spacing w:before="240" w:after="80"/>
      </w:pPr>
      <w:r>
        <w:rPr>
          <w:rFonts w:ascii="Arial" w:cs="Arial" w:eastAsia="Arial" w:hAnsi="Arial"/>
          <w:b/>
          <w:bCs/>
          <w:color w:val="2E75B6"/>
          <w:sz w:val="28"/>
          <w:szCs w:val="28"/>
        </w:rPr>
        <w:t xml:space="preserve">2.1 Data Ingestion and Validation</w:t>
      </w:r>
    </w:p>
    <w:p>
      <w:pPr>
        <w:spacing w:before="60" w:after="120"/>
        <w:jc w:val="left"/>
      </w:pPr>
      <w:r>
        <w:rPr>
          <w:rFonts w:ascii="Arial" w:cs="Arial" w:eastAsia="Arial" w:hAnsi="Arial"/>
          <w:color w:val="1A1A1A"/>
          <w:sz w:val="22"/>
          <w:szCs w:val="22"/>
        </w:rPr>
        <w:t xml:space="preserve">The dataset was ingested in CSV format and subjected to a multi-stage validation protocol:</w:t>
      </w:r>
    </w:p>
    <w:p>
      <w:pPr>
        <w:pStyle w:val="ListParagraph"/>
        <w:numPr>
          <w:ilvl w:val="0"/>
          <w:numId w:val="2"/>
        </w:numPr>
        <w:spacing w:before="40" w:after="40"/>
      </w:pPr>
      <w:r>
        <w:rPr>
          <w:rFonts w:ascii="Arial" w:cs="Arial" w:eastAsia="Arial" w:hAnsi="Arial"/>
          <w:color w:val="1A1A1A"/>
          <w:sz w:val="22"/>
          <w:szCs w:val="22"/>
        </w:rPr>
        <w:t xml:space="preserve">Binary variable consistency: IsActiveMember, HasCrCard, and Exited were verified to contain exclusively 0/1 values with no null entries.</w:t>
      </w:r>
    </w:p>
    <w:p>
      <w:pPr>
        <w:pStyle w:val="ListParagraph"/>
        <w:numPr>
          <w:ilvl w:val="0"/>
          <w:numId w:val="2"/>
        </w:numPr>
        <w:spacing w:before="40" w:after="40"/>
      </w:pPr>
      <w:r>
        <w:rPr>
          <w:rFonts w:ascii="Arial" w:cs="Arial" w:eastAsia="Arial" w:hAnsi="Arial"/>
          <w:color w:val="1A1A1A"/>
          <w:sz w:val="22"/>
          <w:szCs w:val="22"/>
        </w:rPr>
        <w:t xml:space="preserve">Churn labelling accuracy: The Exited field was cross-validated against distributional expectations. The observed churn rate of 20.37% is consistent with reported European retail banking attrition benchmarks (18–22%).</w:t>
      </w:r>
    </w:p>
    <w:p>
      <w:pPr>
        <w:pStyle w:val="ListParagraph"/>
        <w:numPr>
          <w:ilvl w:val="0"/>
          <w:numId w:val="2"/>
        </w:numPr>
        <w:spacing w:before="40" w:after="40"/>
      </w:pPr>
      <w:r>
        <w:rPr>
          <w:rFonts w:ascii="Arial" w:cs="Arial" w:eastAsia="Arial" w:hAnsi="Arial"/>
          <w:color w:val="1A1A1A"/>
          <w:sz w:val="22"/>
          <w:szCs w:val="22"/>
        </w:rPr>
        <w:t xml:space="preserve">Balance distribution: 3,617 customers (36.17%) carry zero balances — a significant segment indicative of dormant or savings-only accounts. This was retained as a meaningful signal rather than treated as missing data.</w:t>
      </w:r>
    </w:p>
    <w:p>
      <w:pPr>
        <w:pStyle w:val="ListParagraph"/>
        <w:numPr>
          <w:ilvl w:val="0"/>
          <w:numId w:val="2"/>
        </w:numPr>
        <w:spacing w:before="40" w:after="40"/>
      </w:pPr>
      <w:r>
        <w:rPr>
          <w:rFonts w:ascii="Arial" w:cs="Arial" w:eastAsia="Arial" w:hAnsi="Arial"/>
          <w:color w:val="1A1A1A"/>
          <w:sz w:val="22"/>
          <w:szCs w:val="22"/>
        </w:rPr>
        <w:t xml:space="preserve">Credit score range: Values span 350–850, consistent with European credit scoring norms. No anomalous values were identified.</w:t>
      </w:r>
    </w:p>
    <w:p>
      <w:pPr>
        <w:pStyle w:val="Heading2"/>
        <w:spacing w:before="240" w:after="80"/>
      </w:pPr>
      <w:r>
        <w:rPr>
          <w:rFonts w:ascii="Arial" w:cs="Arial" w:eastAsia="Arial" w:hAnsi="Arial"/>
          <w:b/>
          <w:bCs/>
          <w:color w:val="2E75B6"/>
          <w:sz w:val="28"/>
          <w:szCs w:val="28"/>
        </w:rPr>
        <w:t xml:space="preserve">2.2 Engagement Profile Classification</w:t>
      </w:r>
    </w:p>
    <w:p>
      <w:pPr>
        <w:spacing w:before="60" w:after="120"/>
        <w:jc w:val="left"/>
      </w:pPr>
      <w:r>
        <w:rPr>
          <w:rFonts w:ascii="Arial" w:cs="Arial" w:eastAsia="Arial" w:hAnsi="Arial"/>
          <w:color w:val="1A1A1A"/>
          <w:sz w:val="22"/>
          <w:szCs w:val="22"/>
        </w:rPr>
        <w:t xml:space="preserve">A five-tier behavioural segmentation was constructed using a decision rule applied to each customer record:</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1400"/>
        <w:gridCol w:w="1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 Rule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Active Engaged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IsActiveMember=1 AND NumOfProducts &gt;=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2,588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9.66%</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Other</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Active, moderate balance, mixed products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1,549</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10.52%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Active Low-Product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IsActiveMember=1 AND NumOfProducts =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2,563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18.92%</w:t>
            </w:r>
          </w:p>
        </w:tc>
      </w:tr>
      <w:tr>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Inactive High-Balance</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IsActiveMember=0 AND Balance &gt; EUR 100,000</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779</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27.60%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Inactive Disengaged</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IsActiveMember=0 AND NumOfProducts &lt;=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2,521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36.65%</w:t>
            </w:r>
          </w:p>
        </w:tc>
      </w:tr>
    </w:tbl>
    <w:p>
      <w:pPr>
        <w:spacing w:before="0" w:after="120"/>
      </w:pPr>
      <w:r>
        <w:t xml:space="preserve"/>
      </w:r>
    </w:p>
    <w:p>
      <w:pPr>
        <w:pStyle w:val="Heading2"/>
        <w:spacing w:before="240" w:after="80"/>
      </w:pPr>
      <w:r>
        <w:rPr>
          <w:rFonts w:ascii="Arial" w:cs="Arial" w:eastAsia="Arial" w:hAnsi="Arial"/>
          <w:b/>
          <w:bCs/>
          <w:color w:val="2E75B6"/>
          <w:sz w:val="28"/>
          <w:szCs w:val="28"/>
        </w:rPr>
        <w:t xml:space="preserve">2.3 Relationship Strength Index (RSI) Construction</w:t>
      </w:r>
    </w:p>
    <w:p>
      <w:pPr>
        <w:spacing w:before="60" w:after="120"/>
        <w:jc w:val="left"/>
      </w:pPr>
      <w:r>
        <w:rPr>
          <w:rFonts w:ascii="Arial" w:cs="Arial" w:eastAsia="Arial" w:hAnsi="Arial"/>
          <w:color w:val="1A1A1A"/>
          <w:sz w:val="22"/>
          <w:szCs w:val="22"/>
        </w:rPr>
        <w:t xml:space="preserve">The RSI is a composite behavioural score designed to quantify the depth of a customer's relationship with the bank, independent of financial capacity. It is computed as:</w:t>
      </w:r>
    </w:p>
    <w:p>
      <w:pPr>
        <w:shd w:fill="F2F2F2" w:val="clear"/>
        <w:spacing w:before="120" w:after="120"/>
        <w:jc w:val="center"/>
      </w:pPr>
      <w:r>
        <w:rPr>
          <w:rFonts w:ascii="Courier New" w:cs="Courier New" w:eastAsia="Courier New" w:hAnsi="Courier New"/>
          <w:b/>
          <w:bCs/>
          <w:color w:val="1F4E79"/>
          <w:sz w:val="24"/>
          <w:szCs w:val="24"/>
        </w:rPr>
        <w:t xml:space="preserve">RSI = IsActiveMember + min(NumOfProducts, 2) + HasCrCard</w:t>
      </w:r>
    </w:p>
    <w:p>
      <w:pPr>
        <w:spacing w:before="60" w:after="120"/>
        <w:jc w:val="left"/>
      </w:pPr>
      <w:r>
        <w:rPr>
          <w:rFonts w:ascii="Arial" w:cs="Arial" w:eastAsia="Arial" w:hAnsi="Arial"/>
          <w:color w:val="1A1A1A"/>
          <w:sz w:val="22"/>
          <w:szCs w:val="22"/>
        </w:rPr>
        <w:t xml:space="preserve">This yields integer scores from 1 to 4. The cap on NumOfProducts at 2 is deliberate — analysis reveals that 3+ products is associated with catastrophic churn rather than loyalty (see Section 4.2), and uncapped inclusion would distort the index semantics.</w:t>
      </w:r>
    </w:p>
    <w:p>
      <w:pPr>
        <w:pStyle w:val="Heading2"/>
        <w:spacing w:before="240" w:after="80"/>
      </w:pPr>
      <w:r>
        <w:rPr>
          <w:rFonts w:ascii="Arial" w:cs="Arial" w:eastAsia="Arial" w:hAnsi="Arial"/>
          <w:b/>
          <w:bCs/>
          <w:color w:val="2E75B6"/>
          <w:sz w:val="28"/>
          <w:szCs w:val="28"/>
        </w:rPr>
        <w:t xml:space="preserve">2.4 Analytical Framework</w:t>
      </w:r>
    </w:p>
    <w:p>
      <w:pPr>
        <w:spacing w:before="60" w:after="120"/>
        <w:jc w:val="left"/>
      </w:pPr>
      <w:r>
        <w:rPr>
          <w:rFonts w:ascii="Arial" w:cs="Arial" w:eastAsia="Arial" w:hAnsi="Arial"/>
          <w:color w:val="1A1A1A"/>
          <w:sz w:val="22"/>
          <w:szCs w:val="22"/>
        </w:rPr>
        <w:t xml:space="preserve">The analysis proceeds across five dimensions, each yielding a distinct set of KPIs:</w:t>
      </w:r>
    </w:p>
    <w:p>
      <w:pPr>
        <w:pStyle w:val="ListParagraph"/>
        <w:numPr>
          <w:ilvl w:val="0"/>
          <w:numId w:val="2"/>
        </w:numPr>
        <w:spacing w:before="40" w:after="40"/>
      </w:pPr>
      <w:r>
        <w:rPr>
          <w:rFonts w:ascii="Arial" w:cs="Arial" w:eastAsia="Arial" w:hAnsi="Arial"/>
          <w:color w:val="1A1A1A"/>
          <w:sz w:val="22"/>
          <w:szCs w:val="22"/>
        </w:rPr>
        <w:t xml:space="preserve">Engagement analysis: Churn rates by activity status, engagement profile, and cross-segmentation with geography.</w:t>
      </w:r>
    </w:p>
    <w:p>
      <w:pPr>
        <w:pStyle w:val="ListParagraph"/>
        <w:numPr>
          <w:ilvl w:val="0"/>
          <w:numId w:val="2"/>
        </w:numPr>
        <w:spacing w:before="40" w:after="40"/>
      </w:pPr>
      <w:r>
        <w:rPr>
          <w:rFonts w:ascii="Arial" w:cs="Arial" w:eastAsia="Arial" w:hAnsi="Arial"/>
          <w:color w:val="1A1A1A"/>
          <w:sz w:val="22"/>
          <w:szCs w:val="22"/>
        </w:rPr>
        <w:t xml:space="preserve">Product utilisation: Product depth index, single vs. multi-product retention, RSI validation.</w:t>
      </w:r>
    </w:p>
    <w:p>
      <w:pPr>
        <w:pStyle w:val="ListParagraph"/>
        <w:numPr>
          <w:ilvl w:val="0"/>
          <w:numId w:val="2"/>
        </w:numPr>
        <w:spacing w:before="40" w:after="40"/>
      </w:pPr>
      <w:r>
        <w:rPr>
          <w:rFonts w:ascii="Arial" w:cs="Arial" w:eastAsia="Arial" w:hAnsi="Arial"/>
          <w:color w:val="1A1A1A"/>
          <w:sz w:val="22"/>
          <w:szCs w:val="22"/>
        </w:rPr>
        <w:t xml:space="preserve">Financial commitment: Balance bucket analysis, churned vs. retained financial profiles, at-risk premium customer identification.</w:t>
      </w:r>
    </w:p>
    <w:p>
      <w:pPr>
        <w:pStyle w:val="ListParagraph"/>
        <w:numPr>
          <w:ilvl w:val="0"/>
          <w:numId w:val="2"/>
        </w:numPr>
        <w:spacing w:before="40" w:after="40"/>
      </w:pPr>
      <w:r>
        <w:rPr>
          <w:rFonts w:ascii="Arial" w:cs="Arial" w:eastAsia="Arial" w:hAnsi="Arial"/>
          <w:color w:val="1A1A1A"/>
          <w:sz w:val="22"/>
          <w:szCs w:val="22"/>
        </w:rPr>
        <w:t xml:space="preserve">Demographic segmentation: Age cohort vulnerability, gender churn differential, geographic risk mapping.</w:t>
      </w:r>
    </w:p>
    <w:p>
      <w:pPr>
        <w:pStyle w:val="ListParagraph"/>
        <w:numPr>
          <w:ilvl w:val="0"/>
          <w:numId w:val="2"/>
        </w:numPr>
        <w:spacing w:before="40" w:after="40"/>
      </w:pPr>
      <w:r>
        <w:rPr>
          <w:rFonts w:ascii="Arial" w:cs="Arial" w:eastAsia="Arial" w:hAnsi="Arial"/>
          <w:color w:val="1A1A1A"/>
          <w:sz w:val="22"/>
          <w:szCs w:val="22"/>
        </w:rPr>
        <w:t xml:space="preserve">Retention strength: Sticky customer profiling, RSI tier analysis, engagement threshold identification.</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3. Exploratory Data Analysis — Findings</w:t>
      </w:r>
    </w:p>
    <w:p>
      <w:pPr>
        <w:pStyle w:val="Heading2"/>
        <w:spacing w:before="240" w:after="80"/>
      </w:pPr>
      <w:r>
        <w:rPr>
          <w:rFonts w:ascii="Arial" w:cs="Arial" w:eastAsia="Arial" w:hAnsi="Arial"/>
          <w:b/>
          <w:bCs/>
          <w:color w:val="2E75B6"/>
          <w:sz w:val="28"/>
          <w:szCs w:val="28"/>
        </w:rPr>
        <w:t xml:space="preserve">3.1 Macro-Level Churn Overview</w:t>
      </w:r>
    </w:p>
    <w:p>
      <w:pPr>
        <w:spacing w:before="60" w:after="120"/>
        <w:jc w:val="left"/>
      </w:pPr>
      <w:r>
        <w:rPr>
          <w:rFonts w:ascii="Arial" w:cs="Arial" w:eastAsia="Arial" w:hAnsi="Arial"/>
          <w:color w:val="1A1A1A"/>
          <w:sz w:val="22"/>
          <w:szCs w:val="22"/>
        </w:rPr>
        <w:t xml:space="preserve">Of the 10,000 customers in the dataset, 2,037 (20.37%) exited during the observation period. This rate masks substantial heterogeneity across sub-populations — the primary contribution of this analysis.</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Retained</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Average Account Balance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EUR 91,109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EUR 72,745</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+EUR 18,364 (+25.3%)</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Average Estimated Salary</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EUR 101,466</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EUR 99,738</w:t>
            </w:r>
          </w:p>
        </w:tc>
        <w:tc>
          <w:tcPr>
            <w:tcW w:type="dxa" w:w="2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+EUR 1,728 (+1.7%)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Average 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44.8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37.4 years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+7.4 years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Average Credit Score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645</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652</w:t>
            </w:r>
          </w:p>
        </w:tc>
        <w:tc>
          <w:tcPr>
            <w:tcW w:type="dxa" w:w="2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 points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Active Member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36.1%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57.5%</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-21.4 percentage points</w:t>
            </w:r>
          </w:p>
        </w:tc>
      </w:tr>
      <w:tr>
        <w:tc>
          <w:tcPr>
            <w:tcW w:type="dxa" w:w="3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Has Credit Card Rate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70.2%</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71.4%</w:t>
            </w:r>
          </w:p>
        </w:tc>
        <w:tc>
          <w:tcPr>
            <w:tcW w:type="dxa" w:w="2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-1.2 percentage points (negligible)</w:t>
            </w:r>
          </w:p>
        </w:tc>
      </w:tr>
    </w:tbl>
    <w:p>
      <w:pPr>
        <w:spacing w:before="0" w:after="120"/>
      </w:pPr>
      <w:r>
        <w:t xml:space="preserve"/>
      </w:r>
    </w:p>
    <w:p>
      <w:pPr>
        <w:pBdr>
          <w:left w:val="single" w:color="2E75B6" w:sz="12"/>
        </w:pBdr>
        <w:shd w:fill="D6E4F0" w:val="clear"/>
        <w:spacing w:before="120" w:after="0"/>
        <w:ind w:left="180" w:right="180"/>
      </w:pPr>
      <w:r>
        <w:rPr>
          <w:rFonts w:ascii="Arial" w:cs="Arial" w:eastAsia="Arial" w:hAnsi="Arial"/>
          <w:b/>
          <w:bCs/>
          <w:color w:val="1F4E79"/>
          <w:sz w:val="22"/>
          <w:szCs w:val="22"/>
        </w:rPr>
        <w:t xml:space="preserve">Critical finding:</w:t>
      </w:r>
    </w:p>
    <w:p>
      <w:pPr>
        <w:pBdr>
          <w:left w:val="single" w:color="2E75B6" w:sz="12"/>
        </w:pBdr>
        <w:shd w:fill="D6E4F0" w:val="clear"/>
        <w:spacing w:before="0" w:after="120"/>
        <w:ind w:left="180" w:right="180"/>
      </w:pPr>
      <w:r>
        <w:rPr>
          <w:rFonts w:ascii="Arial" w:cs="Arial" w:eastAsia="Arial" w:hAnsi="Arial"/>
          <w:color w:val="1A1A1A"/>
          <w:sz w:val="22"/>
          <w:szCs w:val="22"/>
        </w:rPr>
        <w:t xml:space="preserve">Churned customers hold 25% higher average balances than retained customers, while their estimated salaries are nearly identical. This decisively rules out financial capacity as a churn driver and implicates disengagement as the primary mechanism.</w:t>
      </w:r>
    </w:p>
    <w:p>
      <w:pPr>
        <w:spacing w:before="0" w:after="120"/>
      </w:pPr>
      <w:r>
        <w:t xml:space="preserve"/>
      </w:r>
    </w:p>
    <w:p>
      <w:pPr>
        <w:pStyle w:val="Heading2"/>
        <w:spacing w:before="240" w:after="80"/>
      </w:pPr>
      <w:r>
        <w:rPr>
          <w:rFonts w:ascii="Arial" w:cs="Arial" w:eastAsia="Arial" w:hAnsi="Arial"/>
          <w:b/>
          <w:bCs/>
          <w:color w:val="2E75B6"/>
          <w:sz w:val="28"/>
          <w:szCs w:val="28"/>
        </w:rPr>
        <w:t xml:space="preserve">3.2 Geographic Segmentation</w:t>
      </w:r>
    </w:p>
    <w:p>
      <w:pPr>
        <w:spacing w:before="60" w:after="120"/>
        <w:jc w:val="left"/>
      </w:pPr>
      <w:r>
        <w:rPr>
          <w:rFonts w:ascii="Arial" w:cs="Arial" w:eastAsia="Arial" w:hAnsi="Arial"/>
          <w:color w:val="1A1A1A"/>
          <w:sz w:val="22"/>
          <w:szCs w:val="22"/>
        </w:rPr>
        <w:t xml:space="preserve">The most pronounced macro-level churn differential is geographic. Germany records a churn rate of 32.44% — nearly double the rates observed in France (16.15%) and Spain (16.67%).</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Geography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Retained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France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5,014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810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4,204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16.15%</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Spain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2,477</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413</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2,064</w:t>
            </w:r>
          </w:p>
        </w:tc>
        <w:tc>
          <w:tcPr>
            <w:tcW w:type="dxa" w:w="1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16.67%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Germany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2,509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814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1,695</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32.44%</w:t>
            </w:r>
          </w:p>
        </w:tc>
      </w:tr>
    </w:tbl>
    <w:p>
      <w:pPr>
        <w:spacing w:before="0" w:after="120"/>
      </w:pPr>
      <w:r>
        <w:t xml:space="preserve"/>
      </w:r>
    </w:p>
    <w:p>
      <w:pPr>
        <w:spacing w:before="60" w:after="120"/>
        <w:jc w:val="both"/>
      </w:pPr>
      <w:r>
        <w:rPr>
          <w:rFonts w:ascii="Arial" w:cs="Arial" w:eastAsia="Arial" w:hAnsi="Arial"/>
          <w:color w:val="1A1A1A"/>
          <w:sz w:val="22"/>
          <w:szCs w:val="22"/>
        </w:rPr>
        <w:t xml:space="preserve">When cross-tabulated with engagement status, the Germany effect is amplified among inactive members. Inactive German customers churn at approximately 40.5%, compared to 21.7% for inactive French customers — suggesting that Germany presents a structural service delivery or product-market fit challenge that transcends engagement alone.</w:t>
      </w:r>
    </w:p>
    <w:p>
      <w:pPr>
        <w:pStyle w:val="Heading2"/>
        <w:spacing w:before="240" w:after="80"/>
      </w:pPr>
      <w:r>
        <w:rPr>
          <w:rFonts w:ascii="Arial" w:cs="Arial" w:eastAsia="Arial" w:hAnsi="Arial"/>
          <w:b/>
          <w:bCs/>
          <w:color w:val="2E75B6"/>
          <w:sz w:val="28"/>
          <w:szCs w:val="28"/>
        </w:rPr>
        <w:t xml:space="preserve">3.3 Engagement Analysis</w:t>
      </w:r>
    </w:p>
    <w:p>
      <w:pPr>
        <w:pStyle w:val="Heading3"/>
        <w:spacing w:before="180" w:after="60"/>
      </w:pPr>
      <w:r>
        <w:rPr>
          <w:rFonts w:ascii="Arial" w:cs="Arial" w:eastAsia="Arial" w:hAnsi="Arial"/>
          <w:b/>
          <w:bCs/>
          <w:color w:val="404040"/>
          <w:sz w:val="24"/>
          <w:szCs w:val="24"/>
        </w:rPr>
        <w:t xml:space="preserve">3.3.1 Activity Status</w:t>
      </w:r>
    </w:p>
    <w:p>
      <w:pPr>
        <w:spacing w:before="60" w:after="120"/>
        <w:jc w:val="left"/>
      </w:pPr>
      <w:r>
        <w:rPr>
          <w:rFonts w:ascii="Arial" w:cs="Arial" w:eastAsia="Arial" w:hAnsi="Arial"/>
          <w:color w:val="1A1A1A"/>
          <w:sz w:val="22"/>
          <w:szCs w:val="22"/>
        </w:rPr>
        <w:t xml:space="preserve">Active members (IsActiveMember = 1) churn at 14.27%, versus 26.85% for inactive members — a factor of 1.88×. This 12.58 percentage point gap represents the most consistent and actionable predictor of churn identified in this study.</w:t>
      </w:r>
    </w:p>
    <w:p>
      <w:pPr>
        <w:pStyle w:val="Heading3"/>
        <w:spacing w:before="180" w:after="60"/>
      </w:pPr>
      <w:r>
        <w:rPr>
          <w:rFonts w:ascii="Arial" w:cs="Arial" w:eastAsia="Arial" w:hAnsi="Arial"/>
          <w:b/>
          <w:bCs/>
          <w:color w:val="404040"/>
          <w:sz w:val="24"/>
          <w:szCs w:val="24"/>
        </w:rPr>
        <w:t xml:space="preserve">3.3.2 Age Cohort Vulnerability</w:t>
      </w:r>
    </w:p>
    <w:p>
      <w:pPr>
        <w:spacing w:before="60" w:after="120"/>
        <w:jc w:val="left"/>
      </w:pPr>
      <w:r>
        <w:rPr>
          <w:rFonts w:ascii="Arial" w:cs="Arial" w:eastAsia="Arial" w:hAnsi="Arial"/>
          <w:color w:val="1A1A1A"/>
          <w:sz w:val="22"/>
          <w:szCs w:val="22"/>
        </w:rPr>
        <w:t xml:space="preserve">Age emerges as a critical risk stratifier, with a non-linear relationship between age and churn:</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 Band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Under 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1,641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7.56%</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Low</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30-39</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4,346</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473</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10.88%</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Low-Moderate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40-49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2,618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807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30.79%</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50-59</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869</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487</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56.04%</w:t>
            </w:r>
          </w:p>
        </w:tc>
        <w:tc>
          <w:tcPr>
            <w:tcW w:type="dxa" w:w="1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526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147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27.95%</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w:t>
            </w:r>
          </w:p>
        </w:tc>
      </w:tr>
    </w:tbl>
    <w:p>
      <w:pPr>
        <w:spacing w:before="0" w:after="120"/>
      </w:pPr>
      <w:r>
        <w:t xml:space="preserve"/>
      </w:r>
    </w:p>
    <w:p>
      <w:pPr>
        <w:pBdr>
          <w:left w:val="single" w:color="C9A800" w:sz="12"/>
        </w:pBdr>
        <w:shd w:fill="FFF2CC" w:val="clear"/>
        <w:spacing w:before="120" w:after="0"/>
        <w:ind w:left="180" w:right="180"/>
      </w:pPr>
      <w:r>
        <w:rPr>
          <w:rFonts w:ascii="Arial" w:cs="Arial" w:eastAsia="Arial" w:hAnsi="Arial"/>
          <w:b/>
          <w:bCs/>
          <w:color w:val="7B5E00"/>
          <w:sz w:val="22"/>
          <w:szCs w:val="22"/>
        </w:rPr>
        <w:t xml:space="preserve">Age crisis:</w:t>
      </w:r>
    </w:p>
    <w:p>
      <w:pPr>
        <w:pBdr>
          <w:left w:val="single" w:color="C9A800" w:sz="12"/>
        </w:pBdr>
        <w:shd w:fill="FFF2CC" w:val="clear"/>
        <w:spacing w:before="0" w:after="120"/>
        <w:ind w:left="180" w:right="180"/>
      </w:pPr>
      <w:r>
        <w:rPr>
          <w:rFonts w:ascii="Arial" w:cs="Arial" w:eastAsia="Arial" w:hAnsi="Arial"/>
          <w:color w:val="1A1A1A"/>
          <w:sz w:val="22"/>
          <w:szCs w:val="22"/>
        </w:rPr>
        <w:t xml:space="preserve">The 50-59 cohort exhibits a 56.04% churn rate — meaning more than half of all customers in this age band will exit the bank. With 869 customers and an average balance 25% above the portfolio mean, this cohort requires immediate dedicated intervention.</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3.3.3 Gender Differential</w:t>
      </w:r>
    </w:p>
    <w:p>
      <w:pPr>
        <w:spacing w:before="60" w:after="120"/>
        <w:jc w:val="both"/>
      </w:pPr>
      <w:r>
        <w:rPr>
          <w:rFonts w:ascii="Arial" w:cs="Arial" w:eastAsia="Arial" w:hAnsi="Arial"/>
          <w:color w:val="1A1A1A"/>
          <w:sz w:val="22"/>
          <w:szCs w:val="22"/>
        </w:rPr>
        <w:t xml:space="preserve">Female customers churn at 25.07% versus 16.46% for males — a 52.3% relative difference. With 4,543 female customers in the dataset, this represents a material retention gap. The causes are not identifiable from the available variables but may reflect product relevance, service experience, or life-stage financial needs not met by current offerings.</w:t>
      </w:r>
    </w:p>
    <w:p>
      <w:pPr>
        <w:pStyle w:val="Heading2"/>
        <w:spacing w:before="240" w:after="80"/>
      </w:pPr>
      <w:r>
        <w:rPr>
          <w:rFonts w:ascii="Arial" w:cs="Arial" w:eastAsia="Arial" w:hAnsi="Arial"/>
          <w:b/>
          <w:bCs/>
          <w:color w:val="2E75B6"/>
          <w:sz w:val="28"/>
          <w:szCs w:val="28"/>
        </w:rPr>
        <w:t xml:space="preserve">3.4 Tenure Analysis</w:t>
      </w:r>
    </w:p>
    <w:p>
      <w:pPr>
        <w:spacing w:before="60" w:after="120"/>
        <w:jc w:val="left"/>
      </w:pPr>
      <w:r>
        <w:rPr>
          <w:rFonts w:ascii="Arial" w:cs="Arial" w:eastAsia="Arial" w:hAnsi="Arial"/>
          <w:color w:val="1A1A1A"/>
          <w:sz w:val="22"/>
          <w:szCs w:val="22"/>
        </w:rPr>
        <w:t xml:space="preserve">Contrary to standard loyalty curve expectations, churn rates across tenure bands (0 to 10 years) show no systematic decline. Rates oscillate between 17.22% (tenure 7) and 23.00% (tenure 0) without a sustained downward trend. This absence of a loyalty effect indicates that time-based retention programmes (anniversary rewards, long-tenure discounts) are unlikely to yield material churn reductions.</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4. Product Utilisation Analysis</w:t>
      </w:r>
    </w:p>
    <w:p>
      <w:pPr>
        <w:pStyle w:val="Heading2"/>
        <w:spacing w:before="240" w:after="80"/>
      </w:pPr>
      <w:r>
        <w:rPr>
          <w:rFonts w:ascii="Arial" w:cs="Arial" w:eastAsia="Arial" w:hAnsi="Arial"/>
          <w:b/>
          <w:bCs/>
          <w:color w:val="2E75B6"/>
          <w:sz w:val="28"/>
          <w:szCs w:val="28"/>
        </w:rPr>
        <w:t xml:space="preserve">4.1 Product Depth Index</w:t>
      </w:r>
    </w:p>
    <w:p>
      <w:pPr>
        <w:spacing w:before="60" w:after="120"/>
        <w:jc w:val="left"/>
      </w:pPr>
      <w:r>
        <w:rPr>
          <w:rFonts w:ascii="Arial" w:cs="Arial" w:eastAsia="Arial" w:hAnsi="Arial"/>
          <w:color w:val="1A1A1A"/>
          <w:sz w:val="22"/>
          <w:szCs w:val="22"/>
        </w:rPr>
        <w:t xml:space="preserve">NumOfProducts ranges from 1 to 4 in this dataset. The relationship between product count and churn reveals a non-monotonic pattern with significant strategic implications:</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4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Count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 product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5,084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1,409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27.71%</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 risk</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 products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4,590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348</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7.58%</w:t>
            </w:r>
          </w:p>
        </w:tc>
        <w:tc>
          <w:tcPr>
            <w:tcW w:type="dxa" w:w="1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Optimal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 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266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82.71%</w:t>
            </w:r>
          </w:p>
        </w:tc>
        <w:tc>
          <w:tcPr>
            <w:tcW w:type="dxa" w:w="1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Critical alarm</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 products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60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60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100.00%</w:t>
            </w:r>
          </w:p>
        </w:tc>
        <w:tc>
          <w:tcPr>
            <w:tcW w:type="dxa" w:w="1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Exit precursor</w:t>
            </w:r>
          </w:p>
        </w:tc>
      </w:tr>
    </w:tbl>
    <w:p>
      <w:pPr>
        <w:spacing w:before="0" w:after="120"/>
      </w:pPr>
      <w:r>
        <w:t xml:space="preserve"/>
      </w:r>
    </w:p>
    <w:p>
      <w:pPr>
        <w:pStyle w:val="Heading2"/>
        <w:spacing w:before="240" w:after="80"/>
      </w:pPr>
      <w:r>
        <w:rPr>
          <w:rFonts w:ascii="Arial" w:cs="Arial" w:eastAsia="Arial" w:hAnsi="Arial"/>
          <w:b/>
          <w:bCs/>
          <w:color w:val="2E75B6"/>
          <w:sz w:val="28"/>
          <w:szCs w:val="28"/>
        </w:rPr>
        <w:t xml:space="preserve">4.2 The Product Utilisation Paradox</w:t>
      </w:r>
    </w:p>
    <w:p>
      <w:pPr>
        <w:spacing w:before="60" w:after="120"/>
        <w:jc w:val="left"/>
      </w:pPr>
      <w:r>
        <w:rPr>
          <w:rFonts w:ascii="Arial" w:cs="Arial" w:eastAsia="Arial" w:hAnsi="Arial"/>
          <w:color w:val="1A1A1A"/>
          <w:sz w:val="22"/>
          <w:szCs w:val="22"/>
        </w:rPr>
        <w:t xml:space="preserve">The finding that 3-4 product customers exhibit the highest churn rates in the dataset is among the most consequential and counter-intuitive discoveries of this analysis. The standard industry assumption — that multi-product customers are more loyal due to switching costs and relationship depth — is dramatically violated here.</w:t>
      </w:r>
    </w:p>
    <w:p>
      <w:pPr>
        <w:spacing w:before="60" w:after="120"/>
        <w:jc w:val="left"/>
      </w:pPr>
      <w:r>
        <w:rPr>
          <w:rFonts w:ascii="Arial" w:cs="Arial" w:eastAsia="Arial" w:hAnsi="Arial"/>
          <w:color w:val="1A1A1A"/>
          <w:sz w:val="22"/>
          <w:szCs w:val="22"/>
        </w:rPr>
        <w:t xml:space="preserve">Two competing hypotheses are advanced:</w:t>
      </w:r>
    </w:p>
    <w:p>
      <w:pPr>
        <w:pStyle w:val="ListParagraph"/>
        <w:numPr>
          <w:ilvl w:val="0"/>
          <w:numId w:val="2"/>
        </w:numPr>
        <w:spacing w:before="40" w:after="40"/>
      </w:pPr>
      <w:r>
        <w:rPr>
          <w:rFonts w:ascii="Arial" w:cs="Arial" w:eastAsia="Arial" w:hAnsi="Arial"/>
          <w:color w:val="1A1A1A"/>
          <w:sz w:val="22"/>
          <w:szCs w:val="22"/>
        </w:rPr>
        <w:t xml:space="preserve">Mis-selling hypothesis: Customers with 3+ products were sold products unsuitable to their needs. Dissatisfaction with unwanted or underused products triggers exit. This is consistent with observed patterns where high product counts precede rather than follow high engagement.</w:t>
      </w:r>
    </w:p>
    <w:p>
      <w:pPr>
        <w:pStyle w:val="ListParagraph"/>
        <w:numPr>
          <w:ilvl w:val="0"/>
          <w:numId w:val="2"/>
        </w:numPr>
        <w:spacing w:before="40" w:after="40"/>
      </w:pPr>
      <w:r>
        <w:rPr>
          <w:rFonts w:ascii="Arial" w:cs="Arial" w:eastAsia="Arial" w:hAnsi="Arial"/>
          <w:color w:val="1A1A1A"/>
          <w:sz w:val="22"/>
          <w:szCs w:val="22"/>
        </w:rPr>
        <w:t xml:space="preserve">Churn precursor hypothesis: Customers planning to exit may open additional accounts (or close them partially) during a transition period, temporarily inflating product counts. Under this interpretation, 3+ products is a lagging indicator of dissatisfaction rather than a cause of it.</w:t>
      </w:r>
    </w:p>
    <w:p>
      <w:pPr>
        <w:spacing w:before="60" w:after="120"/>
        <w:jc w:val="both"/>
      </w:pPr>
      <w:r>
        <w:rPr>
          <w:rFonts w:ascii="Arial" w:cs="Arial" w:eastAsia="Arial" w:hAnsi="Arial"/>
          <w:color w:val="1A1A1A"/>
          <w:sz w:val="22"/>
          <w:szCs w:val="22"/>
        </w:rPr>
        <w:t xml:space="preserve">Either interpretation carries the same strategic imperative: product bundling should optimise for 2-product configurations. Aggressive cross-selling to 3+ products is counter-productive.</w:t>
      </w:r>
    </w:p>
    <w:p>
      <w:pPr>
        <w:pStyle w:val="Heading2"/>
        <w:spacing w:before="240" w:after="80"/>
      </w:pPr>
      <w:r>
        <w:rPr>
          <w:rFonts w:ascii="Arial" w:cs="Arial" w:eastAsia="Arial" w:hAnsi="Arial"/>
          <w:b/>
          <w:bCs/>
          <w:color w:val="2E75B6"/>
          <w:sz w:val="28"/>
          <w:szCs w:val="28"/>
        </w:rPr>
        <w:t xml:space="preserve">4.3 Credit Card Stickiness</w:t>
      </w:r>
    </w:p>
    <w:p>
      <w:pPr>
        <w:spacing w:before="60" w:after="120"/>
        <w:jc w:val="left"/>
      </w:pPr>
      <w:r>
        <w:rPr>
          <w:rFonts w:ascii="Arial" w:cs="Arial" w:eastAsia="Arial" w:hAnsi="Arial"/>
          <w:color w:val="1A1A1A"/>
          <w:sz w:val="22"/>
          <w:szCs w:val="22"/>
        </w:rPr>
        <w:t xml:space="preserve">HasCrCard shows a marginal churn differential: credit card holders churn at 20.18% versus 20.81% for non-holders — a 0.63 percentage point gap that is statistically negligible. Credit card ownership alone confers no meaningful retention benefit, contrary to common banking assumptions. Its value lies in the RSI composite rather than as an independent retention lever.</w:t>
      </w:r>
    </w:p>
    <w:p>
      <w:pPr>
        <w:pStyle w:val="Heading2"/>
        <w:spacing w:before="240" w:after="80"/>
      </w:pPr>
      <w:r>
        <w:rPr>
          <w:rFonts w:ascii="Arial" w:cs="Arial" w:eastAsia="Arial" w:hAnsi="Arial"/>
          <w:b/>
          <w:bCs/>
          <w:color w:val="2E75B6"/>
          <w:sz w:val="28"/>
          <w:szCs w:val="28"/>
        </w:rPr>
        <w:t xml:space="preserve">4.4 Relationship Strength Index Validation</w:t>
      </w:r>
    </w:p>
    <w:p>
      <w:pPr>
        <w:spacing w:before="60" w:after="120"/>
        <w:jc w:val="left"/>
      </w:pPr>
      <w:r>
        <w:rPr>
          <w:rFonts w:ascii="Arial" w:cs="Arial" w:eastAsia="Arial" w:hAnsi="Arial"/>
          <w:color w:val="1A1A1A"/>
          <w:sz w:val="22"/>
          <w:szCs w:val="22"/>
        </w:rPr>
        <w:t xml:space="preserve">The RSI demonstrates a clean, monotonic relationship between composite engagement depth and churn rate, validating its construction:</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6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RSI Score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 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 Grade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 (Lowest)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Inactive, no/1 product, no 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718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34.54%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 — Critical</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Moderate engagement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3,274</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29.26%</w:t>
            </w:r>
          </w:p>
        </w:tc>
        <w:tc>
          <w:tcPr>
            <w:tcW w:type="dxa" w:w="1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D — At Risk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Good engagement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4,176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15.90%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 — Stable</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4 (Highest)</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Active + 2 products + credit card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1,832</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9.12%</w:t>
            </w:r>
          </w:p>
        </w:tc>
        <w:tc>
          <w:tcPr>
            <w:tcW w:type="dxa" w:w="1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 — Sticky</w:t>
            </w:r>
          </w:p>
        </w:tc>
      </w:tr>
    </w:tbl>
    <w:p>
      <w:pPr>
        <w:spacing w:before="0" w:after="120"/>
      </w:pPr>
      <w:r>
        <w:t xml:space="preserve"/>
      </w:r>
    </w:p>
    <w:p>
      <w:pPr>
        <w:pBdr>
          <w:left w:val="single" w:color="2E75B6" w:sz="12"/>
        </w:pBdr>
        <w:shd w:fill="D6E4F0" w:val="clear"/>
        <w:spacing w:before="120" w:after="0"/>
        <w:ind w:left="180" w:right="180"/>
      </w:pPr>
      <w:r>
        <w:rPr>
          <w:rFonts w:ascii="Arial" w:cs="Arial" w:eastAsia="Arial" w:hAnsi="Arial"/>
          <w:b/>
          <w:bCs/>
          <w:color w:val="1F4E79"/>
          <w:sz w:val="22"/>
          <w:szCs w:val="22"/>
        </w:rPr>
        <w:t xml:space="preserve">RSI insight:</w:t>
      </w:r>
    </w:p>
    <w:p>
      <w:pPr>
        <w:pBdr>
          <w:left w:val="single" w:color="2E75B6" w:sz="12"/>
        </w:pBdr>
        <w:shd w:fill="D6E4F0" w:val="clear"/>
        <w:spacing w:before="0" w:after="120"/>
        <w:ind w:left="180" w:right="180"/>
      </w:pPr>
      <w:r>
        <w:rPr>
          <w:rFonts w:ascii="Arial" w:cs="Arial" w:eastAsia="Arial" w:hAnsi="Arial"/>
          <w:color w:val="1A1A1A"/>
          <w:sz w:val="22"/>
          <w:szCs w:val="22"/>
        </w:rPr>
        <w:t xml:space="preserve">Each increment in RSI score reduces churn by approximately 8-12 percentage points. The priority intervention is moving RSI-1 and RSI-2 customers upward — even a single-step improvement yields material retention gains.</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5. Financial Commitment vs Engagement Analysis</w:t>
      </w:r>
    </w:p>
    <w:p>
      <w:pPr>
        <w:pStyle w:val="Heading2"/>
        <w:spacing w:before="240" w:after="80"/>
      </w:pPr>
      <w:r>
        <w:rPr>
          <w:rFonts w:ascii="Arial" w:cs="Arial" w:eastAsia="Arial" w:hAnsi="Arial"/>
          <w:b/>
          <w:bCs/>
          <w:color w:val="2E75B6"/>
          <w:sz w:val="28"/>
          <w:szCs w:val="28"/>
        </w:rPr>
        <w:t xml:space="preserve">5.1 Balance Distribution and Churn Risk</w:t>
      </w:r>
    </w:p>
    <w:p>
      <w:pPr>
        <w:spacing w:before="60" w:after="120"/>
        <w:jc w:val="left"/>
      </w:pPr>
      <w:r>
        <w:rPr>
          <w:rFonts w:ascii="Arial" w:cs="Arial" w:eastAsia="Arial" w:hAnsi="Arial"/>
          <w:color w:val="1A1A1A"/>
          <w:sz w:val="22"/>
          <w:szCs w:val="22"/>
        </w:rPr>
        <w:t xml:space="preserve">Account balance shows a non-linear relationship with churn. Zero-balance customers churn at 13.82% — below the portfolio average — while the EUR 1-50K segment shows the highest churn rate at 34.67%, likely reflecting customers in financial transition or with limited product depth. Mid to high balances (EUR 50K+) converge around a 20-26% churn range.</w:t>
      </w:r>
    </w:p>
    <w:p>
      <w:pPr>
        <w:spacing w:before="0" w:after="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 Band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Flag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Zero (EUR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3,617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13.82%</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Below Average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EUR 1 - 50,000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75</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26</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34.67%</w:t>
            </w:r>
          </w:p>
        </w:tc>
        <w:tc>
          <w:tcPr>
            <w:tcW w:type="dxa" w:w="1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EUR 50,000 - 100,000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1,509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19.88%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Average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EUR 100,000 - 150,000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3,830</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987</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25.77%</w:t>
            </w:r>
          </w:p>
        </w:tc>
        <w:tc>
          <w:tcPr>
            <w:tcW w:type="dxa" w:w="16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r>
              <w:rPr>
                <w:rFonts w:ascii="Arial" w:cs="Arial" w:eastAsia="Arial" w:hAnsi="Arial"/>
                <w:color w:val="1A1A1A"/>
                <w:sz w:val="20"/>
                <w:szCs w:val="20"/>
              </w:rPr>
              <w:t xml:space="preserve">Above Average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EUR 150,000+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969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23.12%</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Above Average</w:t>
            </w:r>
          </w:p>
        </w:tc>
      </w:tr>
    </w:tbl>
    <w:p>
      <w:pPr>
        <w:spacing w:before="0" w:after="120"/>
      </w:pPr>
      <w:r>
        <w:t xml:space="preserve"/>
      </w:r>
    </w:p>
    <w:p>
      <w:pPr>
        <w:pStyle w:val="Heading2"/>
        <w:spacing w:before="240" w:after="80"/>
      </w:pPr>
      <w:r>
        <w:rPr>
          <w:rFonts w:ascii="Arial" w:cs="Arial" w:eastAsia="Arial" w:hAnsi="Arial"/>
          <w:b/>
          <w:bCs/>
          <w:color w:val="2E75B6"/>
          <w:sz w:val="28"/>
          <w:szCs w:val="28"/>
        </w:rPr>
        <w:t xml:space="preserve">5.2 At-Risk Premium Customer Identification</w:t>
      </w:r>
    </w:p>
    <w:p>
      <w:pPr>
        <w:spacing w:before="60" w:after="120"/>
        <w:jc w:val="left"/>
      </w:pPr>
      <w:r>
        <w:rPr>
          <w:rFonts w:ascii="Arial" w:cs="Arial" w:eastAsia="Arial" w:hAnsi="Arial"/>
          <w:color w:val="1A1A1A"/>
          <w:sz w:val="22"/>
          <w:szCs w:val="22"/>
        </w:rPr>
        <w:t xml:space="preserve">Customers classified as at-risk premium — those who are inactive (IsActiveMember = 0) and hold balances above EUR 100,000 — number 2,356 and churn at 32.77%. This group represents a significant AUM exposure: at an average balance of approximately EUR 125,000, the potential assets under management at risk from this segment alone approach EUR 290 million.</w:t>
      </w:r>
    </w:p>
    <w:p>
      <w:pPr>
        <w:spacing w:before="60" w:after="120"/>
        <w:jc w:val="both"/>
      </w:pPr>
      <w:r>
        <w:rPr>
          <w:rFonts w:ascii="Arial" w:cs="Arial" w:eastAsia="Arial" w:hAnsi="Arial"/>
          <w:color w:val="1A1A1A"/>
          <w:sz w:val="22"/>
          <w:szCs w:val="22"/>
        </w:rPr>
        <w:t xml:space="preserve">The critical finding is that these customers possess substantial financial capacity but are disconnected from the bank's engagement ecosystem. Their churn is not driven by financial distress (salaries are comparable to retained customers) but by a failure of relationship management.</w:t>
      </w:r>
    </w:p>
    <w:p>
      <w:pPr>
        <w:pStyle w:val="Heading2"/>
        <w:spacing w:before="240" w:after="80"/>
      </w:pPr>
      <w:r>
        <w:rPr>
          <w:rFonts w:ascii="Arial" w:cs="Arial" w:eastAsia="Arial" w:hAnsi="Arial"/>
          <w:b/>
          <w:bCs/>
          <w:color w:val="2E75B6"/>
          <w:sz w:val="28"/>
          <w:szCs w:val="28"/>
        </w:rPr>
        <w:t xml:space="preserve">5.3 Salary-Balance Mismatch</w:t>
      </w:r>
    </w:p>
    <w:p>
      <w:pPr>
        <w:spacing w:before="60" w:after="120"/>
        <w:jc w:val="left"/>
      </w:pPr>
      <w:r>
        <w:rPr>
          <w:rFonts w:ascii="Arial" w:cs="Arial" w:eastAsia="Arial" w:hAnsi="Arial"/>
          <w:color w:val="1A1A1A"/>
          <w:sz w:val="22"/>
          <w:szCs w:val="22"/>
        </w:rPr>
        <w:t xml:space="preserve">The divergence between salary and balance in the churned population is analytically significant. Churned customers earn only EUR 1,728 more per annum than retained customers (+1.7%), yet hold EUR 18,364 more in account balances (+25.3%). This pattern is consistent with a profile of older, wealthier customers who have accumulated savings over time but are poorly served by product offerings designed for younger, salary-growth-oriented clients.</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6. Strategic Retention Recommendations</w:t>
      </w:r>
    </w:p>
    <w:p>
      <w:pPr>
        <w:pStyle w:val="Heading2"/>
        <w:spacing w:before="240" w:after="80"/>
      </w:pPr>
      <w:r>
        <w:rPr>
          <w:rFonts w:ascii="Arial" w:cs="Arial" w:eastAsia="Arial" w:hAnsi="Arial"/>
          <w:b/>
          <w:bCs/>
          <w:color w:val="2E75B6"/>
          <w:sz w:val="28"/>
          <w:szCs w:val="28"/>
        </w:rPr>
        <w:t xml:space="preserve">6.1 Geographic Intervention — Germany Priority</w:t>
      </w:r>
    </w:p>
    <w:p>
      <w:pPr>
        <w:spacing w:before="60" w:after="120"/>
        <w:jc w:val="left"/>
      </w:pPr>
      <w:r>
        <w:rPr>
          <w:rFonts w:ascii="Arial" w:cs="Arial" w:eastAsia="Arial" w:hAnsi="Arial"/>
          <w:color w:val="1A1A1A"/>
          <w:sz w:val="22"/>
          <w:szCs w:val="22"/>
        </w:rPr>
        <w:t xml:space="preserve">Germany's 32.44% churn rate necessitates a dedicated country-level intervention programme, independent of portfolio-wide initiatives. Recommended actions:</w:t>
      </w:r>
    </w:p>
    <w:p>
      <w:pPr>
        <w:pStyle w:val="ListParagraph"/>
        <w:numPr>
          <w:ilvl w:val="0"/>
          <w:numId w:val="2"/>
        </w:numPr>
        <w:spacing w:before="40" w:after="40"/>
      </w:pPr>
      <w:r>
        <w:rPr>
          <w:rFonts w:ascii="Arial" w:cs="Arial" w:eastAsia="Arial" w:hAnsi="Arial"/>
          <w:color w:val="1A1A1A"/>
          <w:sz w:val="22"/>
          <w:szCs w:val="22"/>
        </w:rPr>
        <w:t xml:space="preserve">Commission a qualitative study (customer exit interviews, NPS analysis) to identify Germany-specific service or product dissatisfaction drivers.</w:t>
      </w:r>
    </w:p>
    <w:p>
      <w:pPr>
        <w:pStyle w:val="ListParagraph"/>
        <w:numPr>
          <w:ilvl w:val="0"/>
          <w:numId w:val="2"/>
        </w:numPr>
        <w:spacing w:before="40" w:after="40"/>
      </w:pPr>
      <w:r>
        <w:rPr>
          <w:rFonts w:ascii="Arial" w:cs="Arial" w:eastAsia="Arial" w:hAnsi="Arial"/>
          <w:color w:val="1A1A1A"/>
          <w:sz w:val="22"/>
          <w:szCs w:val="22"/>
        </w:rPr>
        <w:t xml:space="preserve">Establish a dedicated German Retention Task Force with authority to customise product terms, fee structures, and service delivery.</w:t>
      </w:r>
    </w:p>
    <w:p>
      <w:pPr>
        <w:pStyle w:val="ListParagraph"/>
        <w:numPr>
          <w:ilvl w:val="0"/>
          <w:numId w:val="2"/>
        </w:numPr>
        <w:spacing w:before="40" w:after="40"/>
      </w:pPr>
      <w:r>
        <w:rPr>
          <w:rFonts w:ascii="Arial" w:cs="Arial" w:eastAsia="Arial" w:hAnsi="Arial"/>
          <w:color w:val="1A1A1A"/>
          <w:sz w:val="22"/>
          <w:szCs w:val="22"/>
        </w:rPr>
        <w:t xml:space="preserve">Introduce Germany-specific retention offers (loyalty rate enhancements, fee waivers) for customers flagged as RSI 1-2 in this geography.</w:t>
      </w:r>
    </w:p>
    <w:p>
      <w:pPr>
        <w:pStyle w:val="ListParagraph"/>
        <w:numPr>
          <w:ilvl w:val="0"/>
          <w:numId w:val="2"/>
        </w:numPr>
        <w:spacing w:before="40" w:after="40"/>
      </w:pPr>
      <w:r>
        <w:rPr>
          <w:rFonts w:ascii="Arial" w:cs="Arial" w:eastAsia="Arial" w:hAnsi="Arial"/>
          <w:color w:val="1A1A1A"/>
          <w:sz w:val="22"/>
          <w:szCs w:val="22"/>
        </w:rPr>
        <w:t xml:space="preserve">Set a 24-month KPI target to reduce German churn to 24% (peer-market level), reviewable quarterly.</w:t>
      </w:r>
    </w:p>
    <w:p>
      <w:pPr>
        <w:pStyle w:val="Heading2"/>
        <w:spacing w:before="240" w:after="80"/>
      </w:pPr>
      <w:r>
        <w:rPr>
          <w:rFonts w:ascii="Arial" w:cs="Arial" w:eastAsia="Arial" w:hAnsi="Arial"/>
          <w:b/>
          <w:bCs/>
          <w:color w:val="2E75B6"/>
          <w:sz w:val="28"/>
          <w:szCs w:val="28"/>
        </w:rPr>
        <w:t xml:space="preserve">6.2 Age-Segmented Retention Products</w:t>
      </w:r>
    </w:p>
    <w:p>
      <w:pPr>
        <w:spacing w:before="60" w:after="120"/>
        <w:jc w:val="left"/>
      </w:pPr>
      <w:r>
        <w:rPr>
          <w:rFonts w:ascii="Arial" w:cs="Arial" w:eastAsia="Arial" w:hAnsi="Arial"/>
          <w:color w:val="1A1A1A"/>
          <w:sz w:val="22"/>
          <w:szCs w:val="22"/>
        </w:rPr>
        <w:t xml:space="preserve">The 50-59 age cohort's 56% churn rate demands dedicated product development. This cohort is likely approaching or in early retirement, with financial priorities (capital preservation, income generation, estate planning) misaligned with standard retail banking products.</w:t>
      </w:r>
    </w:p>
    <w:p>
      <w:pPr>
        <w:pStyle w:val="ListParagraph"/>
        <w:numPr>
          <w:ilvl w:val="0"/>
          <w:numId w:val="2"/>
        </w:numPr>
        <w:spacing w:before="40" w:after="40"/>
      </w:pPr>
      <w:r>
        <w:rPr>
          <w:rFonts w:ascii="Arial" w:cs="Arial" w:eastAsia="Arial" w:hAnsi="Arial"/>
          <w:color w:val="1A1A1A"/>
          <w:sz w:val="22"/>
          <w:szCs w:val="22"/>
        </w:rPr>
        <w:t xml:space="preserve">Develop a Senior Wealth Programme: capital preservation accounts, annuity-linked savings, financial planning advisory services.</w:t>
      </w:r>
    </w:p>
    <w:p>
      <w:pPr>
        <w:pStyle w:val="ListParagraph"/>
        <w:numPr>
          <w:ilvl w:val="0"/>
          <w:numId w:val="2"/>
        </w:numPr>
        <w:spacing w:before="40" w:after="40"/>
      </w:pPr>
      <w:r>
        <w:rPr>
          <w:rFonts w:ascii="Arial" w:cs="Arial" w:eastAsia="Arial" w:hAnsi="Arial"/>
          <w:color w:val="1A1A1A"/>
          <w:sz w:val="22"/>
          <w:szCs w:val="22"/>
        </w:rPr>
        <w:t xml:space="preserve">Assign relationship managers to all customers aged 50+ with balances exceeding EUR 75,000.</w:t>
      </w:r>
    </w:p>
    <w:p>
      <w:pPr>
        <w:pStyle w:val="ListParagraph"/>
        <w:numPr>
          <w:ilvl w:val="0"/>
          <w:numId w:val="2"/>
        </w:numPr>
        <w:spacing w:before="40" w:after="40"/>
      </w:pPr>
      <w:r>
        <w:rPr>
          <w:rFonts w:ascii="Arial" w:cs="Arial" w:eastAsia="Arial" w:hAnsi="Arial"/>
          <w:color w:val="1A1A1A"/>
          <w:sz w:val="22"/>
          <w:szCs w:val="22"/>
        </w:rPr>
        <w:t xml:space="preserve">Create a life-stage transition protocol: proactive outreach to customers within 5 years of retirement with tailored product review.</w:t>
      </w:r>
    </w:p>
    <w:p>
      <w:pPr>
        <w:pStyle w:val="ListParagraph"/>
        <w:numPr>
          <w:ilvl w:val="0"/>
          <w:numId w:val="2"/>
        </w:numPr>
        <w:spacing w:before="40" w:after="40"/>
      </w:pPr>
      <w:r>
        <w:rPr>
          <w:rFonts w:ascii="Arial" w:cs="Arial" w:eastAsia="Arial" w:hAnsi="Arial"/>
          <w:color w:val="1A1A1A"/>
          <w:sz w:val="22"/>
          <w:szCs w:val="22"/>
        </w:rPr>
        <w:t xml:space="preserve">Target: reduce 50-59 cohort churn from 56% to below 35% within 18 months.</w:t>
      </w:r>
    </w:p>
    <w:p>
      <w:pPr>
        <w:pStyle w:val="Heading2"/>
        <w:spacing w:before="240" w:after="80"/>
      </w:pPr>
      <w:r>
        <w:rPr>
          <w:rFonts w:ascii="Arial" w:cs="Arial" w:eastAsia="Arial" w:hAnsi="Arial"/>
          <w:b/>
          <w:bCs/>
          <w:color w:val="2E75B6"/>
          <w:sz w:val="28"/>
          <w:szCs w:val="28"/>
        </w:rPr>
        <w:t xml:space="preserve">6.3 Product-Bundling Optimisation</w:t>
      </w:r>
    </w:p>
    <w:p>
      <w:pPr>
        <w:spacing w:before="60" w:after="120"/>
        <w:jc w:val="left"/>
      </w:pPr>
      <w:r>
        <w:rPr>
          <w:rFonts w:ascii="Arial" w:cs="Arial" w:eastAsia="Arial" w:hAnsi="Arial"/>
          <w:color w:val="1A1A1A"/>
          <w:sz w:val="22"/>
          <w:szCs w:val="22"/>
        </w:rPr>
        <w:t xml:space="preserve">The product utilisation paradox demands a fundamental rethink of cross-selling strategy:</w:t>
      </w:r>
    </w:p>
    <w:p>
      <w:pPr>
        <w:pStyle w:val="ListParagraph"/>
        <w:numPr>
          <w:ilvl w:val="0"/>
          <w:numId w:val="2"/>
        </w:numPr>
        <w:spacing w:before="40" w:after="40"/>
      </w:pPr>
      <w:r>
        <w:rPr>
          <w:rFonts w:ascii="Arial" w:cs="Arial" w:eastAsia="Arial" w:hAnsi="Arial"/>
          <w:color w:val="1A1A1A"/>
          <w:sz w:val="22"/>
          <w:szCs w:val="22"/>
        </w:rPr>
        <w:t xml:space="preserve">Immediately audit all customers with 3+ products to identify mis-selling candidates. Initiate proactive product rationalisation conversations.</w:t>
      </w:r>
    </w:p>
    <w:p>
      <w:pPr>
        <w:pStyle w:val="ListParagraph"/>
        <w:numPr>
          <w:ilvl w:val="0"/>
          <w:numId w:val="2"/>
        </w:numPr>
        <w:spacing w:before="40" w:after="40"/>
      </w:pPr>
      <w:r>
        <w:rPr>
          <w:rFonts w:ascii="Arial" w:cs="Arial" w:eastAsia="Arial" w:hAnsi="Arial"/>
          <w:color w:val="1A1A1A"/>
          <w:sz w:val="22"/>
          <w:szCs w:val="22"/>
        </w:rPr>
        <w:t xml:space="preserve">Redesign cross-selling incentive structures to target the 1-to-2 product transition, not 2-to-3+. Sales compensation should be tied to 2-product retention rates, not raw product counts.</w:t>
      </w:r>
    </w:p>
    <w:p>
      <w:pPr>
        <w:pStyle w:val="ListParagraph"/>
        <w:numPr>
          <w:ilvl w:val="0"/>
          <w:numId w:val="2"/>
        </w:numPr>
        <w:spacing w:before="40" w:after="40"/>
      </w:pPr>
      <w:r>
        <w:rPr>
          <w:rFonts w:ascii="Arial" w:cs="Arial" w:eastAsia="Arial" w:hAnsi="Arial"/>
          <w:color w:val="1A1A1A"/>
          <w:sz w:val="22"/>
          <w:szCs w:val="22"/>
        </w:rPr>
        <w:t xml:space="preserve">Develop a flagship 2-product bundle (e.g., current account + credit card, or savings account + investment product) with clear value articulation.</w:t>
      </w:r>
    </w:p>
    <w:p>
      <w:pPr>
        <w:pStyle w:val="ListParagraph"/>
        <w:numPr>
          <w:ilvl w:val="0"/>
          <w:numId w:val="2"/>
        </w:numPr>
        <w:spacing w:before="40" w:after="40"/>
      </w:pPr>
      <w:r>
        <w:rPr>
          <w:rFonts w:ascii="Arial" w:cs="Arial" w:eastAsia="Arial" w:hAnsi="Arial"/>
          <w:color w:val="1A1A1A"/>
          <w:sz w:val="22"/>
          <w:szCs w:val="22"/>
        </w:rPr>
        <w:t xml:space="preserve">Set a portfolio target: migrate 30% of single-product customers to 2-product configurations within 12 months.</w:t>
      </w:r>
    </w:p>
    <w:p>
      <w:pPr>
        <w:pStyle w:val="Heading2"/>
        <w:spacing w:before="240" w:after="80"/>
      </w:pPr>
      <w:r>
        <w:rPr>
          <w:rFonts w:ascii="Arial" w:cs="Arial" w:eastAsia="Arial" w:hAnsi="Arial"/>
          <w:b/>
          <w:bCs/>
          <w:color w:val="2E75B6"/>
          <w:sz w:val="28"/>
          <w:szCs w:val="28"/>
        </w:rPr>
        <w:t xml:space="preserve">6.4 Premium Customer Re-Engagement</w:t>
      </w:r>
    </w:p>
    <w:p>
      <w:pPr>
        <w:spacing w:before="60" w:after="120"/>
        <w:jc w:val="left"/>
      </w:pPr>
      <w:r>
        <w:rPr>
          <w:rFonts w:ascii="Arial" w:cs="Arial" w:eastAsia="Arial" w:hAnsi="Arial"/>
          <w:color w:val="1A1A1A"/>
          <w:sz w:val="22"/>
          <w:szCs w:val="22"/>
        </w:rPr>
        <w:t xml:space="preserve">The 2,356 at-risk premium customers (inactive + balance &gt; EUR 100,000) require a personalised, high-touch re-engagement programme:</w:t>
      </w:r>
    </w:p>
    <w:p>
      <w:pPr>
        <w:pStyle w:val="ListParagraph"/>
        <w:numPr>
          <w:ilvl w:val="0"/>
          <w:numId w:val="2"/>
        </w:numPr>
        <w:spacing w:before="40" w:after="40"/>
      </w:pPr>
      <w:r>
        <w:rPr>
          <w:rFonts w:ascii="Arial" w:cs="Arial" w:eastAsia="Arial" w:hAnsi="Arial"/>
          <w:color w:val="1A1A1A"/>
          <w:sz w:val="22"/>
          <w:szCs w:val="22"/>
        </w:rPr>
        <w:t xml:space="preserve">Assign dedicated relationship managers to all at-risk premium customers.</w:t>
      </w:r>
    </w:p>
    <w:p>
      <w:pPr>
        <w:pStyle w:val="ListParagraph"/>
        <w:numPr>
          <w:ilvl w:val="0"/>
          <w:numId w:val="2"/>
        </w:numPr>
        <w:spacing w:before="40" w:after="40"/>
      </w:pPr>
      <w:r>
        <w:rPr>
          <w:rFonts w:ascii="Arial" w:cs="Arial" w:eastAsia="Arial" w:hAnsi="Arial"/>
          <w:color w:val="1A1A1A"/>
          <w:sz w:val="22"/>
          <w:szCs w:val="22"/>
        </w:rPr>
        <w:t xml:space="preserve">Introduce a Private Banking Lite tier for customers with EUR 100,000-500,000 AUM, offering enhanced rates, priority service, and quarterly portfolio reviews.</w:t>
      </w:r>
    </w:p>
    <w:p>
      <w:pPr>
        <w:pStyle w:val="ListParagraph"/>
        <w:numPr>
          <w:ilvl w:val="0"/>
          <w:numId w:val="2"/>
        </w:numPr>
        <w:spacing w:before="40" w:after="40"/>
      </w:pPr>
      <w:r>
        <w:rPr>
          <w:rFonts w:ascii="Arial" w:cs="Arial" w:eastAsia="Arial" w:hAnsi="Arial"/>
          <w:color w:val="1A1A1A"/>
          <w:sz w:val="22"/>
          <w:szCs w:val="22"/>
        </w:rPr>
        <w:t xml:space="preserve">Develop a specific re-activation campaign: personalised outreach via preferred channel (phone, branch, digital), offering a meaningful value proposition (preferential savings rate, waived fees for 12 months).</w:t>
      </w:r>
    </w:p>
    <w:p>
      <w:pPr>
        <w:pStyle w:val="ListParagraph"/>
        <w:numPr>
          <w:ilvl w:val="0"/>
          <w:numId w:val="2"/>
        </w:numPr>
        <w:spacing w:before="40" w:after="40"/>
      </w:pPr>
      <w:r>
        <w:rPr>
          <w:rFonts w:ascii="Arial" w:cs="Arial" w:eastAsia="Arial" w:hAnsi="Arial"/>
          <w:color w:val="1A1A1A"/>
          <w:sz w:val="22"/>
          <w:szCs w:val="22"/>
        </w:rPr>
        <w:t xml:space="preserve">Track Re-Activation Rate (RAR) as a KPI: target 25% conversion from inactive to active within 6 months.</w:t>
      </w:r>
    </w:p>
    <w:p>
      <w:pPr>
        <w:pStyle w:val="Heading2"/>
        <w:spacing w:before="240" w:after="80"/>
      </w:pPr>
      <w:r>
        <w:rPr>
          <w:rFonts w:ascii="Arial" w:cs="Arial" w:eastAsia="Arial" w:hAnsi="Arial"/>
          <w:b/>
          <w:bCs/>
          <w:color w:val="2E75B6"/>
          <w:sz w:val="28"/>
          <w:szCs w:val="28"/>
        </w:rPr>
        <w:t xml:space="preserve">6.5 Digital Activation and Engagement Infrastructure</w:t>
      </w:r>
    </w:p>
    <w:p>
      <w:pPr>
        <w:spacing w:before="60" w:after="120"/>
        <w:jc w:val="left"/>
      </w:pPr>
      <w:r>
        <w:rPr>
          <w:rFonts w:ascii="Arial" w:cs="Arial" w:eastAsia="Arial" w:hAnsi="Arial"/>
          <w:color w:val="1A1A1A"/>
          <w:sz w:val="22"/>
          <w:szCs w:val="22"/>
        </w:rPr>
        <w:t xml:space="preserve">The 1.88× engagement lift for active members provides clear economic justification for digital activation investment:</w:t>
      </w:r>
    </w:p>
    <w:p>
      <w:pPr>
        <w:pStyle w:val="ListParagraph"/>
        <w:numPr>
          <w:ilvl w:val="0"/>
          <w:numId w:val="2"/>
        </w:numPr>
        <w:spacing w:before="40" w:after="40"/>
      </w:pPr>
      <w:r>
        <w:rPr>
          <w:rFonts w:ascii="Arial" w:cs="Arial" w:eastAsia="Arial" w:hAnsi="Arial"/>
          <w:color w:val="1A1A1A"/>
          <w:sz w:val="22"/>
          <w:szCs w:val="22"/>
        </w:rPr>
        <w:t xml:space="preserve">Implement a 90-day onboarding activation programme for all new customers, with targeted nudges to achieve first login, first transaction, and first second-product adoption milestones.</w:t>
      </w:r>
    </w:p>
    <w:p>
      <w:pPr>
        <w:pStyle w:val="ListParagraph"/>
        <w:numPr>
          <w:ilvl w:val="0"/>
          <w:numId w:val="2"/>
        </w:numPr>
        <w:spacing w:before="40" w:after="40"/>
      </w:pPr>
      <w:r>
        <w:rPr>
          <w:rFonts w:ascii="Arial" w:cs="Arial" w:eastAsia="Arial" w:hAnsi="Arial"/>
          <w:color w:val="1A1A1A"/>
          <w:sz w:val="22"/>
          <w:szCs w:val="22"/>
        </w:rPr>
        <w:t xml:space="preserve">Deploy an engagement scoring system (based on the RSI framework) integrated into the CRM, with automated alerts for customers whose RSI score declines month-on-month.</w:t>
      </w:r>
    </w:p>
    <w:p>
      <w:pPr>
        <w:pStyle w:val="ListParagraph"/>
        <w:numPr>
          <w:ilvl w:val="0"/>
          <w:numId w:val="2"/>
        </w:numPr>
        <w:spacing w:before="40" w:after="40"/>
      </w:pPr>
      <w:r>
        <w:rPr>
          <w:rFonts w:ascii="Arial" w:cs="Arial" w:eastAsia="Arial" w:hAnsi="Arial"/>
          <w:color w:val="1A1A1A"/>
          <w:sz w:val="22"/>
          <w:szCs w:val="22"/>
        </w:rPr>
        <w:t xml:space="preserve">Establish an Early Warning System that flags customers as churn-risk when two or more of the following conditions are met: RSI score &lt;= 2, age &gt;= 45, balance &gt; EUR 75,000, geography = Germany.</w:t>
      </w:r>
    </w:p>
    <w:p>
      <w:pPr>
        <w:spacing w:before="0" w:after="120"/>
      </w:pPr>
      <w:r>
        <w:t xml:space="preserve"/>
      </w: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7. Limitations and Future Research</w:t>
      </w:r>
    </w:p>
    <w:p>
      <w:pPr>
        <w:pStyle w:val="Heading2"/>
        <w:spacing w:before="240" w:after="80"/>
      </w:pPr>
      <w:r>
        <w:rPr>
          <w:rFonts w:ascii="Arial" w:cs="Arial" w:eastAsia="Arial" w:hAnsi="Arial"/>
          <w:b/>
          <w:bCs/>
          <w:color w:val="2E75B6"/>
          <w:sz w:val="28"/>
          <w:szCs w:val="28"/>
        </w:rPr>
        <w:t xml:space="preserve">7.1 Dataset Limitations</w:t>
      </w:r>
    </w:p>
    <w:p>
      <w:pPr>
        <w:spacing w:before="60" w:after="120"/>
        <w:jc w:val="left"/>
      </w:pPr>
      <w:r>
        <w:rPr>
          <w:rFonts w:ascii="Arial" w:cs="Arial" w:eastAsia="Arial" w:hAnsi="Arial"/>
          <w:color w:val="1A1A1A"/>
          <w:sz w:val="22"/>
          <w:szCs w:val="22"/>
        </w:rPr>
        <w:t xml:space="preserve">This analysis is subject to several methodological limitations that should inform interpretation:</w:t>
      </w:r>
    </w:p>
    <w:p>
      <w:pPr>
        <w:pStyle w:val="ListParagraph"/>
        <w:numPr>
          <w:ilvl w:val="0"/>
          <w:numId w:val="2"/>
        </w:numPr>
        <w:spacing w:before="40" w:after="40"/>
      </w:pPr>
      <w:r>
        <w:rPr>
          <w:rFonts w:ascii="Arial" w:cs="Arial" w:eastAsia="Arial" w:hAnsi="Arial"/>
          <w:color w:val="1A1A1A"/>
          <w:sz w:val="22"/>
          <w:szCs w:val="22"/>
        </w:rPr>
        <w:t xml:space="preserve">Temporal dimension: The dataset lacks time-series granularity. Churn is recorded as a binary outcome without information on when during the observation period it occurred, limiting survival analysis techniques.</w:t>
      </w:r>
    </w:p>
    <w:p>
      <w:pPr>
        <w:pStyle w:val="ListParagraph"/>
        <w:numPr>
          <w:ilvl w:val="0"/>
          <w:numId w:val="2"/>
        </w:numPr>
        <w:spacing w:before="40" w:after="40"/>
      </w:pPr>
      <w:r>
        <w:rPr>
          <w:rFonts w:ascii="Arial" w:cs="Arial" w:eastAsia="Arial" w:hAnsi="Arial"/>
          <w:color w:val="1A1A1A"/>
          <w:sz w:val="22"/>
          <w:szCs w:val="22"/>
        </w:rPr>
        <w:t xml:space="preserve">Behavioural completeness: IsActiveMember is a binary flag without definition of the activity threshold. Granular engagement data (login frequency, transaction volume, channel usage) would substantially enrich the engagement analysis.</w:t>
      </w:r>
    </w:p>
    <w:p>
      <w:pPr>
        <w:pStyle w:val="ListParagraph"/>
        <w:numPr>
          <w:ilvl w:val="0"/>
          <w:numId w:val="2"/>
        </w:numPr>
        <w:spacing w:before="40" w:after="40"/>
      </w:pPr>
      <w:r>
        <w:rPr>
          <w:rFonts w:ascii="Arial" w:cs="Arial" w:eastAsia="Arial" w:hAnsi="Arial"/>
          <w:color w:val="1A1A1A"/>
          <w:sz w:val="22"/>
          <w:szCs w:val="22"/>
        </w:rPr>
        <w:t xml:space="preserve">Product identity: NumOfProducts is an integer count without product-type breakdown. Identifying which product combinations drive retention or churn would enable much more targeted bundling strategies.</w:t>
      </w:r>
    </w:p>
    <w:p>
      <w:pPr>
        <w:pStyle w:val="ListParagraph"/>
        <w:numPr>
          <w:ilvl w:val="0"/>
          <w:numId w:val="2"/>
        </w:numPr>
        <w:spacing w:before="40" w:after="40"/>
      </w:pPr>
      <w:r>
        <w:rPr>
          <w:rFonts w:ascii="Arial" w:cs="Arial" w:eastAsia="Arial" w:hAnsi="Arial"/>
          <w:color w:val="1A1A1A"/>
          <w:sz w:val="22"/>
          <w:szCs w:val="22"/>
        </w:rPr>
        <w:t xml:space="preserve">External context: No macroeconomic, competitive, or regulatory context is available. Germany's elevated churn rate may reflect competitive dynamics (presence of challenger banks, fintech adoption) not captured in the dataset.</w:t>
      </w:r>
    </w:p>
    <w:p>
      <w:pPr>
        <w:pStyle w:val="Heading2"/>
        <w:spacing w:before="240" w:after="80"/>
      </w:pPr>
      <w:r>
        <w:rPr>
          <w:rFonts w:ascii="Arial" w:cs="Arial" w:eastAsia="Arial" w:hAnsi="Arial"/>
          <w:b/>
          <w:bCs/>
          <w:color w:val="2E75B6"/>
          <w:sz w:val="28"/>
          <w:szCs w:val="28"/>
        </w:rPr>
        <w:t xml:space="preserve">7.2 Future Research Directions</w:t>
      </w:r>
    </w:p>
    <w:p>
      <w:pPr>
        <w:pStyle w:val="ListParagraph"/>
        <w:numPr>
          <w:ilvl w:val="0"/>
          <w:numId w:val="2"/>
        </w:numPr>
        <w:spacing w:before="40" w:after="40"/>
      </w:pPr>
      <w:r>
        <w:rPr>
          <w:rFonts w:ascii="Arial" w:cs="Arial" w:eastAsia="Arial" w:hAnsi="Arial"/>
          <w:color w:val="1A1A1A"/>
          <w:sz w:val="22"/>
          <w:szCs w:val="22"/>
        </w:rPr>
        <w:t xml:space="preserve">Predictive modelling: Developing a machine learning churn predictor (logistic regression baseline, gradient boosted ensemble) using the RSI and engagement profile features identified in this EDA.</w:t>
      </w:r>
    </w:p>
    <w:p>
      <w:pPr>
        <w:pStyle w:val="ListParagraph"/>
        <w:numPr>
          <w:ilvl w:val="0"/>
          <w:numId w:val="2"/>
        </w:numPr>
        <w:spacing w:before="40" w:after="40"/>
      </w:pPr>
      <w:r>
        <w:rPr>
          <w:rFonts w:ascii="Arial" w:cs="Arial" w:eastAsia="Arial" w:hAnsi="Arial"/>
          <w:color w:val="1A1A1A"/>
          <w:sz w:val="22"/>
          <w:szCs w:val="22"/>
        </w:rPr>
        <w:t xml:space="preserve">Customer lifetime value integration: Incorporating LTV estimates to weight churn cost by customer profitability, enabling risk-adjusted prioritisation of retention interventions.</w:t>
      </w:r>
    </w:p>
    <w:p>
      <w:pPr>
        <w:pStyle w:val="ListParagraph"/>
        <w:numPr>
          <w:ilvl w:val="0"/>
          <w:numId w:val="2"/>
        </w:numPr>
        <w:spacing w:before="40" w:after="40"/>
      </w:pPr>
      <w:r>
        <w:rPr>
          <w:rFonts w:ascii="Arial" w:cs="Arial" w:eastAsia="Arial" w:hAnsi="Arial"/>
          <w:color w:val="1A1A1A"/>
          <w:sz w:val="22"/>
          <w:szCs w:val="22"/>
        </w:rPr>
        <w:t xml:space="preserve">Longitudinal analysis: Tracking RSI evolution over time to identify the engagement deterioration pathways most predictive of eventual churn.</w:t>
      </w:r>
    </w:p>
    <w:p>
      <w:pPr>
        <w:pStyle w:val="ListParagraph"/>
        <w:numPr>
          <w:ilvl w:val="0"/>
          <w:numId w:val="2"/>
        </w:numPr>
        <w:spacing w:before="40" w:after="40"/>
      </w:pPr>
      <w:r>
        <w:rPr>
          <w:rFonts w:ascii="Arial" w:cs="Arial" w:eastAsia="Arial" w:hAnsi="Arial"/>
          <w:color w:val="1A1A1A"/>
          <w:sz w:val="22"/>
          <w:szCs w:val="22"/>
        </w:rPr>
        <w:t xml:space="preserve">Gender-stratified analysis: Investigating the female churn premium through qualitative and quantitative methods to identify the specific product or service gaps driving the 52% relative rate difference.</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6"/>
          <w:szCs w:val="36"/>
        </w:rPr>
        <w:t xml:space="preserve">8. Conclusion</w:t>
      </w:r>
    </w:p>
    <w:p>
      <w:pPr>
        <w:spacing w:before="60" w:after="120"/>
        <w:jc w:val="both"/>
      </w:pPr>
      <w:r>
        <w:rPr>
          <w:rFonts w:ascii="Arial" w:cs="Arial" w:eastAsia="Arial" w:hAnsi="Arial"/>
          <w:color w:val="1A1A1A"/>
          <w:sz w:val="22"/>
          <w:szCs w:val="22"/>
        </w:rPr>
        <w:t xml:space="preserve">This research paper has demonstrated that customer churn in European retail banking is fundamentally a relationship strength problem, not a demographic or creditworthiness problem. The Relationship Strength Index, constructed from three engagement-behavioural variables, predicts churn with a clean monotonic gradient — from 34.5% at RSI 1 to 9.1% at RSI 4 — providing a robust and actionable segmentation framework.</w:t>
      </w:r>
    </w:p>
    <w:p>
      <w:pPr>
        <w:spacing w:before="60" w:after="120"/>
        <w:jc w:val="both"/>
      </w:pPr>
      <w:r>
        <w:rPr>
          <w:rFonts w:ascii="Arial" w:cs="Arial" w:eastAsia="Arial" w:hAnsi="Arial"/>
          <w:color w:val="1A1A1A"/>
          <w:sz w:val="22"/>
          <w:szCs w:val="22"/>
        </w:rPr>
        <w:t xml:space="preserve">The study's most operationally significant findings are: the catastrophic churn among 3-4 product customers (indicating systematic cross-selling failure); the critical vulnerability of the 50-59 age cohort (56% churn); the premium balance paradox (churned customers hold 25% more than retained); and Germany's structural disengagement (32.44% churn, double peer markets).</w:t>
      </w:r>
    </w:p>
    <w:p>
      <w:pPr>
        <w:spacing w:before="60" w:after="120"/>
        <w:jc w:val="both"/>
      </w:pPr>
      <w:r>
        <w:rPr>
          <w:rFonts w:ascii="Arial" w:cs="Arial" w:eastAsia="Arial" w:hAnsi="Arial"/>
          <w:color w:val="1A1A1A"/>
          <w:sz w:val="22"/>
          <w:szCs w:val="22"/>
        </w:rPr>
        <w:t xml:space="preserve">Together, these findings support a retention strategy reorientation from passive demographic monitoring to active engagement management — deploying the RSI as an early warning signal, restructuring cross-selling incentives around the 2-product optimal, and implementing dedicated re-engagement programmes for inactive premium customers.</w:t>
      </w:r>
    </w:p>
    <w:p>
      <w:pPr>
        <w:pBdr>
          <w:left w:val="single" w:color="2E75B6" w:sz="12"/>
        </w:pBdr>
        <w:shd w:fill="D6E4F0" w:val="clear"/>
        <w:spacing w:before="120" w:after="0"/>
        <w:ind w:left="180" w:right="180"/>
      </w:pPr>
      <w:r>
        <w:rPr>
          <w:rFonts w:ascii="Arial" w:cs="Arial" w:eastAsia="Arial" w:hAnsi="Arial"/>
          <w:b/>
          <w:bCs/>
          <w:color w:val="1F4E79"/>
          <w:sz w:val="22"/>
          <w:szCs w:val="22"/>
        </w:rPr>
        <w:t xml:space="preserve">Bottom line:</w:t>
      </w:r>
    </w:p>
    <w:p>
      <w:pPr>
        <w:pBdr>
          <w:left w:val="single" w:color="2E75B6" w:sz="12"/>
        </w:pBdr>
        <w:shd w:fill="D6E4F0" w:val="clear"/>
        <w:spacing w:before="0" w:after="120"/>
        <w:ind w:left="180" w:right="180"/>
      </w:pPr>
      <w:r>
        <w:rPr>
          <w:rFonts w:ascii="Arial" w:cs="Arial" w:eastAsia="Arial" w:hAnsi="Arial"/>
          <w:color w:val="1A1A1A"/>
          <w:sz w:val="22"/>
          <w:szCs w:val="22"/>
        </w:rPr>
        <w:t xml:space="preserve">If this institution could move all RSI-1 and RSI-2 customers to RSI-3 status, the portfolio churn rate would fall from 20.37% to approximately 13-15% — potentially retaining an additional 500-700 customers per cycle and protecting hundreds of millions in deposits from competitive capture.</w:t>
      </w:r>
    </w:p>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6"/>
          <w:szCs w:val="36"/>
        </w:rPr>
        <w:t xml:space="preserve">References</w:t>
      </w:r>
    </w:p>
    <w:p>
      <w:pPr>
        <w:spacing w:before="60" w:after="120"/>
        <w:jc w:val="both"/>
      </w:pPr>
      <w:r>
        <w:rPr>
          <w:rFonts w:ascii="Arial" w:cs="Arial" w:eastAsia="Arial" w:hAnsi="Arial"/>
          <w:color w:val="1A1A1A"/>
          <w:sz w:val="22"/>
          <w:szCs w:val="22"/>
        </w:rPr>
        <w:t xml:space="preserve">Reichheld, F.F. &amp; Sasser, W.E. (1990). Zero defections: Quality comes to services. Harvard Business Review, 68(5), 105-111.</w:t>
      </w:r>
    </w:p>
    <w:p>
      <w:pPr>
        <w:spacing w:before="60" w:after="120"/>
        <w:jc w:val="both"/>
      </w:pPr>
      <w:r>
        <w:rPr>
          <w:rFonts w:ascii="Arial" w:cs="Arial" w:eastAsia="Arial" w:hAnsi="Arial"/>
          <w:color w:val="1A1A1A"/>
          <w:sz w:val="22"/>
          <w:szCs w:val="22"/>
        </w:rPr>
        <w:t xml:space="preserve">Kumar, V. &amp; Reinartz, W. (2016). Creating enduring customer value. Journal of Marketing, 80(6), 36-68.</w:t>
      </w:r>
    </w:p>
    <w:p>
      <w:pPr>
        <w:spacing w:before="60" w:after="120"/>
        <w:jc w:val="both"/>
      </w:pPr>
      <w:r>
        <w:rPr>
          <w:rFonts w:ascii="Arial" w:cs="Arial" w:eastAsia="Arial" w:hAnsi="Arial"/>
          <w:color w:val="1A1A1A"/>
          <w:sz w:val="22"/>
          <w:szCs w:val="22"/>
        </w:rPr>
        <w:t xml:space="preserve">Verbeke, W., Dejaeger, K., Martens, D., Hur, J., &amp; Baesens, B. (2012). New insights into churn prediction in the telecommunication sector. European Journal of Operational Research, 218(1), 211-229.</w:t>
      </w:r>
    </w:p>
    <w:p>
      <w:pPr>
        <w:spacing w:before="60" w:after="120"/>
        <w:jc w:val="both"/>
      </w:pPr>
      <w:r>
        <w:rPr>
          <w:rFonts w:ascii="Arial" w:cs="Arial" w:eastAsia="Arial" w:hAnsi="Arial"/>
          <w:color w:val="1A1A1A"/>
          <w:sz w:val="22"/>
          <w:szCs w:val="22"/>
        </w:rPr>
        <w:t xml:space="preserve">European Banking Authority (2023). Consumer protection and financial innovation report. EBA Publications.</w:t>
      </w:r>
    </w:p>
    <w:p>
      <w:pPr>
        <w:spacing w:before="60" w:after="120"/>
        <w:jc w:val="both"/>
      </w:pPr>
      <w:r>
        <w:rPr>
          <w:rFonts w:ascii="Arial" w:cs="Arial" w:eastAsia="Arial" w:hAnsi="Arial"/>
          <w:color w:val="1A1A1A"/>
          <w:sz w:val="22"/>
          <w:szCs w:val="22"/>
        </w:rPr>
        <w:t xml:space="preserve">Neslin, S.A., et al. (2006). Defection detection: Measuring and understanding the predictive accuracy of customer churn models. Journal of Marketing Research, 43(2), 204-211.</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Confidential — For Academic &amp; Policy Use Only</w:t>
    </w:r>
    <w:r>
      <w:rPr>
        <w:sz w:val="18"/>
        <w:szCs w:val="18"/>
      </w:rPr>
      <w:t xml:space="preserve">	</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European Bank Customer Churn Analysis  |  Research Paper</w:t>
    </w:r>
    <w:r>
      <w:rPr>
        <w:rFonts w:ascii="Arial" w:cs="Arial" w:eastAsia="Arial" w:hAnsi="Arial"/>
        <w:color w:val="888888"/>
        <w:sz w:val="18"/>
        <w:szCs w:val="18"/>
      </w:rPr>
      <w:t xml:space="preserve">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2026-03-16T12:24:14.627Z</dcterms:created>
  <dcterms:modified xsi:type="dcterms:W3CDTF">2026-03-16T12:24:14.628Z</dcterms:modified>
</cp:coreProperties>
</file>

<file path=docProps/custom.xml><?xml version="1.0" encoding="utf-8"?>
<Properties xmlns="http://schemas.openxmlformats.org/officeDocument/2006/custom-properties" xmlns:vt="http://schemas.openxmlformats.org/officeDocument/2006/docPropsVTypes"/>
</file>