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Replay Harness Test Results</w:t>
      </w:r>
    </w:p>
    <w:p>
      <w:pPr>
        <w:spacing w:after="100"/>
      </w:pPr>
      <w:r>
        <w:t xml:space="preserve">Test Date: August 7, 2026</w:t>
      </w:r>
    </w:p>
    <w:p>
      <w:pPr>
        <w:pStyle w:val="Heading2"/>
        <w:spacing w:after="200"/>
      </w:pPr>
      <w:r>
        <w:t xml:space="preserve">Strategy Backtesting Report</w:t>
      </w:r>
    </w:p>
    <w:p>
      <w:pPr>
        <w:pStyle w:val="Heading3"/>
        <w:spacing w:after="100" w:before="200"/>
      </w:pPr>
      <w:r>
        <w:t xml:space="preserve">Executive Summary</w:t>
      </w:r>
    </w:p>
    <w:p>
      <w:pPr>
        <w:spacing w:after="200"/>
      </w:pPr>
      <w:r>
        <w:t xml:space="preserve">This document contains the comprehensive results from a replay harness test of the GSPS trading strategy. The replay harness executes the strategy against historical bar data to measure win rate, expectancy, and other key performance metrics.</w:t>
      </w:r>
    </w:p>
    <w:p>
      <w:pPr>
        <w:pStyle w:val="Heading3"/>
        <w:spacing w:after="100" w:before="200"/>
      </w:pPr>
      <w:r>
        <w:t xml:space="preserve">Key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D9E1F2" w:val="clear"/>
            <w:vAlign w:val="center"/>
          </w:tcPr>
          <w:p>
            <w:r>
              <w:t xml:space="preserve">Metric</w:t>
            </w:r>
          </w:p>
        </w:tc>
        <w:tc>
          <w:tcPr>
            <w:tcW w:type="pct" w:w="50%"/>
            <w:shd w:fill="D9E1F2" w:val="clear"/>
            <w:vAlign w:val="center"/>
          </w:tcPr>
          <w:p>
            <w: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t xml:space="preserve">Win Rate</w:t>
            </w:r>
          </w:p>
        </w:tc>
        <w:tc>
          <w:tcPr>
            <w:tcW w:type="pct" w:w="50%"/>
          </w:tcPr>
          <w:p>
            <w:r>
              <w:t xml:space="preserve">29%</w:t>
            </w:r>
          </w:p>
        </w:tc>
      </w:tr>
      <w:tr>
        <w:tc>
          <w:tcPr>
            <w:tcW w:type="pct" w:w="50%"/>
          </w:tcPr>
          <w:p>
            <w:r>
              <w:t xml:space="preserve">Total Trades</w:t>
            </w:r>
          </w:p>
        </w:tc>
        <w:tc>
          <w:tcPr>
            <w:tcW w:type="pct" w:w="50%"/>
          </w:tcPr>
          <w:p>
            <w:r>
              <w:t xml:space="preserve">[Enter total trades]</w:t>
            </w:r>
          </w:p>
        </w:tc>
      </w:tr>
      <w:tr>
        <w:tc>
          <w:tcPr>
            <w:tcW w:type="pct" w:w="50%"/>
          </w:tcPr>
          <w:p>
            <w:r>
              <w:t xml:space="preserve">Wins</w:t>
            </w:r>
          </w:p>
        </w:tc>
        <w:tc>
          <w:tcPr>
            <w:tcW w:type="pct" w:w="50%"/>
          </w:tcPr>
          <w:p>
            <w:r>
              <w:t xml:space="preserve">[Enter wins]</w:t>
            </w:r>
          </w:p>
        </w:tc>
      </w:tr>
      <w:tr>
        <w:tc>
          <w:tcPr>
            <w:tcW w:type="pct" w:w="50%"/>
          </w:tcPr>
          <w:p>
            <w:r>
              <w:t xml:space="preserve">Losses</w:t>
            </w:r>
          </w:p>
        </w:tc>
        <w:tc>
          <w:tcPr>
            <w:tcW w:type="pct" w:w="50%"/>
          </w:tcPr>
          <w:p>
            <w:r>
              <w:t xml:space="preserve">[Enter losses]</w:t>
            </w:r>
          </w:p>
        </w:tc>
      </w:tr>
      <w:tr>
        <w:tc>
          <w:tcPr>
            <w:tcW w:type="pct" w:w="50%"/>
          </w:tcPr>
          <w:p>
            <w:r>
              <w:t xml:space="preserve">Timeouts</w:t>
            </w:r>
          </w:p>
        </w:tc>
        <w:tc>
          <w:tcPr>
            <w:tcW w:type="pct" w:w="50%"/>
          </w:tcPr>
          <w:p>
            <w:r>
              <w:t xml:space="preserve">[Enter timeouts]</w:t>
            </w:r>
          </w:p>
        </w:tc>
      </w:tr>
      <w:tr>
        <w:tc>
          <w:tcPr>
            <w:tcW w:type="pct" w:w="50%"/>
          </w:tcPr>
          <w:p>
            <w:r>
              <w:t xml:space="preserve">Expectancy (R)</w:t>
            </w:r>
          </w:p>
        </w:tc>
        <w:tc>
          <w:tcPr>
            <w:tcW w:type="pct" w:w="50%"/>
          </w:tcPr>
          <w:p>
            <w:r>
              <w:t xml:space="preserve">[Enter expectancy]</w:t>
            </w:r>
          </w:p>
        </w:tc>
      </w:tr>
      <w:tr>
        <w:tc>
          <w:tcPr>
            <w:tcW w:type="pct" w:w="50%"/>
          </w:tcPr>
          <w:p>
            <w:r>
              <w:t xml:space="preserve">Total R</w:t>
            </w:r>
          </w:p>
        </w:tc>
        <w:tc>
          <w:tcPr>
            <w:tcW w:type="pct" w:w="50%"/>
          </w:tcPr>
          <w:p>
            <w:r>
              <w:t xml:space="preserve">[Enter total R]</w:t>
            </w:r>
          </w:p>
        </w:tc>
      </w:tr>
      <w:tr>
        <w:tc>
          <w:tcPr>
            <w:tcW w:type="pct" w:w="50%"/>
          </w:tcPr>
          <w:p>
            <w:r>
              <w:t xml:space="preserve">Armed Setups</w:t>
            </w:r>
          </w:p>
        </w:tc>
        <w:tc>
          <w:tcPr>
            <w:tcW w:type="pct" w:w="50%"/>
          </w:tcPr>
          <w:p>
            <w:r>
              <w:t xml:space="preserve">[Enter armed count]</w:t>
            </w:r>
          </w:p>
        </w:tc>
      </w:tr>
      <w:tr>
        <w:tc>
          <w:tcPr>
            <w:tcW w:type="pct" w:w="50%"/>
          </w:tcPr>
          <w:p>
            <w:r>
              <w:t xml:space="preserve">Triggered Trades</w:t>
            </w:r>
          </w:p>
        </w:tc>
        <w:tc>
          <w:tcPr>
            <w:tcW w:type="pct" w:w="50%"/>
          </w:tcPr>
          <w:p>
            <w:r>
              <w:t xml:space="preserve">[Enter triggered count]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Trade Breakdown by Output State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D9E1F2" w:val="clear"/>
            <w:vAlign w:val="center"/>
          </w:tcPr>
          <w:p>
            <w:r>
              <w:t xml:space="preserve">Output State</w:t>
            </w:r>
          </w:p>
        </w:tc>
        <w:tc>
          <w:tcPr>
            <w:tcW w:type="pct" w:w="20%"/>
            <w:shd w:fill="D9E1F2" w:val="clear"/>
            <w:vAlign w:val="center"/>
          </w:tcPr>
          <w:p>
            <w:r>
              <w:t xml:space="preserve">Trades</w:t>
            </w:r>
          </w:p>
        </w:tc>
        <w:tc>
          <w:tcPr>
            <w:tcW w:type="pct" w:w="20%"/>
            <w:shd w:fill="D9E1F2" w:val="clear"/>
            <w:vAlign w:val="center"/>
          </w:tcPr>
          <w:p>
            <w:r>
              <w:t xml:space="preserve">Win Rate</w:t>
            </w:r>
          </w:p>
        </w:tc>
        <w:tc>
          <w:tcPr>
            <w:tcW w:type="pct" w:w="20%"/>
            <w:shd w:fill="D9E1F2" w:val="clear"/>
            <w:vAlign w:val="center"/>
          </w:tcPr>
          <w:p>
            <w:r>
              <w:t xml:space="preserve">Expectancy</w:t>
            </w:r>
          </w:p>
        </w:tc>
        <w:tc>
          <w:tcPr>
            <w:tcW w:type="pct" w:w="20%"/>
            <w:shd w:fill="D9E1F2" w:val="clear"/>
            <w:vAlign w:val="center"/>
          </w:tcPr>
          <w:p>
            <w:r>
              <w:t xml:space="preserve">Total R</w:t>
            </w:r>
          </w:p>
        </w:tc>
      </w:tr>
      <w:tr>
        <w:tc>
          <w:tcPr>
            <w:tcW w:type="pct" w:w="20%"/>
          </w:tcPr>
          <w:p>
            <w:r>
              <w:t xml:space="preserve">Execute</w:t>
            </w:r>
          </w:p>
        </w:tc>
        <w:tc>
          <w:tcPr>
            <w:tcW w:type="pct" w:w="20%"/>
          </w:tcPr>
          <w:p>
            <w:r>
              <w:t xml:space="preserve">[Enter]</w:t>
            </w:r>
          </w:p>
        </w:tc>
        <w:tc>
          <w:tcPr>
            <w:tcW w:type="pct" w:w="20%"/>
          </w:tcPr>
          <w:p>
            <w:r>
              <w:t xml:space="preserve">[Enter]</w:t>
            </w:r>
          </w:p>
        </w:tc>
        <w:tc>
          <w:tcPr>
            <w:tcW w:type="pct" w:w="20%"/>
          </w:tcPr>
          <w:p>
            <w:r>
              <w:t xml:space="preserve">[Enter]</w:t>
            </w:r>
          </w:p>
        </w:tc>
        <w:tc>
          <w:tcPr>
            <w:tcW w:type="pct" w:w="20%"/>
          </w:tcPr>
          <w:p>
            <w:r>
              <w:t xml:space="preserve">[Enter]</w:t>
            </w:r>
          </w:p>
        </w:tc>
      </w:tr>
      <w:tr>
        <w:tc>
          <w:tcPr>
            <w:tcW w:type="pct" w:w="20%"/>
          </w:tcPr>
          <w:p>
            <w:r>
              <w:t xml:space="preserve">Watch</w:t>
            </w:r>
          </w:p>
        </w:tc>
        <w:tc>
          <w:tcPr>
            <w:tcW w:type="pct" w:w="20%"/>
          </w:tcPr>
          <w:p>
            <w:r>
              <w:t xml:space="preserve">[Enter]</w:t>
            </w:r>
          </w:p>
        </w:tc>
        <w:tc>
          <w:tcPr>
            <w:tcW w:type="pct" w:w="20%"/>
          </w:tcPr>
          <w:p>
            <w:r>
              <w:t xml:space="preserve">[Enter]</w:t>
            </w:r>
          </w:p>
        </w:tc>
        <w:tc>
          <w:tcPr>
            <w:tcW w:type="pct" w:w="20%"/>
          </w:tcPr>
          <w:p>
            <w:r>
              <w:t xml:space="preserve">[Enter]</w:t>
            </w:r>
          </w:p>
        </w:tc>
        <w:tc>
          <w:tcPr>
            <w:tcW w:type="pct" w:w="20%"/>
          </w:tcPr>
          <w:p>
            <w:r>
              <w:t xml:space="preserve">[Enter]</w:t>
            </w:r>
          </w:p>
        </w:tc>
      </w:tr>
      <w:tr>
        <w:tc>
          <w:tcPr>
            <w:tcW w:type="pct" w:w="20%"/>
          </w:tcPr>
          <w:p>
            <w:r>
              <w:t xml:space="preserve">Reject</w:t>
            </w:r>
          </w:p>
        </w:tc>
        <w:tc>
          <w:tcPr>
            <w:tcW w:type="pct" w:w="20%"/>
          </w:tcPr>
          <w:p>
            <w:r>
              <w:t xml:space="preserve">[Enter]</w:t>
            </w:r>
          </w:p>
        </w:tc>
        <w:tc>
          <w:tcPr>
            <w:tcW w:type="pct" w:w="20%"/>
          </w:tcPr>
          <w:p>
            <w:r>
              <w:t xml:space="preserve">[Enter]</w:t>
            </w:r>
          </w:p>
        </w:tc>
        <w:tc>
          <w:tcPr>
            <w:tcW w:type="pct" w:w="20%"/>
          </w:tcPr>
          <w:p>
            <w:r>
              <w:t xml:space="preserve">[Enter]</w:t>
            </w:r>
          </w:p>
        </w:tc>
        <w:tc>
          <w:tcPr>
            <w:tcW w:type="pct" w:w="20%"/>
          </w:tcPr>
          <w:p>
            <w:r>
              <w:t xml:space="preserve">[Enter]</w:t>
            </w:r>
          </w:p>
        </w:tc>
      </w:tr>
      <w:tr>
        <w:tc>
          <w:tcPr>
            <w:tcW w:type="pct" w:w="20%"/>
          </w:tcPr>
          <w:p>
            <w:r>
              <w:t xml:space="preserve">Unscored</w:t>
            </w:r>
          </w:p>
        </w:tc>
        <w:tc>
          <w:tcPr>
            <w:tcW w:type="pct" w:w="20%"/>
          </w:tcPr>
          <w:p>
            <w:r>
              <w:t xml:space="preserve">[Enter]</w:t>
            </w:r>
          </w:p>
        </w:tc>
        <w:tc>
          <w:tcPr>
            <w:tcW w:type="pct" w:w="20%"/>
          </w:tcPr>
          <w:p>
            <w:r>
              <w:t xml:space="preserve">[Enter]</w:t>
            </w:r>
          </w:p>
        </w:tc>
        <w:tc>
          <w:tcPr>
            <w:tcW w:type="pct" w:w="20%"/>
          </w:tcPr>
          <w:p>
            <w:r>
              <w:t xml:space="preserve">[Enter]</w:t>
            </w:r>
          </w:p>
        </w:tc>
        <w:tc>
          <w:tcPr>
            <w:tcW w:type="pct" w:w="20%"/>
          </w:tcPr>
          <w:p>
            <w:r>
              <w:t xml:space="preserve">[Enter]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Analysis &amp; Interpretation</w:t>
      </w:r>
    </w:p>
    <w:p>
      <w:pPr>
        <w:pStyle w:val="Heading4"/>
        <w:spacing w:after="50"/>
      </w:pPr>
      <w:r>
        <w:t xml:space="preserve">Win Rate Context:</w:t>
      </w:r>
    </w:p>
    <w:p>
      <w:pPr>
        <w:spacing w:after="100"/>
      </w:pPr>
      <w:r>
        <w:t xml:space="preserve">A 29% win rate indicates that the strategy wins approximately 29% of executed trades. This metric should be evaluated in the context of:</w:t>
      </w:r>
    </w:p>
    <w:p>
      <w:pPr>
        <w:spacing w:after="50"/>
      </w:pPr>
      <w:r>
        <w:t xml:space="preserve">• Risk-Reward Ratio: A positive expectancy can be achieved with win rates below 50% if the average win size exceeds the average loss size</w:t>
      </w:r>
    </w:p>
    <w:p>
      <w:pPr>
        <w:spacing w:after="50"/>
      </w:pPr>
      <w:r>
        <w:t xml:space="preserve">• Trade Timeframe: Shorter timeframes may have lower win rates than longer timeframes</w:t>
      </w:r>
    </w:p>
    <w:p>
      <w:pPr>
        <w:spacing w:after="100"/>
      </w:pPr>
      <w:r>
        <w:t xml:space="preserve">• Market Regime: The win rate may vary depending on trending vs. ranging market conditions</w:t>
      </w:r>
    </w:p>
    <w:p>
      <w:pPr>
        <w:pStyle w:val="Heading4"/>
        <w:spacing w:after="50"/>
      </w:pPr>
      <w:r>
        <w:t xml:space="preserve">Expectancy Analysis:</w:t>
      </w:r>
    </w:p>
    <w:p>
      <w:pPr>
        <w:spacing w:after="100"/>
      </w:pPr>
      <w:r>
        <w:t xml:space="preserve">Positive expectancy indicates the strategy is profitable over time. The expectancy value (in R) shows the average return per trade after accounting for costs and slippage.</w:t>
      </w:r>
    </w:p>
    <w:p>
      <w:pPr>
        <w:pStyle w:val="Heading3"/>
        <w:spacing w:after="100" w:before="200"/>
      </w:pPr>
      <w:r>
        <w:t xml:space="preserve">Comparison Against Future Tests</w:t>
      </w:r>
    </w:p>
    <w:p>
      <w:pPr>
        <w:spacing w:after="100"/>
      </w:pPr>
      <w:r>
        <w:t xml:space="preserve">This baseline (29% win rate) can be used to evaluate performance improvements in future backtests. Track:</w:t>
      </w:r>
    </w:p>
    <w:p>
      <w:pPr>
        <w:spacing w:after="50"/>
      </w:pPr>
      <w:r>
        <w:t xml:space="preserve">• Win rate changes indicate improvements in setup quality or pattern detection</w:t>
      </w:r>
    </w:p>
    <w:p>
      <w:pPr>
        <w:spacing w:after="50"/>
      </w:pPr>
      <w:r>
        <w:t xml:space="preserve">• Expectancy changes reflect the combined impact of win rate and risk-reward optimization</w:t>
      </w:r>
    </w:p>
    <w:p>
      <w:pPr>
        <w:spacing w:after="50"/>
      </w:pPr>
      <w:r>
        <w:t xml:space="preserve">• Armed vs. triggered ratio indicates how selective the pattern detection algorithm is becoming</w:t>
      </w:r>
    </w:p>
    <w:p>
      <w:pPr>
        <w:spacing w:after="200"/>
      </w:pPr>
      <w:r>
        <w:t xml:space="preserve">• Output state breakdown (Execute/Watch/Reject) helps identify which scoring levels are most predictive</w:t>
      </w:r>
    </w:p>
    <w:p>
      <w:pPr>
        <w:pStyle w:val="Heading3"/>
        <w:spacing w:after="100" w:before="200"/>
      </w:pPr>
      <w:r>
        <w:t xml:space="preserve">Test Notes &amp; Parameters</w:t>
      </w:r>
    </w:p>
    <w:p>
      <w:pPr>
        <w:spacing w:after="100"/>
      </w:pPr>
      <w:r>
        <w:t xml:space="preserve">[Add test parameters such as: date range tested, symbols tested, timeframe, target R multiple, friction/cost assumptions, warmup period, max bars held, etc.]</w:t>
      </w:r>
    </w:p>
    <w:p>
      <w:pPr>
        <w:pStyle w:val="Heading4"/>
        <w:spacing w:after="50"/>
      </w:pPr>
      <w:r>
        <w:t xml:space="preserve">Additional Notes:</w:t>
      </w:r>
    </w:p>
    <w:p>
      <w:pPr>
        <w:spacing w:after="300"/>
      </w:pPr>
      <w:r>
        <w:t xml:space="preserve">[Add any qualitative observations about the test run, market conditions, or patterns observed]</w:t>
      </w:r>
    </w:p>
    <w:p>
      <w:pPr>
        <w:spacing w:after="100" w:before="200"/>
      </w:pPr>
      <w: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50"/>
        <w:jc w:val="center"/>
      </w:pPr>
      <w:r>
        <w:t xml:space="preserve">Report generated from GSPS Replay Harness | Strategy Backtesting System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2026-08-07T23:49:35.485Z</dcterms:created>
  <dcterms:modified xsi:type="dcterms:W3CDTF">2026-08-07T23:49:35.485Z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