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진행 방향 토의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2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진행 방향 토의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1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진행 방향 토의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진행 방향 토의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프로젝트 기획 토의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8"/>
              </w:numPr>
              <w:spacing w:line="21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프로젝트 분석 기법 관련 토의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8"/>
              </w:numPr>
              <w:spacing w:line="21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프로젝트 분석 표본 설정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산업군 선택 관련 토의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프로젝트 전반적 방향 설정 토의: 기존 연구하였던 논문에서 사용된 분석기법에 대한 비교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프로젝트 기획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TS-2000 활용방안 토의</w:t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윤영주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18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18일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18일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18일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VkONP1xh8GmtIMS8c0P/Wl++/w==">AMUW2mV0Q3BOLbEB1kENrsQxOPwIDhD8Lg/l+DOvbJUA5RDu8USfdhpXRt4R+yKdgmJpF402YvzQG3d8K3VLJRrmdpGFob5CKLdA5v2ndUn46l286o37IzZvEPKo+5xu114OTy2DaieE19zKwNugPyIxIHvSDgVQlFrLM7x2tZ4I/KOqQZ0B94H6ET+UxEoljnCvdw1kA6af/wAJbM0S48R5+6S/GG/2i0bTQaWOGasf5s/2x6OzrRZpRPTTEmuq1jpIYoE6e7osl7gjYf4AFwYstBas4o0MB+TyJaY5u7G6W/wyiavimV1m5j6teG1m2j3lY8Lk256SIYeOohNc9mCb6PUddciVFe05uSwzvD3luUmIxUn1ho1d5ald08mlcCAc904lVCcH1IkID515HkXUoG+bS8x3YFMXS7wBt2XFOK9/z/typkSXZL3+YVUwxGxMSU7dA0fB1Mbq5WsAU5d5XNU+hPgjvbQQB4MHxjiNQmjDf645ARw4AQNQzcfSz5SmKzgG0gpG41wZEQLHKqz/Z9KWGE9OHPsxfSB108sj5mowL/kcCA0zg+plE1HWDtMxIOgTwj1DmDVOWcA86X6uTJPuLdCogCxbRx6FnGCFH7jQvJUp3oOVizq0p/kEhBtLzdEjFlXmXkFvQvbaX2qI+pAAigwM1ZaNNlx1t4TPEH+EihvLaA2Qz7Hrlugo6vQSE8IoV9bKanN8M5rZHCUqWJYuJ/GE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