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360" w:before="0" w:after="0"/>
      </w:pPr>
      <w:r>
        <w:rPr>
          <w:rFonts w:ascii="Times New Roman" w:hAnsi="Times New Roman" w:cs="Times New Roman" w:eastAsia="標楷體"/>
          <w:b/>
          <w:i w:val="0"/>
          <w:sz w:val="28"/>
        </w:rPr>
        <w:t>【附件1-2】</w:t>
      </w:r>
    </w:p>
    <w:p>
      <w:pPr>
        <w:spacing w:lineRule="exact" w:line="360" w:before="120" w:after="120"/>
        <w:jc w:val="center"/>
      </w:pPr>
      <w:r>
        <w:rPr>
          <w:rFonts w:ascii="Times New Roman" w:hAnsi="Times New Roman" w:cs="Times New Roman" w:eastAsia="標楷體"/>
          <w:b/>
          <w:i w:val="0"/>
          <w:sz w:val="32"/>
        </w:rPr>
        <w:t>提案資料表（研究實作組）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0" w:type="dxa"/>
          <w:right w:w="100" w:type="dxa"/>
          <w:top w:w="40" w:type="dxa"/>
          <w:bottom w:w="40" w:type="dxa"/>
        </w:tblCellMar>
      </w:tblPr>
      <w:tblGrid>
        <w:gridCol w:w="1701"/>
        <w:gridCol w:w="7938"/>
      </w:tblGrid>
      <w:tr>
        <w:trPr>
          <w:cantSplit/>
        </w:trPr>
        <w:tc>
          <w:tcPr>
            <w:tcW w:type="dxa" w:w="1701"/>
            <w:vAlign w:val="center"/>
            <w:shd w:val="clear" w:color="auto" w:fill="F2F2F2"/>
          </w:tcPr>
          <w:p>
            <w:pPr>
              <w:spacing w:lineRule="exact" w:line="360" w:before="0" w:after="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報名編號</w:t>
            </w:r>
          </w:p>
        </w:tc>
        <w:tc>
          <w:tcPr>
            <w:tcW w:type="dxa" w:w="7938"/>
          </w:tcPr>
          <w:p>
            <w:pPr>
              <w:spacing w:lineRule="exact" w:line="360" w:before="0" w:after="0"/>
              <w:jc w:val="left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（本欄位由主辦單位填寫）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val="clear" w:color="auto" w:fill="F2F2F2"/>
          </w:tcPr>
          <w:p>
            <w:pPr>
              <w:spacing w:lineRule="exact" w:line="360" w:before="0" w:after="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團隊名稱</w:t>
            </w:r>
          </w:p>
        </w:tc>
        <w:tc>
          <w:tcPr>
            <w:tcW w:type="dxa" w:w="7938"/>
          </w:tcPr>
          <w:p>
            <w:pPr>
              <w:spacing w:lineRule="exact" w:line="360" w:before="0" w:after="0"/>
              <w:jc w:val="left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＿＿＿＿＿＿＿＿＿＿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val="clear" w:color="auto" w:fill="F2F2F2"/>
          </w:tcPr>
          <w:p>
            <w:pPr>
              <w:spacing w:lineRule="exact" w:line="360" w:before="0" w:after="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指導教師</w:t>
            </w:r>
          </w:p>
        </w:tc>
        <w:tc>
          <w:tcPr>
            <w:tcW w:type="dxa" w:w="7938"/>
          </w:tcPr>
          <w:p>
            <w:pPr>
              <w:spacing w:lineRule="exact" w:line="360" w:before="0" w:after="0"/>
              <w:jc w:val="left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姓名：＿＿＿＿＿；學校/系所(單位)：＿＿＿＿＿＿＿＿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val="clear" w:color="auto" w:fill="F2F2F2"/>
          </w:tcPr>
          <w:p>
            <w:pPr>
              <w:spacing w:lineRule="exact" w:line="360" w:before="0" w:after="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團隊代表人</w:t>
            </w:r>
          </w:p>
        </w:tc>
        <w:tc>
          <w:tcPr>
            <w:tcW w:type="dxa" w:w="7938"/>
          </w:tcPr>
          <w:p>
            <w:pPr>
              <w:spacing w:lineRule="exact" w:line="360" w:before="0" w:after="0"/>
              <w:jc w:val="left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姓名：＿＿＿＿＿；學校/系級：＿＿＿＿＿＿＿＿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val="clear" w:color="auto" w:fill="F2F2F2"/>
          </w:tcPr>
          <w:p>
            <w:pPr>
              <w:spacing w:lineRule="exact" w:line="360" w:before="0" w:after="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提案題目</w:t>
            </w:r>
          </w:p>
        </w:tc>
        <w:tc>
          <w:tcPr>
            <w:tcW w:type="dxa" w:w="7938"/>
          </w:tcPr>
          <w:p>
            <w:pPr>
              <w:spacing w:lineRule="exact" w:line="360" w:before="0" w:after="0"/>
              <w:jc w:val="left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把司機用在刀口上：綠線公車駕駛人力再配置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val="clear" w:color="auto" w:fill="F2F2F2"/>
          </w:tcPr>
          <w:p>
            <w:pPr>
              <w:spacing w:lineRule="exact" w:line="360" w:before="0" w:after="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主題領域</w:t>
            </w:r>
            <w:r>
              <w:br/>
            </w: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(可複選)</w:t>
            </w:r>
          </w:p>
        </w:tc>
        <w:tc>
          <w:tcPr>
            <w:tcW w:type="dxa" w:w="7938"/>
          </w:tcPr>
          <w:p>
            <w:pPr>
              <w:spacing w:lineRule="exact" w:line="360" w:before="0"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□公共行政 □資訊科技 ■交通運輸 □都市規劃 □觀光行銷</w:t>
            </w:r>
          </w:p>
          <w:p>
            <w:pPr>
              <w:spacing w:lineRule="exact" w:line="360" w:before="0"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□環境永續 □多元族群 □產業發展 □教育文化 ■社福醫療</w:t>
            </w:r>
          </w:p>
          <w:p>
            <w:pPr>
              <w:spacing w:lineRule="exact" w:line="360" w:before="0"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□其他＿＿＿＿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pPr>
              <w:spacing w:lineRule="exact" w:line="360" w:before="0" w:after="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提案摘要</w:t>
            </w:r>
          </w:p>
        </w:tc>
        <w:tc>
          <w:tcPr>
            <w:tcW w:type="dxa" w:w="7938"/>
          </w:tcPr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捷運綠線北段G11至G15b預計115年底通車，沿線公車面臨平行競爭或轉型接駁之調整，而駕駛人力不足為市府指出之瓶頸。本研究以TDX開放資料建立路線重疊、接駁可及性與駕駛人力換算指標，估算裁切平行路段後可再配置之駕駛班次，並以可一車直達車站之長者人口檢視公平性，建立可供分階段通車重複使用之決策工具。</w:t>
            </w:r>
          </w:p>
        </w:tc>
      </w:tr>
      <w:tr>
        <w:trPr>
          <w:cantSplit/>
        </w:trPr>
        <w:tc>
          <w:tcPr>
            <w:tcW w:type="dxa" w:w="9639"/>
            <w:gridSpan w:val="2"/>
            <w:shd w:val="clear" w:color="auto" w:fill="F2F2F2"/>
          </w:tcPr>
          <w:p>
            <w:pPr>
              <w:spacing w:lineRule="exact" w:line="360" w:before="0" w:after="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研究動機/解決問題</w:t>
            </w:r>
          </w:p>
        </w:tc>
      </w:tr>
      <w:tr>
        <w:tc>
          <w:tcPr>
            <w:tcW w:type="dxa" w:w="9639"/>
            <w:gridSpan w:val="2"/>
          </w:tcPr>
          <w:p>
            <w:pPr>
              <w:spacing w:lineRule="exact" w:line="360" w:before="80" w:after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一、研究緣起與桃園現況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(一)通車時機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綠線北段7站（G11藝文特區、G12蘆興埤、G13南竹中正北、G14蘆竹中正北、G15水尾、G15a菓林、G15b坑口）以115年底通車為目標；市府已於115年9月8日至9日完成初勘預檢，10月下旬展開試運轉前置準備，正式通車日以官方公告為準[1], [2], [3]。通車後，沿中正路、中正北路、南崁路廊行駛之既有公車與捷運之間，將出現「平行競爭」或「轉型接駁」之路網調整課題。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(二)先導公車成效與駕駛人力瓶頸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審計處指出，綠線先導公車GR線109年度運量約101萬人次，110年度受疫情影響降至約60萬人次，114年底約回復至101萬人次，「運量培養效果有限」；市府回應主因為駕駛人力不足，並已將部分低載客路線轉型為桃小巴[4]。因此，路網重整不宜僅估算節省之車公里，更應換算為「可移去支援接駁之駕駛班次」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(三)路網持續變動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市府推動「新桃園幹線公車」，GR綠捷幹線尖峰班距10至15分鐘，並新闢「13／13A龍壽南竹線」「NL北環線」等路線[5]；桃小巴現有56條路線，預計年底突破120條[6]；交通局於議會答詢時表示，蘆竹地區規劃以機場捷運A10站為接駁核心，停駛之L315、L316免費巴士及303、303A等路線將由桃小巴接棒[7]。此外，市民卡乘車碼轉乘捷運之開放時程將配合綠線通車另行公告[8]，轉乘優惠設計亦將影響接駁成效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(四)族群需求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長者對步行距離與轉乘負擔較為敏感，為本研究主要之公平性對象，路網重整須避免造成其服務缺口。桃園移工人數為全國最多（114年10月已逾13萬人）[9]，惟目前缺乏公開之移工居住或工作地點空間資料，本研究僅以產業用地作為探索性代理指標，列為次要面向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(五)政策缺口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市長115年8月施政報告將綠線北段通車、新桃園幹線公車及桃小巴擴張列為交通主軸[6]；捷運工程局表示已同步辦理公車接駁、站區道路、人行環境及停車轉乘規劃[10]。惟截至本提案撰寫時，尚未查得市府公開之「綠線通車後逐路線公車調整方案」；若市府於通車前公布方案，本研究將轉為方案評估與通車後成效追蹤，與市府分工互補。</w:t>
            </w:r>
          </w:p>
          <w:p>
            <w:pPr>
              <w:spacing w:lineRule="exact" w:line="360" w:before="80" w:after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二、國內案例與相關文獻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(一)捷運通車後之公車調整案例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臺中捷運綠線於110年4月25日通車時，交通局將800路改為「綠1」、53路裁切為「綠2」「綠3」，以減少與捷運重疊並強化接駁；報導指出共新闢5條接駁線、調整10條既有路線[11], [12]。交通部運輸研究所《捷運路網規劃參考手冊》涵蓋公車與軌道之競合及轉乘整合等規劃面向，為本研究之方法依據[13]。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(二)相關學位論文與本研究之定位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與本題最相關者為學位論文《捷運通車後公車路線調整模式—以航空城為例》[14]，另有《市區公車之既有路線調整與新闢路線規劃程序之研究》[15]及《台中捷運接駁公車路線規劃－以捷運櫻花文心站至逢甲商圈為例》[16]。本研究將於執行初期詳讀上述文獻並具體比較異同；本研究規劃之特色為：使用TDX實際線型與即時動態資料進行通車前後實證比較、將重整效果換算為駕駛人力，並納入長者可及性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(三)與往年度獲獎作品之區隔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114年度金質研究獎作品「公車要來沒」之公開資訊僅有題名與團隊名稱[17], [18]。本研究聚焦路網結構與捷運整合，不涉及到站預估或乘客端資訊服務。</w:t>
            </w:r>
          </w:p>
          <w:p>
            <w:pPr>
              <w:spacing w:lineRule="exact" w:line="360" w:before="80" w:after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三、研究目標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1.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量化各公車路線與綠線之重疊程度，辨識適合裁切、轉型或強化為接駁之路線。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2.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盤點7站步行服務範圍內之公車接駁可及性，找出接駁弱站。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3.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將重整情境之車公里換算為車輛小時與約當駕駛班次，估算可再配置之駕駛人力，回應駕駛人力不足之市政課題。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4.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以「可一車直達車站之65歲以上人口」為主要公平性指標，避免重整造成長者服務缺口。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5.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建立可供117年G08、119年主線及121年全線分階段通車重複使用之評估流程與開源工具。</w:t>
            </w:r>
          </w:p>
        </w:tc>
      </w:tr>
      <w:tr>
        <w:trPr>
          <w:cantSplit/>
        </w:trPr>
        <w:tc>
          <w:tcPr>
            <w:tcW w:type="dxa" w:w="9639"/>
            <w:gridSpan w:val="2"/>
            <w:shd w:val="clear" w:color="auto" w:fill="F2F2F2"/>
          </w:tcPr>
          <w:p>
            <w:pPr>
              <w:spacing w:lineRule="exact" w:line="360" w:before="0" w:after="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研究內容</w:t>
            </w:r>
          </w:p>
        </w:tc>
      </w:tr>
      <w:tr>
        <w:tc>
          <w:tcPr>
            <w:tcW w:type="dxa" w:w="9639"/>
            <w:gridSpan w:val="2"/>
          </w:tcPr>
          <w:p>
            <w:pPr>
              <w:spacing w:lineRule="exact" w:line="360" w:before="80" w:after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一、摘要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以TDX桃園市區公車線型、站序、班表與即時動態資料，結合OpenStreetMap步行路網與村里人口，建立路線重疊、車站接駁可及性與駕駛人力換算指標，模擬多套重整情境，並於通車前後比較公車營運表現，產出路線分類清單、情境比較報告與開源決策平台。</w:t>
            </w:r>
          </w:p>
          <w:p>
            <w:pPr>
              <w:spacing w:lineRule="exact" w:line="360" w:before="80" w:after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二、研究目的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1.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量化各路線與綠線之重疊程度，辨識適合裁切、轉型或強化接駁之路線。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2.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找出7站步行範圍內接駁薄弱之車站。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3.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比較各情境之車公里、約當駕駛班次與長者可及性，估算淨可再配置之駕駛人力。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4.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比較通車前後相關路線之旅行時間與班距穩定度。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5.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（探索性）以產業用地為代理，初探移工通勤之公車可達性。</w:t>
            </w:r>
          </w:p>
          <w:p>
            <w:pPr>
              <w:spacing w:lineRule="exact" w:line="360" w:before="80" w:after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三、研究方法及流程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(一)資料來源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公車線型、站序、班表與即時動態取自TDX[19], [20], [21]；車站位置參考捷運工程局公告[1]及OSM[22]；人口採戶政司村里人口[23]或SEGIS[24]；輔以運量統計[25], [26], [27]、市府站址表[28]及產業園區範圍圖[29]。逐路線上下車量與票證起訖未公開，列為資料媒合需求。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(二)路線重疊指標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計算線型落於車站500 m範圍之長度占比、站點重疊率，並以「平日班次×範圍內長度」加權排序，將路線分為高度平行、部分重疊、天然接駁與無關四類；緩衝距離另作敏感度分析。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(三)車站接駁可及性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以OSMnx[30]建立步行路網，計算300／500／800 m等時圈內站牌、路線與尖離峰班次，並計算可一車直達車站之65歲以上人口（距直達路線站牌300 m內）。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(四)重整情境與駕駛人力換算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情境含S0現狀、S1裁切平行段、S2改末端接駁並縮短班距、S3桃小巴補位。車公里＝平日班次×單程長度；車輛小時＝車公里÷營運速率；約當駕駛班次＝車輛小時÷每班駕駛時數；可再配置人力＝裁切節省班次－新接駁所需班次。本研究暫假設平均營運車速18 km/h、每班駕駛8小時，後續以即時動態實測速率及交通局排班規則校正；現階段僅含行駛時間，未含端點休息、空駛、備勤與輪休。旅行時間以GTFS化資料搭配路徑規劃工具計算。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(五)通車前後比較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以即時動態資料建立通車前旅行時間與班距基準，通車後同時段再測，並以未受影響路線為對照組。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(六)使用者調查（規劃中）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擬透過社區關懷據點調查長者轉乘意願與可接受步行距離，並透過移工服務單位驗證代理指標；採書面知情同意、代碼處理且不蒐集可識別個資。目前尚未進行任何問卷或訪談。</w:t>
            </w:r>
          </w:p>
          <w:p>
            <w:pPr>
              <w:spacing w:lineRule="exact" w:line="360" w:before="80" w:after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四、研究範圍與限制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範圍為綠線北段G11至G15b共7站及周邊1.5 km內之市區公車路線。限制如下：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1.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車站點位取自OSM，G15b以機場捷運A11站點位估計，需以官方出入口複核。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2.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TDX桃園班表僅有起點發車時刻，尖離峰判定可能偏移；平日以週三代表。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3.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人口以村里面積比例分配，假設村里內均勻分布；產業用地不等於移工人口。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4.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營運速率、駕駛時數與接駁班次為假設值；需求面暫以人口與土地使用代理。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5.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即時資料之車輛涵蓋率待評估；若通車延後，前後比較順延，以情境模擬為主要成果。</w:t>
            </w:r>
          </w:p>
          <w:p>
            <w:pPr>
              <w:spacing w:lineRule="exact" w:line="360" w:before="80" w:after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五、實證結果與分析（前期試行）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本研究已於115年10月24日完成試行分析，僅供研究設計參考，未進行問卷、訪談或實地調查。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(一)路線重疊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664條子路線方向中有75個與7站500 m範圍重疊。GR雙向各約5.8 km（約34%）落於範圍內，占全部重疊車公里22.0%，但距G14約850 m；T300次之（13.0%），且為少數服務G14之路線。309、5019、5022A等重疊長度達3.9至5.7 km，但平日每方向僅1至4班，故應以班次加權排序（表1、圖1）。</w:t>
            </w:r>
          </w:p>
          <w:p>
            <w:pPr>
              <w:spacing w:lineRule="exact" w:line="360" w:before="0"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2051"/>
              <w:gridCol w:w="1982"/>
              <w:gridCol w:w="1640"/>
              <w:gridCol w:w="1777"/>
              <w:gridCol w:w="1846"/>
            </w:tblGrid>
            <w:tr>
              <w:trPr>
                <w:cantSplit/>
                <w:tblHeader/>
              </w:trPr>
              <w:tc>
                <w:tcPr>
                  <w:tcW w:type="dxa" w:w="9296"/>
                  <w:gridSpan w:val="5"/>
                  <w:tcBorders>
                    <w:top w:val="nil"/>
                    <w:left w:val="nil"/>
                    <w:right w:val="nil"/>
                  </w:tcBorders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表1　班次加權重疊車公里（前8條路線）</w:t>
                  </w:r>
                </w:p>
              </w:tc>
            </w:tr>
            <w:tr>
              <w:trPr>
                <w:tblHeader/>
                <w:cantSplit/>
              </w:trPr>
              <w:tc>
                <w:tcPr>
                  <w:tcW w:type="dxa" w:w="2051"/>
                  <w:shd w:val="clear" w:color="auto" w:fill="E7E6E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路線</w:t>
                  </w:r>
                </w:p>
              </w:tc>
              <w:tc>
                <w:tcPr>
                  <w:tcW w:type="dxa" w:w="1982"/>
                  <w:shd w:val="clear" w:color="auto" w:fill="E7E6E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範圍內長度km</w:t>
                  </w:r>
                </w:p>
              </w:tc>
              <w:tc>
                <w:tcPr>
                  <w:tcW w:type="dxa" w:w="1640"/>
                  <w:shd w:val="clear" w:color="auto" w:fill="E7E6E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平日班次</w:t>
                  </w:r>
                </w:p>
              </w:tc>
              <w:tc>
                <w:tcPr>
                  <w:tcW w:type="dxa" w:w="1777"/>
                  <w:shd w:val="clear" w:color="auto" w:fill="E7E6E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範圍內車公里</w:t>
                  </w:r>
                </w:p>
              </w:tc>
              <w:tc>
                <w:tcPr>
                  <w:tcW w:type="dxa" w:w="1846"/>
                  <w:shd w:val="clear" w:color="auto" w:fill="E7E6E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占比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5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GR</w:t>
                  </w:r>
                </w:p>
              </w:tc>
              <w:tc>
                <w:tcPr>
                  <w:tcW w:type="dxa" w:w="1982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5.82</w:t>
                  </w:r>
                </w:p>
              </w:tc>
              <w:tc>
                <w:tcPr>
                  <w:tcW w:type="dxa" w:w="1640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60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347.4</w:t>
                  </w:r>
                </w:p>
              </w:tc>
              <w:tc>
                <w:tcPr>
                  <w:tcW w:type="dxa" w:w="184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22.0%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5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T300</w:t>
                  </w:r>
                </w:p>
              </w:tc>
              <w:tc>
                <w:tcPr>
                  <w:tcW w:type="dxa" w:w="1982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3.44</w:t>
                  </w:r>
                </w:p>
              </w:tc>
              <w:tc>
                <w:tcPr>
                  <w:tcW w:type="dxa" w:w="1640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60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205.5</w:t>
                  </w:r>
                </w:p>
              </w:tc>
              <w:tc>
                <w:tcPr>
                  <w:tcW w:type="dxa" w:w="184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13.0%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5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703</w:t>
                  </w:r>
                </w:p>
              </w:tc>
              <w:tc>
                <w:tcPr>
                  <w:tcW w:type="dxa" w:w="1982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2.04</w:t>
                  </w:r>
                </w:p>
              </w:tc>
              <w:tc>
                <w:tcPr>
                  <w:tcW w:type="dxa" w:w="1640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56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114.2</w:t>
                  </w:r>
                </w:p>
              </w:tc>
              <w:tc>
                <w:tcPr>
                  <w:tcW w:type="dxa" w:w="184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7.2%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5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5022</w:t>
                  </w:r>
                </w:p>
              </w:tc>
              <w:tc>
                <w:tcPr>
                  <w:tcW w:type="dxa" w:w="1982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2.16</w:t>
                  </w:r>
                </w:p>
              </w:tc>
              <w:tc>
                <w:tcPr>
                  <w:tcW w:type="dxa" w:w="1640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49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105.6</w:t>
                  </w:r>
                </w:p>
              </w:tc>
              <w:tc>
                <w:tcPr>
                  <w:tcW w:type="dxa" w:w="184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6.7%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5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168</w:t>
                  </w:r>
                </w:p>
              </w:tc>
              <w:tc>
                <w:tcPr>
                  <w:tcW w:type="dxa" w:w="1982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1.06</w:t>
                  </w:r>
                </w:p>
              </w:tc>
              <w:tc>
                <w:tcPr>
                  <w:tcW w:type="dxa" w:w="1640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77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81.2</w:t>
                  </w:r>
                </w:p>
              </w:tc>
              <w:tc>
                <w:tcPr>
                  <w:tcW w:type="dxa" w:w="184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5.1%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5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302</w:t>
                  </w:r>
                </w:p>
              </w:tc>
              <w:tc>
                <w:tcPr>
                  <w:tcW w:type="dxa" w:w="1982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2.11</w:t>
                  </w:r>
                </w:p>
              </w:tc>
              <w:tc>
                <w:tcPr>
                  <w:tcW w:type="dxa" w:w="1640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36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75.8</w:t>
                  </w:r>
                </w:p>
              </w:tc>
              <w:tc>
                <w:tcPr>
                  <w:tcW w:type="dxa" w:w="184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4.8%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5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5059</w:t>
                  </w:r>
                </w:p>
              </w:tc>
              <w:tc>
                <w:tcPr>
                  <w:tcW w:type="dxa" w:w="1982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2.04</w:t>
                  </w:r>
                </w:p>
              </w:tc>
              <w:tc>
                <w:tcPr>
                  <w:tcW w:type="dxa" w:w="1640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24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49.0</w:t>
                  </w:r>
                </w:p>
              </w:tc>
              <w:tc>
                <w:tcPr>
                  <w:tcW w:type="dxa" w:w="184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3.1%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5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5022A</w:t>
                  </w:r>
                </w:p>
              </w:tc>
              <w:tc>
                <w:tcPr>
                  <w:tcW w:type="dxa" w:w="1982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5.18</w:t>
                  </w:r>
                </w:p>
              </w:tc>
              <w:tc>
                <w:tcPr>
                  <w:tcW w:type="dxa" w:w="1640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9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46.5</w:t>
                  </w:r>
                </w:p>
              </w:tc>
              <w:tc>
                <w:tcPr>
                  <w:tcW w:type="dxa" w:w="184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2.9%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51"/>
                  <w:vAlign w:val="center"/>
                </w:tcPr>
                <w:p>
                  <w:pPr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51條路線合計</w:t>
                  </w:r>
                </w:p>
              </w:tc>
              <w:tc>
                <w:tcPr>
                  <w:tcW w:type="dxa" w:w="1982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</w:r>
                </w:p>
              </w:tc>
              <w:tc>
                <w:tcPr>
                  <w:tcW w:type="dxa" w:w="1640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1,579.3</w:t>
                  </w:r>
                </w:p>
              </w:tc>
              <w:tc>
                <w:tcPr>
                  <w:tcW w:type="dxa" w:w="1846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100%</w:t>
                  </w:r>
                </w:p>
              </w:tc>
            </w:tr>
          </w:tbl>
          <w:p/>
          <w:p>
            <w:pPr>
              <w:spacing w:lineRule="exact" w:line="360" w:before="0" w:after="12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4"/>
              </w:rPr>
              <w:t>註：範圍內長度取較長方向之線型；平日班次為雙向合計；範圍內車公里＝平日班次×7站500 m範圍內線型長度（每平日），為重整可釋出資源之上限參考；占比為占全部重疊車公里之比例。資料來源：TDX[19]（115年10月24日取得）、OSM[22]。</w:t>
            </w:r>
          </w:p>
          <w:p>
            <w:pPr>
              <w:keepNext/>
              <w:spacing w:lineRule="auto" w:line="240" w:before="12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0" cy="424526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_overla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42452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Rule="exact" w:line="360" w:before="0" w:after="12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4"/>
              </w:rPr>
              <w:t>圖1　TDX實際線型下與綠線北段7站500 m範圍重疊長度前10名之子路線。資料：TDX Shape、StopOfRoute（115年10月24日取得）[19]；OSM[22]。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(二)車站接駁可及性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G14接駁最弱：300 m內無站牌，500 m內尖峰每小時4.2班。G12之500 m內尖峰亦僅4.2班，但800 m內估計約有1,379名65歲以上居民，為「長者多、接駁弱」最明顯之站；G11接駁最充足（尖峰25.8班）（表2、圖2）。</w:t>
            </w:r>
          </w:p>
          <w:p>
            <w:pPr>
              <w:spacing w:lineRule="exact" w:line="360" w:before="0"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2391"/>
              <w:gridCol w:w="1859"/>
              <w:gridCol w:w="2523"/>
              <w:gridCol w:w="2523"/>
            </w:tblGrid>
            <w:tr>
              <w:trPr>
                <w:cantSplit/>
                <w:tblHeader/>
              </w:trPr>
              <w:tc>
                <w:tcPr>
                  <w:tcW w:type="dxa" w:w="9296"/>
                  <w:gridSpan w:val="4"/>
                  <w:tcBorders>
                    <w:top w:val="nil"/>
                    <w:left w:val="nil"/>
                    <w:right w:val="nil"/>
                  </w:tcBorders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表2　各站步行等時圈內公車服務與長者人口（300／500／800 m）</w:t>
                  </w:r>
                </w:p>
              </w:tc>
            </w:tr>
            <w:tr>
              <w:trPr>
                <w:tblHeader/>
                <w:cantSplit/>
              </w:trPr>
              <w:tc>
                <w:tcPr>
                  <w:tcW w:type="dxa" w:w="2391"/>
                  <w:shd w:val="clear" w:color="auto" w:fill="E7E6E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車站</w:t>
                  </w:r>
                </w:p>
              </w:tc>
              <w:tc>
                <w:tcPr>
                  <w:tcW w:type="dxa" w:w="1859"/>
                  <w:shd w:val="clear" w:color="auto" w:fill="E7E6E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站牌位置數</w:t>
                  </w:r>
                </w:p>
              </w:tc>
              <w:tc>
                <w:tcPr>
                  <w:tcW w:type="dxa" w:w="2523"/>
                  <w:shd w:val="clear" w:color="auto" w:fill="E7E6E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尖峰班次／時</w:t>
                  </w:r>
                </w:p>
              </w:tc>
              <w:tc>
                <w:tcPr>
                  <w:tcW w:type="dxa" w:w="2523"/>
                  <w:shd w:val="clear" w:color="auto" w:fill="E7E6E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65歲以上人口估計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9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G11藝文特區</w:t>
                  </w:r>
                </w:p>
              </w:tc>
              <w:tc>
                <w:tcPr>
                  <w:tcW w:type="dxa" w:w="1859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8／12／42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25.8／25.8／36.8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857／2,431／6,231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9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G12蘆興埤</w:t>
                  </w:r>
                </w:p>
              </w:tc>
              <w:tc>
                <w:tcPr>
                  <w:tcW w:type="dxa" w:w="1859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2／4／15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4.2／4.2／17.5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320／580／1,379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9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G13南竹中正北</w:t>
                  </w:r>
                </w:p>
              </w:tc>
              <w:tc>
                <w:tcPr>
                  <w:tcW w:type="dxa" w:w="1859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4／15／32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8.8／17.0／17.2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116／332／1,097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9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G14蘆竹中正北</w:t>
                  </w:r>
                </w:p>
              </w:tc>
              <w:tc>
                <w:tcPr>
                  <w:tcW w:type="dxa" w:w="1859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0／2／9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0.0／4.2／5.5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11／21／71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9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G15水尾</w:t>
                  </w:r>
                </w:p>
              </w:tc>
              <w:tc>
                <w:tcPr>
                  <w:tcW w:type="dxa" w:w="1859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6／13／21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21.0／21.2／21.8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24／68／148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91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G15a菓林</w:t>
                  </w:r>
                </w:p>
              </w:tc>
              <w:tc>
                <w:tcPr>
                  <w:tcW w:type="dxa" w:w="1859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9／21／26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14.8／14.8／15.2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99／253／523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91"/>
                  <w:vAlign w:val="center"/>
                </w:tcPr>
                <w:p>
                  <w:pPr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G15b坑口</w:t>
                  </w:r>
                </w:p>
              </w:tc>
              <w:tc>
                <w:tcPr>
                  <w:tcW w:type="dxa" w:w="1859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1／2／6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0.5／6.2／6.2</w:t>
                  </w:r>
                </w:p>
              </w:tc>
              <w:tc>
                <w:tcPr>
                  <w:tcW w:type="dxa" w:w="2523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17／46／138</w:t>
                  </w:r>
                </w:p>
              </w:tc>
            </w:tr>
          </w:tbl>
          <w:p/>
          <w:p>
            <w:pPr>
              <w:spacing w:lineRule="exact" w:line="360" w:before="0" w:after="12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4"/>
              </w:rPr>
              <w:t>註：尖峰為平日07:00–09:00及17:00–19:00，以起點發車時刻判定；人口為村里人口依面積比例分配之估計值。資料來源：TDX[19]、內政部戶政司115年9月村里人口[23]、OSM[22]。</w:t>
            </w:r>
          </w:p>
          <w:p>
            <w:pPr>
              <w:keepNext/>
              <w:spacing w:lineRule="auto" w:line="240" w:before="12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361072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_acces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6107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Rule="exact" w:line="360" w:before="0" w:after="12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4"/>
              </w:rPr>
              <w:t>圖2　7站步行等時圈、TDX站牌與500 m範圍內尖峰／離峰班次。資料：TDX[19]、OSM[22]、內政部戶政司115年9月村里人口[23]。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(三)駕駛人力再配置示意情境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以決策平台展示版設定示意情境（非建議方案）：A為GR刪除車站500 m範圍內首末站牌間區段，僅保留桃園總站至G11，單程由17.31／17.25 km縮為各4.40 km，班次不變；B為以貪婪法自G14周邊選取6個既有站牌組成循環接駁線（直線4.84 km），假設平日30班。在上述速率與工時假設下，約當駕駛班次由138.1降為133.8班：GR節省約5.4班，接駁線需約1.0班，淨可再配置約4.4班／平日；可一車直達G14之長者估計增加約1,313人，但G12、G15b各減少數十人，需另行補位（表3、圖3）。此換算不代表可裁減人員。</w:t>
            </w:r>
          </w:p>
          <w:p>
            <w:pPr>
              <w:spacing w:lineRule="exact" w:line="360" w:before="0"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3828"/>
              <w:gridCol w:w="1504"/>
              <w:gridCol w:w="1777"/>
              <w:gridCol w:w="2187"/>
            </w:tblGrid>
            <w:tr>
              <w:trPr>
                <w:cantSplit/>
                <w:tblHeader/>
              </w:trPr>
              <w:tc>
                <w:tcPr>
                  <w:tcW w:type="dxa" w:w="9296"/>
                  <w:gridSpan w:val="4"/>
                  <w:tcBorders>
                    <w:top w:val="nil"/>
                    <w:left w:val="nil"/>
                    <w:right w:val="nil"/>
                  </w:tcBorders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表3　示意情境（A＋B）與現況之比較</w:t>
                  </w:r>
                </w:p>
              </w:tc>
            </w:tr>
            <w:tr>
              <w:trPr>
                <w:tblHeader/>
                <w:cantSplit/>
              </w:trPr>
              <w:tc>
                <w:tcPr>
                  <w:tcW w:type="dxa" w:w="3828"/>
                  <w:shd w:val="clear" w:color="auto" w:fill="E7E6E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指標</w:t>
                  </w:r>
                </w:p>
              </w:tc>
              <w:tc>
                <w:tcPr>
                  <w:tcW w:type="dxa" w:w="1504"/>
                  <w:shd w:val="clear" w:color="auto" w:fill="E7E6E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S0現況</w:t>
                  </w:r>
                </w:p>
              </w:tc>
              <w:tc>
                <w:tcPr>
                  <w:tcW w:type="dxa" w:w="1777"/>
                  <w:shd w:val="clear" w:color="auto" w:fill="E7E6E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A＋B示意情境</w:t>
                  </w:r>
                </w:p>
              </w:tc>
              <w:tc>
                <w:tcPr>
                  <w:tcW w:type="dxa" w:w="2187"/>
                  <w:shd w:val="clear" w:color="auto" w:fill="E7E6E6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差異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28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平日車公里（84個路線方向＋接駁線）</w:t>
                  </w:r>
                </w:p>
              </w:tc>
              <w:tc>
                <w:tcPr>
                  <w:tcW w:type="dxa" w:w="1504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19,893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19,265</w:t>
                  </w:r>
                </w:p>
              </w:tc>
              <w:tc>
                <w:tcPr>
                  <w:tcW w:type="dxa" w:w="218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−628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28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平日車輛小時（假設18 km/h）</w:t>
                  </w:r>
                </w:p>
              </w:tc>
              <w:tc>
                <w:tcPr>
                  <w:tcW w:type="dxa" w:w="1504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1,105.2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1,070.3</w:t>
                  </w:r>
                </w:p>
              </w:tc>
              <w:tc>
                <w:tcPr>
                  <w:tcW w:type="dxa" w:w="218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−34.9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28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約當駕駛班次（假設每班8小時）</w:t>
                  </w:r>
                </w:p>
              </w:tc>
              <w:tc>
                <w:tcPr>
                  <w:tcW w:type="dxa" w:w="1504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138.1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133.8</w:t>
                  </w:r>
                </w:p>
              </w:tc>
              <w:tc>
                <w:tcPr>
                  <w:tcW w:type="dxa" w:w="218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−4.4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28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GR雙向約當駕駛班次</w:t>
                  </w:r>
                </w:p>
              </w:tc>
              <w:tc>
                <w:tcPr>
                  <w:tcW w:type="dxa" w:w="1504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7.2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1.8</w:t>
                  </w:r>
                </w:p>
              </w:tc>
              <w:tc>
                <w:tcPr>
                  <w:tcW w:type="dxa" w:w="218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−5.4（裁切節省）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28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G14接駁線約當駕駛班次</w:t>
                  </w:r>
                </w:p>
              </w:tc>
              <w:tc>
                <w:tcPr>
                  <w:tcW w:type="dxa" w:w="1504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0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1.0</w:t>
                  </w:r>
                </w:p>
              </w:tc>
              <w:tc>
                <w:tcPr>
                  <w:tcW w:type="dxa" w:w="218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+1.0（新增所需）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28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可再配置駕駛人力</w:t>
                  </w:r>
                </w:p>
              </w:tc>
              <w:tc>
                <w:tcPr>
                  <w:tcW w:type="dxa" w:w="1504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</w:r>
                </w:p>
              </w:tc>
              <w:tc>
                <w:tcPr>
                  <w:tcW w:type="dxa" w:w="218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4"/>
                    </w:rPr>
                    <w:t>約+4.4班／平日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28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可一車直達G14之65歲以上人口（1.5 km內）</w:t>
                  </w:r>
                </w:p>
              </w:tc>
              <w:tc>
                <w:tcPr>
                  <w:tcW w:type="dxa" w:w="1504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1,018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2,332</w:t>
                  </w:r>
                </w:p>
              </w:tc>
              <w:tc>
                <w:tcPr>
                  <w:tcW w:type="dxa" w:w="218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+1,313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28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可一車直達G12之65歲以上人口（1.5 km內）</w:t>
                  </w:r>
                </w:p>
              </w:tc>
              <w:tc>
                <w:tcPr>
                  <w:tcW w:type="dxa" w:w="1504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8,806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8,773</w:t>
                  </w:r>
                </w:p>
              </w:tc>
              <w:tc>
                <w:tcPr>
                  <w:tcW w:type="dxa" w:w="2187"/>
                  <w:vAlign w:val="center"/>
                </w:tcPr>
                <w:p>
                  <w:pPr>
                    <w:keepNext/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−33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28"/>
                  <w:vAlign w:val="center"/>
                </w:tcPr>
                <w:p>
                  <w:pPr>
                    <w:spacing w:lineRule="exact" w:line="360" w:before="0" w:after="0"/>
                    <w:jc w:val="left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可一車直達G15b之65歲以上人口（1.5 km內）</w:t>
                  </w:r>
                </w:p>
              </w:tc>
              <w:tc>
                <w:tcPr>
                  <w:tcW w:type="dxa" w:w="1504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873</w:t>
                  </w:r>
                </w:p>
              </w:tc>
              <w:tc>
                <w:tcPr>
                  <w:tcW w:type="dxa" w:w="1777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845</w:t>
                  </w:r>
                </w:p>
              </w:tc>
              <w:tc>
                <w:tcPr>
                  <w:tcW w:type="dxa" w:w="2187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4"/>
                    </w:rPr>
                    <w:t>−28</w:t>
                  </w:r>
                </w:p>
              </w:tc>
            </w:tr>
          </w:tbl>
          <w:p/>
          <w:p>
            <w:pPr>
              <w:spacing w:lineRule="exact" w:line="360" w:before="0" w:after="12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4"/>
              </w:rPr>
              <w:t>註：營運速率、每班駕駛時數與接駁線班次均為假設值；換算僅含行駛時間。65歲以上人口為距站牌直線300 m內之估計值，各站數字不可相加。本情境僅為工具示範，非研究結論或政策建議。</w:t>
            </w:r>
          </w:p>
          <w:p>
            <w:pPr>
              <w:keepNext/>
              <w:spacing w:lineRule="auto" w:line="240" w:before="12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24956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_driv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2495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Rule="exact" w:line="360" w:before="0" w:after="12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4"/>
              </w:rPr>
              <w:t>圖3　決策平台展示版情境模擬頁：A＋B示意情境之駕駛人力與長者可及性比較（速率與每班時數為假設值）。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(四)產業用地代理指標（探索性）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以OSM工業用地及產業園區範圍圖為代理，7站各1,500 m內產業用地約184.3 ha，其中約126.8 ha（69%）距公車站牌300 m內，僅約78.1 ha（42%）距可一車直達最近車站之路線站牌300 m內；G12周邊12塊產業用地皆無直達路線。僅為候選觀察點，需以市府資料驗證（圖4）。</w:t>
            </w:r>
          </w:p>
          <w:p>
            <w:pPr>
              <w:keepNext/>
              <w:spacing w:lineRule="auto" w:line="240" w:before="12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386608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4_industria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8660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Rule="exact" w:line="360" w:before="0" w:after="12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4"/>
              </w:rPr>
              <w:t>圖4　決策平台展示版接駁缺口頁：產業用地（移工通勤代理指標，探索性）。資料：OSM[22]、經濟部產業園區範圍圖[29]。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(五)通車前營運基準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已自115年10月24日起以TDX即時動態資料蒐集59條路線之通車前基準，預定至115年11月14日或通車前一日；目前樣本尚不足以計算旅行時間與班距指標，將於樣本累積後呈現。</w:t>
            </w:r>
          </w:p>
        </w:tc>
      </w:tr>
      <w:tr>
        <w:trPr>
          <w:cantSplit/>
        </w:trPr>
        <w:tc>
          <w:tcPr>
            <w:tcW w:type="dxa" w:w="9639"/>
            <w:gridSpan w:val="2"/>
            <w:shd w:val="clear" w:color="auto" w:fill="F2F2F2"/>
          </w:tcPr>
          <w:p>
            <w:pPr>
              <w:spacing w:lineRule="exact" w:line="360" w:before="0" w:after="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研究期程</w:t>
            </w:r>
          </w:p>
        </w:tc>
      </w:tr>
      <w:tr>
        <w:tc>
          <w:tcPr>
            <w:tcW w:type="dxa" w:w="9639"/>
            <w:gridSpan w:val="2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2494"/>
              <w:gridCol w:w="6917"/>
            </w:tblGrid>
            <w:tr>
              <w:tc>
                <w:tcPr>
                  <w:tcW w:type="dxa" w:w="2494"/>
                  <w:shd w:val="clear" w:color="auto" w:fill="E7E6E6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8"/>
                    </w:rPr>
                    <w:t>期間</w:t>
                  </w:r>
                </w:p>
              </w:tc>
              <w:tc>
                <w:tcPr>
                  <w:tcW w:type="dxa" w:w="6917"/>
                  <w:shd w:val="clear" w:color="auto" w:fill="E7E6E6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/>
                      <w:i w:val="0"/>
                      <w:sz w:val="28"/>
                    </w:rPr>
                    <w:t>階段任務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4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115年10月–11月</w:t>
                  </w:r>
                </w:p>
              </w:tc>
              <w:tc>
                <w:tcPr>
                  <w:tcW w:type="dxa" w:w="6917"/>
                </w:tcPr>
                <w:p>
                  <w:pPr>
                    <w:spacing w:lineRule="exact" w:line="360" w:before="0" w:after="0"/>
                    <w:jc w:val="both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文獻回顧、TDX及OSM資料介接、前期試行分析、通車前基準資料蒐集；11月30日前完成報名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4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115年12月</w:t>
                  </w:r>
                </w:p>
              </w:tc>
              <w:tc>
                <w:tcPr>
                  <w:tcW w:type="dxa" w:w="6917"/>
                </w:tcPr>
                <w:p>
                  <w:pPr>
                    <w:spacing w:lineRule="exact" w:line="360" w:before="0" w:after="0"/>
                    <w:jc w:val="both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書面初審；持續蒐集通車前基準資料；綠線北段預計通車（依官方公告）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4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116年1月–2月</w:t>
                  </w:r>
                </w:p>
              </w:tc>
              <w:tc>
                <w:tcPr>
                  <w:tcW w:type="dxa" w:w="6917"/>
                </w:tcPr>
                <w:p>
                  <w:pPr>
                    <w:spacing w:lineRule="exact" w:line="360" w:before="0" w:after="0"/>
                    <w:jc w:val="both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複審簡報；通車後資料蒐集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4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116年3月</w:t>
                  </w:r>
                </w:p>
              </w:tc>
              <w:tc>
                <w:tcPr>
                  <w:tcW w:type="dxa" w:w="6917"/>
                </w:tcPr>
                <w:p>
                  <w:pPr>
                    <w:spacing w:lineRule="exact" w:line="360" w:before="0" w:after="0"/>
                    <w:jc w:val="both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頒獎（預計）；市府資料媒合與共同研究會議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4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116年4月–6月</w:t>
                  </w:r>
                </w:p>
              </w:tc>
              <w:tc>
                <w:tcPr>
                  <w:tcW w:type="dxa" w:w="6917"/>
                </w:tcPr>
                <w:p>
                  <w:pPr>
                    <w:spacing w:lineRule="exact" w:line="360" w:before="0" w:after="0"/>
                    <w:jc w:val="both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通車後資料蒐集與前後比較；情境模擬；長者調查與移工代理指標驗證（視資源辦理）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4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116年7月–9月</w:t>
                  </w:r>
                </w:p>
              </w:tc>
              <w:tc>
                <w:tcPr>
                  <w:tcW w:type="dxa" w:w="6917"/>
                </w:tcPr>
                <w:p>
                  <w:pPr>
                    <w:spacing w:lineRule="exact" w:line="360" w:before="0" w:after="0"/>
                    <w:jc w:val="both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情境方案評估、研究報告撰寫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94"/>
                  <w:vAlign w:val="center"/>
                </w:tcPr>
                <w:p>
                  <w:pPr>
                    <w:spacing w:lineRule="exact" w:line="360" w:before="0" w:after="0"/>
                    <w:jc w:val="center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116年10月以後</w:t>
                  </w:r>
                </w:p>
              </w:tc>
              <w:tc>
                <w:tcPr>
                  <w:tcW w:type="dxa" w:w="6917"/>
                </w:tcPr>
                <w:p>
                  <w:pPr>
                    <w:spacing w:lineRule="exact" w:line="360" w:before="0" w:after="0"/>
                    <w:jc w:val="both"/>
                  </w:pPr>
                  <w:r>
                    <w:rPr>
                      <w:rFonts w:ascii="Times New Roman" w:hAnsi="Times New Roman" w:cs="Times New Roman" w:eastAsia="標楷體"/>
                      <w:b w:val="0"/>
                      <w:i w:val="0"/>
                      <w:sz w:val="28"/>
                    </w:rPr>
                    <w:t>研討會投稿或論文發表；第二階段成果依主辦單位指定期限繳交</w:t>
                  </w:r>
                </w:p>
              </w:tc>
            </w:tr>
          </w:tbl>
          <w:p/>
          <w:p>
            <w:pPr>
              <w:spacing w:lineRule="exact" w:line="360" w:before="0" w:after="80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4"/>
              </w:rPr>
              <w:t>註：初審、複審與頒獎時程依115年度活動簡章[31]，實際日期以主辦單位公告為準。</w:t>
            </w:r>
          </w:p>
        </w:tc>
      </w:tr>
      <w:tr>
        <w:trPr>
          <w:cantSplit/>
        </w:trPr>
        <w:tc>
          <w:tcPr>
            <w:tcW w:type="dxa" w:w="9639"/>
            <w:gridSpan w:val="2"/>
            <w:shd w:val="clear" w:color="auto" w:fill="F2F2F2"/>
          </w:tcPr>
          <w:p>
            <w:pPr>
              <w:spacing w:lineRule="exact" w:line="360" w:before="0" w:after="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研究成果/預期效益</w:t>
            </w:r>
          </w:p>
        </w:tc>
      </w:tr>
      <w:tr>
        <w:tc>
          <w:tcPr>
            <w:tcW w:type="dxa" w:w="9639"/>
            <w:gridSpan w:val="2"/>
          </w:tcPr>
          <w:p>
            <w:pPr>
              <w:spacing w:lineRule="exact" w:line="360" w:before="80" w:after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一、預定研究成果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1.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綠線北段相關公車路線重疊分類清單及車站接駁可及性地圖。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2.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3至4套重整情境之量化比較報告，含各情境約當駕駛班次與可再配置人力。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3.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通車前後公車營運比較報告。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4.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開源分析程式、決策平台（已完成展示版雛形）與操作手冊。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5.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長者轉乘需求摘要（若執行調查）；移工通勤代理指標及其驗證結果（探索性）。</w:t>
            </w:r>
          </w:p>
          <w:p>
            <w:pPr>
              <w:spacing w:lineRule="exact" w:line="360" w:before="80" w:after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二、衡量指標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路線長度與站點重疊率；車站500 m範圍內班次數與人口覆蓋；情境間車公里、車輛小時與約當駕駛班次差異；可一車直達車站之65歲以上人口；代表起訖點旅行時間、轉乘次數與步行距離變化；通車前後旅行時間與班距變異係數。各項數值待正式研究實測，不預設結果。</w:t>
            </w:r>
          </w:p>
          <w:p>
            <w:pPr>
              <w:spacing w:lineRule="exact" w:line="360" w:before="80" w:after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三、預期效益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(一)對桃園市政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回應審計處對GR運量之關切與市府駕駛人力不足之說明[4]，將裁切平行路段釋出之車公里換算為約當駕駛班次，評估能否移去補強弱站接駁，提供交通局路網調整之量化依據。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(二)對民眾與族群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以「可一車直達車站之長者人口」把關，避免裁切造成服務缺口；以產業用地代理指標初探移工通勤需求，並於獲獎後與市府資料媒合驗證。</w:t>
            </w:r>
          </w:p>
          <w:p>
            <w:pPr>
              <w:spacing w:lineRule="exact" w:line="360" w:before="0" w:after="0"/>
              <w:ind w:left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(三)對城市發展</w:t>
            </w:r>
          </w:p>
          <w:p>
            <w:pPr>
              <w:spacing w:lineRule="exact" w:line="360" w:before="0" w:after="0"/>
              <w:ind w:firstLine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評估流程與工具可沿用至G08（117年）、主線（119年）及航空城段（121年）之分階段通車。</w:t>
            </w:r>
          </w:p>
          <w:p>
            <w:pPr>
              <w:spacing w:lineRule="exact" w:line="360" w:before="80" w:after="0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四、建議之市府資料媒合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1.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交通局：逐路線、逐站上下車量（去識別化彙總）；路線營運成本、車公里、車輛小時與駕駛排班規則；綠線接駁或路線調整計畫草案。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2.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勞動局等：沿線移工人數或宿舍分布之去識別化彙總資料。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3.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捷運公司、捷運工程局：通車後各站進出站量；車站出入口與轉乘設施位置。</w:t>
            </w:r>
          </w:p>
          <w:p>
            <w:pPr>
              <w:spacing w:lineRule="exact" w:line="360" w:before="0" w:after="0"/>
              <w:ind w:left="340" w:hanging="340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4.</w:t>
            </w: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智發會：算力資源或資料平台協助。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val="clear" w:color="auto" w:fill="F2F2F2"/>
          </w:tcPr>
          <w:p>
            <w:pPr>
              <w:spacing w:lineRule="exact" w:line="360" w:before="0" w:after="0"/>
              <w:jc w:val="center"/>
            </w:pP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是否使用</w:t>
            </w:r>
            <w:r>
              <w:br/>
            </w: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ＡＩ工具</w:t>
            </w:r>
            <w:r>
              <w:br/>
            </w:r>
            <w:r>
              <w:rPr>
                <w:rFonts w:ascii="Times New Roman" w:hAnsi="Times New Roman" w:cs="Times New Roman" w:eastAsia="標楷體"/>
                <w:b/>
                <w:i w:val="0"/>
                <w:sz w:val="28"/>
              </w:rPr>
              <w:t>協助創作</w:t>
            </w:r>
          </w:p>
        </w:tc>
        <w:tc>
          <w:tcPr>
            <w:tcW w:type="dxa" w:w="7938"/>
          </w:tcPr>
          <w:p>
            <w:pPr>
              <w:spacing w:lineRule="exact" w:line="360" w:before="0"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■ 是；工具名稱：＿＿＿＿＿＿＿＿</w:t>
            </w:r>
          </w:p>
          <w:p>
            <w:pPr>
              <w:spacing w:lineRule="exact" w:line="360" w:before="0" w:after="0"/>
              <w:ind w:left="561"/>
              <w:jc w:val="both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使用方式：以生成式AI協助蒐集與整理公開資料、草擬提案文字，並協助撰寫與執行前期試行分析程式及決策平台展示版；分析結果與引用資料由團隊複核。</w:t>
            </w:r>
          </w:p>
          <w:p>
            <w:pPr>
              <w:spacing w:lineRule="exact" w:line="360" w:before="0" w:after="0"/>
            </w:pPr>
            <w:r>
              <w:rPr>
                <w:rFonts w:ascii="Times New Roman" w:hAnsi="Times New Roman" w:cs="Times New Roman" w:eastAsia="標楷體"/>
                <w:b w:val="0"/>
                <w:i w:val="0"/>
                <w:sz w:val="28"/>
              </w:rPr>
              <w:t>□ 否。</w:t>
            </w:r>
          </w:p>
        </w:tc>
      </w:tr>
    </w:tbl>
    <w:p>
      <w:pPr>
        <w:keepNext/>
        <w:spacing w:lineRule="exact" w:line="360" w:before="240" w:after="120"/>
        <w:jc w:val="center"/>
      </w:pPr>
      <w:r>
        <w:rPr>
          <w:rFonts w:ascii="Times New Roman" w:hAnsi="Times New Roman" w:cs="Times New Roman" w:eastAsia="標楷體"/>
          <w:b/>
          <w:i w:val="0"/>
          <w:sz w:val="32"/>
        </w:rPr>
        <w:t>參考文獻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[1]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桃園市政府捷運工程局（無日期）。捷運綠線（車站站名及位置一覽表、通車時程）。https://dorts.tycg.gov.tw/cp.aspx?n=23132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[2]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中央社（2026年8月13日）。桃捷綠線北段7站拚通車。https://www.cna.com.tw/news/aloc/202608130183.aspx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[3]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中央社（2026年10月14日）。桃捷綠線北段拚通車 再2站開箱、試運轉前置預備中。https://www.cna.com.tw/news/aloc/202610140272.aspx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[4]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中國時報（2026年8月7日）。桃捷綠線GR先導公車 運量未如預期。https://www.chinatimes.com/newspapers/20260807000589-260107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[5]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中天新聞（2026年8月25日）。桃園公車路網再升級 7條新幹線。https://ctinews.com/news/items/D0xdjJZkWY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[6]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桃園電子報（2026年8月7日）。張善政施政報告。https://tyenews.com/2026/08/1391442/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[7]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桃園電子報（2026年8月20日）。蘆竹通勤搭車亂象多（交通局答詢）。https://tyenews.com/2026/08/1390453/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[8]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桃園公車動態資訊（無日期）。票價與市民卡乘車優惠。https://ebus.tycg.gov.tw/ebus/fare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[9]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桃園電子報（2025年12月17日）。桃園移工人數破13萬。https://tyenews.com/2025/12/1165890/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[10]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桃園市政府捷運工程局（2026年10月13日）。桃捷綠線通車配套與工程同步推進。https://dorts.tycg.gov.tw/News_Content.aspx?n=23116&amp;s=1896866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[11]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自由時報（無日期）。中捷25日通車 53、800路公車將轉型捷運接駁。https://news.ltn.com.tw/news/life/breakingnews/3495512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[12]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臺中市政府（無日期）。中捷綠線4/25正式通車〔市政新聞〕。https://www.taichung.gov.tw/8868/8872/9962/1772188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[13]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交通部運輸研究所（無日期）。捷運路網規劃參考手冊。https://www.iot.gov.tw/uploads/asset/data/66195bd9367376304acd4c90/%E6%8D%B7%E9%81%8B%E8%B7%AF%E7%B6%B2%E8%A6%8F%E5%8A%83%E5%8F%83%E8%80%83%E6%89%8B%E5%86%8A.pdf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[14]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捷運通車後公車路線調整模式—以航空城為例〔學位論文〕（無日期）。臺灣博碩士論文知識加值系統。https://ndltd.ncl.edu.tw/r/09204086685482295339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[15]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市區公車之既有路線調整與新闢路線規劃程序之研究〔學位論文〕（無日期）。臺灣博碩士論文知識加值系統。https://ndltd.ncl.edu.tw/handle/17736567666393003850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[16]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台中捷運接駁公車路線規劃－以捷運櫻花文心站至逢甲商圈為例（無日期）。華藝線上圖書館。https://www.airitilibrary.com/Article/Detail/U0008-1404202110493605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[17]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桃園市政府智慧城鄉發展委員會（無日期）。114年度複審結果公告。https://sccdc.tycg.gov.tw/News_Content.aspx?n=16792&amp;s=1600221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[18]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桃園市政府（無日期）。114年度「為桃園做研究」複審評審規則及流程－研究實作組。https://ws.tycg.gov.tw/Download.ashx?n=54K65qGD5ZyS5YGa56CU56m26KSH5a%2Bp6KaP5YmH5Y%2BK5rWB56iLX%2BeglOeptuWvpuS9nOe1hCjlhazlkYopLnBkZg%3D%3D&amp;u=LzAwMS9VcGxvYWQvMTg2L3JlbGZpbGUvMTgzNzAvMTU5NjMzMC9lNmI1ZmMzNy1lZWNmLTQzYzYtOGI0Ni03NzVlZjZiYzNiZDQucGRm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[19]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交通部TDX運輸資料流通服務（無日期）。公車API規格（Swagger）。https://tdx.transportdata.tw/webapi/File/Swagger/V3/2998e851-81d0-40f5-b26d-77e2f5ac4118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[20]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交通部TDX運輸資料流通服務（無日期）。歷史資料服務。https://tdx.transportdata.tw/data-service/historical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[21]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交通部TDX運輸資料流通服務（無日期）。訂閱方案與存取頻率。https://tdx.transportdata.tw/pricing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[22]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OpenStreetMap contributors（無日期）。OpenStreetMap〔ODbL授權〕。https://www.openstreetmap.org/copyright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[23]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內政部戶政司（2026）。人口統計資料開放API：村里戶數、單一年齡人口（ODRP014/11509）。https://www.ris.gov.tw/rs-opendata/api/v1/datastore/ODRP014/11509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[24]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內政部（無日期）。社會經濟資料服務平台（SEGIS）。https://segis.moi.gov.tw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[25]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桃園資料開放平台（無日期）。桃園市公車運量每月統計〔資料集〕。https://opendata.tycg.gov.tw/datalist/95c565c2-1246-468b-9e5f-89bdd5225ac7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[26]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政府資料開放平臺（無日期）。捷運、公車、Youbike站點公共運輸量分析〔資料集〕。https://data.gov.tw/dataset/173670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[27]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桃園資料開放平台（無日期）。桃園大眾捷運各場站運量每月統計表〔資料集〕。https://opendata.tycg.gov.tw/datalist/7a7e006b-ec19-47ad-8fc8-6640a7a72f8a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[28]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桃園資料開放平台（無日期）。公車路線資料（含站址表連結）〔資料集〕。https://opendata.tycg.gov.tw/datalist/d7a0513d-1a91-4ae6-a06f-fbf83190ab2a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[29]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經濟部產業園區管理局（2026）。產業園區範圍圖〔SHP，檔案日期2026年4月30日；政府資料開放授權條款第1版〕。https://land.bip.gov.tw/supply/Policy/Show?id=49 ；https://data.gov.tw/dataset/25598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[30]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Boeing, G.（無日期）。OSMnx〔軟體〕。https://github.com/gboeing/osmnx</w:t>
      </w:r>
    </w:p>
    <w:p>
      <w:pPr>
        <w:tabs>
          <w:tab w:pos="567" w:val="left"/>
        </w:tabs>
        <w:spacing w:lineRule="exact" w:line="360" w:before="0" w:after="0"/>
        <w:ind w:left="567" w:hanging="567"/>
        <w:jc w:val="left"/>
      </w:pPr>
      <w:r>
        <w:rPr>
          <w:rFonts w:ascii="Times New Roman" w:hAnsi="Times New Roman" w:cs="Times New Roman" w:eastAsia="標楷體"/>
          <w:b w:val="0"/>
          <w:i w:val="0"/>
          <w:sz w:val="24"/>
        </w:rPr>
        <w:t>[31]</w:t>
        <w:tab/>
      </w:r>
      <w:r>
        <w:rPr>
          <w:rFonts w:ascii="Times New Roman" w:hAnsi="Times New Roman" w:cs="Times New Roman" w:eastAsia="標楷體"/>
          <w:b w:val="0"/>
          <w:i w:val="0"/>
          <w:sz w:val="24"/>
        </w:rPr>
        <w:t>桃園市政府智慧城鄉發展委員會（2026）。【為桃園做研究】115年度桃園市政府大專校院學生創新點子及研究實作競賽活動簡章。https://otc.uch.edu.tw/uploads/bulletin_file/file/6a9a532e8861620f32000517/%E7%AB%B6%E8%B3%BD%E6%B4%BB%E5%8B%95%E7%B0%A1%E7%AB%A0.pdf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Rule="exact" w:line="360" w:before="0" w:after="0"/>
      <w:jc w:val="center"/>
    </w:pPr>
    <w:r>
      <w:rPr>
        <w:rFonts w:ascii="Times New Roman" w:hAnsi="Times New Roman" w:cs="Times New Roman" w:eastAsia="標楷體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360" w:after="0"/>
    </w:pPr>
    <w:rPr>
      <w:rFonts w:ascii="Times New Roman" w:hAnsi="Times New Roman" w:cs="Times New Roman" w:eastAsia="標楷體"/>
      <w:sz w:val="28"/>
      <w:lang w:val="en-US" w:eastAsia="zh-T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把司機用在刀口上：綠線公車駕駛人力再配置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