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003366"/>
          <w:sz w:val="56"/>
        </w:rPr>
        <w:t>异构机器人融合平台 v5.1 (完整堡垒版)</w:t>
      </w:r>
    </w:p>
    <w:p>
      <w:pPr>
        <w:jc w:val="center"/>
      </w:pPr>
      <w:r>
        <w:rPr>
          <w:rFonts w:ascii="微软雅黑" w:hAnsi="微软雅黑" w:eastAsia="微软雅黑"/>
          <w:b/>
        </w:rPr>
        <w:t>设计、运维与合规交付手册</w:t>
      </w:r>
    </w:p>
    <w:p>
      <w:pPr>
        <w:jc w:val="center"/>
      </w:pPr>
      <w:r>
        <w:rPr>
          <w:rFonts w:ascii="微软雅黑" w:hAnsi="微软雅黑" w:eastAsia="微软雅黑"/>
        </w:rPr>
        <w:t>生成日期: 2026年07月08日</w:t>
      </w:r>
    </w:p>
    <w:p>
      <w:r>
        <w:br w:type="page"/>
      </w:r>
    </w:p>
    <w:p>
      <w:pPr>
        <w:pStyle w:val="Heading1"/>
      </w:pPr>
      <w:r>
        <w:t>核心哲学</w:t>
      </w:r>
    </w:p>
    <w:p>
      <w:r>
        <w:rPr>
          <w:b/>
        </w:rPr>
        <w:t>"降维打击"</w:t>
      </w:r>
      <w:r>
        <w:t>：通过"固定路径 + 信号灯"简化导航问题。</w:t>
        <w:br/>
      </w:r>
      <w:r>
        <w:rPr>
          <w:b/>
        </w:rPr>
        <w:t>"时空分离"</w:t>
      </w:r>
      <w:r>
        <w:t>：平台调度与机器人感知（SCS）解耦。</w:t>
      </w:r>
    </w:p>
    <w:p>
      <w:pPr>
        <w:pStyle w:val="Heading1"/>
      </w:pPr>
      <w:r>
        <w:t>1. 三大铁律（治理层核心）</w:t>
      </w:r>
    </w:p>
    <w:p>
      <w:r>
        <w:rPr>
          <w:b/>
        </w:rPr>
        <w:t>🔒 铁律一：治理层——零信任博弈</w:t>
      </w:r>
      <w:r>
        <w:br/>
        <w:t>哲学：任何跨边界的数据默认脏，任何参与者默认是机会主义者。</w:t>
        <w:br/>
        <w:t>执行：交叉验证状态（电量 vs 功耗）、信誉度加权调度、防御性编程（假设下游崩溃）。</w:t>
      </w:r>
    </w:p>
    <w:p>
      <w:r>
        <w:rPr>
          <w:b/>
        </w:rPr>
        <w:t>🛡️ 铁律二：物理层——熵增冗余</w:t>
      </w:r>
      <w:r>
        <w:br/>
        <w:t>哲学：逻辑追求最优，物理必须为最坏买单。</w:t>
        <w:br/>
        <w:t>执行：快慢车道物理隔离、时空硬边界（资源生存锁。</w:t>
      </w:r>
    </w:p>
    <w:p>
      <w:r>
        <w:rPr>
          <w:b/>
        </w:rPr>
        <w:t>⚖️ 铁律三：生存层——因果存证</w:t>
      </w:r>
      <w:r>
        <w:br/>
        <w:t>哲学：事故后 5 分钟内无法还原因果链，系统在法律上非法。</w:t>
        <w:br/>
        <w:t>执行：WORM 黑匣子（不可篡改）、全链路因果图谱、降级生存权（断网本地安全停车）。</w:t>
      </w:r>
    </w:p>
    <w:p>
      <w:pPr>
        <w:pStyle w:val="Heading1"/>
      </w:pPr>
      <w:r>
        <w:t>2. 18个灰犀牛防御矩阵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#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类别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陷阱名称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一句话补丁/策略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  <w:shd w:fill="FFFFFF"/>
          </w:tcPr>
          <w:p>
            <w:r>
              <w:t>逻辑</w:t>
            </w:r>
          </w:p>
        </w:tc>
        <w:tc>
          <w:tcPr>
            <w:tcW w:type="dxa" w:w="2160"/>
            <w:shd w:fill="FFFFFF"/>
          </w:tcPr>
          <w:p>
            <w:r>
              <w:t>任务分配缺位</w:t>
            </w:r>
          </w:p>
        </w:tc>
        <w:tc>
          <w:tcPr>
            <w:tcW w:type="dxa" w:w="2160"/>
            <w:shd w:fill="FFFFFF"/>
          </w:tcPr>
          <w:p>
            <w:r>
              <w:t>贪心起步 + 信誉度加权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  <w:shd w:fill="FFFFFF"/>
          </w:tcPr>
          <w:p>
            <w:r>
              <w:t>逻辑</w:t>
            </w:r>
          </w:p>
        </w:tc>
        <w:tc>
          <w:tcPr>
            <w:tcW w:type="dxa" w:w="2160"/>
            <w:shd w:fill="FFFFFF"/>
          </w:tcPr>
          <w:p>
            <w:r>
              <w:t>僵尸占位</w:t>
            </w:r>
          </w:p>
        </w:tc>
        <w:tc>
          <w:tcPr>
            <w:tcW w:type="dxa" w:w="2160"/>
            <w:shd w:fill="FFFFFF"/>
          </w:tcPr>
          <w:p>
            <w:r>
              <w:t>30s 硬超时清理 + 广播释放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  <w:shd w:fill="FFFFFF"/>
          </w:tcPr>
          <w:p>
            <w:r>
              <w:t>逻辑</w:t>
            </w:r>
          </w:p>
        </w:tc>
        <w:tc>
          <w:tcPr>
            <w:tcW w:type="dxa" w:w="2160"/>
            <w:shd w:fill="FFFFFF"/>
          </w:tcPr>
          <w:p>
            <w:r>
              <w:t>冷启动流量冲击</w:t>
            </w:r>
          </w:p>
        </w:tc>
        <w:tc>
          <w:tcPr>
            <w:tcW w:type="dxa" w:w="2160"/>
            <w:shd w:fill="FFFFFF"/>
          </w:tcPr>
          <w:p>
            <w:r>
              <w:t>启动错峰，注册间隔 ≥ 5s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  <w:shd w:fill="FFFFFF"/>
          </w:tcPr>
          <w:p>
            <w:r>
              <w:t>逻辑</w:t>
            </w:r>
          </w:p>
        </w:tc>
        <w:tc>
          <w:tcPr>
            <w:tcW w:type="dxa" w:w="2160"/>
            <w:shd w:fill="FFFFFF"/>
          </w:tcPr>
          <w:p>
            <w:r>
              <w:t>级联延迟放大</w:t>
            </w:r>
          </w:p>
        </w:tc>
        <w:tc>
          <w:tcPr>
            <w:tcW w:type="dxa" w:w="2160"/>
            <w:shd w:fill="FFFFFF"/>
          </w:tcPr>
          <w:p>
            <w:r>
              <w:t>滚动时域，只排未来 5s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  <w:shd w:fill="FFFFFF"/>
          </w:tcPr>
          <w:p>
            <w:r>
              <w:t>逻辑</w:t>
            </w:r>
          </w:p>
        </w:tc>
        <w:tc>
          <w:tcPr>
            <w:tcW w:type="dxa" w:w="2160"/>
            <w:shd w:fill="FFFFFF"/>
          </w:tcPr>
          <w:p>
            <w:r>
              <w:t>并发写冲突</w:t>
            </w:r>
          </w:p>
        </w:tc>
        <w:tc>
          <w:tcPr>
            <w:tcW w:type="dxa" w:w="2160"/>
            <w:shd w:fill="FFFFFF"/>
          </w:tcPr>
          <w:p>
            <w:r>
              <w:t>etcd 分布式锁 / Raft 协议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  <w:shd w:fill="FFFFFF"/>
          </w:tcPr>
          <w:p>
            <w:r>
              <w:t>逻辑</w:t>
            </w:r>
          </w:p>
        </w:tc>
        <w:tc>
          <w:tcPr>
            <w:tcW w:type="dxa" w:w="2160"/>
            <w:shd w:fill="FFFFFF"/>
          </w:tcPr>
          <w:p>
            <w:r>
              <w:t>饥饿死锁</w:t>
            </w:r>
          </w:p>
        </w:tc>
        <w:tc>
          <w:tcPr>
            <w:tcW w:type="dxa" w:w="2160"/>
            <w:shd w:fill="FFFFFF"/>
          </w:tcPr>
          <w:p>
            <w:r>
              <w:t>任务队列加权轮询 + 老化机制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  <w:shd w:fill="FFFFFF"/>
          </w:tcPr>
          <w:p>
            <w:r>
              <w:t>逻辑</w:t>
            </w:r>
          </w:p>
        </w:tc>
        <w:tc>
          <w:tcPr>
            <w:tcW w:type="dxa" w:w="2160"/>
            <w:shd w:fill="FFFFFF"/>
          </w:tcPr>
          <w:p>
            <w:r>
              <w:t>版本泥潭</w:t>
            </w:r>
          </w:p>
        </w:tc>
        <w:tc>
          <w:tcPr>
            <w:tcW w:type="dxa" w:w="2160"/>
            <w:shd w:fill="FFFFFF"/>
          </w:tcPr>
          <w:p>
            <w:r>
              <w:t>Adapter SDK 独立版本，承诺 N-1 兼容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  <w:shd w:fill="C5E0B4"/>
          </w:tcPr>
          <w:p>
            <w:r>
              <w:t>运维</w:t>
            </w:r>
          </w:p>
        </w:tc>
        <w:tc>
          <w:tcPr>
            <w:tcW w:type="dxa" w:w="2160"/>
            <w:shd w:fill="C5E0B4"/>
          </w:tcPr>
          <w:p>
            <w:r>
              <w:t>人工介入风险</w:t>
            </w:r>
          </w:p>
        </w:tc>
        <w:tc>
          <w:tcPr>
            <w:tcW w:type="dxa" w:w="2160"/>
            <w:shd w:fill="C5E0B4"/>
          </w:tcPr>
          <w:p>
            <w:r>
              <w:t>Zone Lockdown + God Mode (Wifi Direct)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  <w:shd w:fill="C5E0B4"/>
          </w:tcPr>
          <w:p>
            <w:r>
              <w:t>运维</w:t>
            </w:r>
          </w:p>
        </w:tc>
        <w:tc>
          <w:tcPr>
            <w:tcW w:type="dxa" w:w="2160"/>
            <w:shd w:fill="C5E0B4"/>
          </w:tcPr>
          <w:p>
            <w:r>
              <w:t>Adapter 僵尸</w:t>
            </w:r>
          </w:p>
        </w:tc>
        <w:tc>
          <w:tcPr>
            <w:tcW w:type="dxa" w:w="2160"/>
            <w:shd w:fill="C5E0B4"/>
          </w:tcPr>
          <w:p>
            <w:r>
              <w:t>心跳超时 3 次，自动重启进程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  <w:shd w:fill="C5E0B4"/>
          </w:tcPr>
          <w:p>
            <w:r>
              <w:t>运维</w:t>
            </w:r>
          </w:p>
        </w:tc>
        <w:tc>
          <w:tcPr>
            <w:tcW w:type="dxa" w:w="2160"/>
            <w:shd w:fill="C5E0B4"/>
          </w:tcPr>
          <w:p>
            <w:r>
              <w:t>WORM 衰减</w:t>
            </w:r>
          </w:p>
        </w:tc>
        <w:tc>
          <w:tcPr>
            <w:tcW w:type="dxa" w:w="2160"/>
            <w:shd w:fill="C5E0B4"/>
          </w:tcPr>
          <w:p>
            <w:r>
              <w:t>磁盘容量监控 &lt; 20% 告警，自动转储冷存储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  <w:shd w:fill="C5E0B4"/>
          </w:tcPr>
          <w:p>
            <w:r>
              <w:t>运维</w:t>
            </w:r>
          </w:p>
        </w:tc>
        <w:tc>
          <w:tcPr>
            <w:tcW w:type="dxa" w:w="2160"/>
            <w:shd w:fill="C5E0B4"/>
          </w:tcPr>
          <w:p>
            <w:r>
              <w:t>知识断层</w:t>
            </w:r>
          </w:p>
        </w:tc>
        <w:tc>
          <w:tcPr>
            <w:tcW w:type="dxa" w:w="2160"/>
            <w:shd w:fill="C5E0B4"/>
          </w:tcPr>
          <w:p>
            <w:r>
              <w:t>etcd 集中配置 + 轮值主备工程师制度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  <w:shd w:fill="C5E0B4"/>
          </w:tcPr>
          <w:p>
            <w:r>
              <w:t>运维</w:t>
            </w:r>
          </w:p>
        </w:tc>
        <w:tc>
          <w:tcPr>
            <w:tcW w:type="dxa" w:w="2160"/>
            <w:shd w:fill="C5E0B4"/>
          </w:tcPr>
          <w:p>
            <w:r>
              <w:t>验收陷阱</w:t>
            </w:r>
          </w:p>
        </w:tc>
        <w:tc>
          <w:tcPr>
            <w:tcW w:type="dxa" w:w="2160"/>
            <w:shd w:fill="C5E0B4"/>
          </w:tcPr>
          <w:p>
            <w:r>
              <w:t>Ground Truth 校验清单 + 签字确认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  <w:shd w:fill="FFD966"/>
          </w:tcPr>
          <w:p>
            <w:r>
              <w:t>物理</w:t>
            </w:r>
          </w:p>
        </w:tc>
        <w:tc>
          <w:tcPr>
            <w:tcW w:type="dxa" w:w="2160"/>
            <w:shd w:fill="FFD966"/>
          </w:tcPr>
          <w:p>
            <w:r>
              <w:t>坐标漂移</w:t>
            </w:r>
          </w:p>
        </w:tc>
        <w:tc>
          <w:tcPr>
            <w:tcW w:type="dxa" w:w="2160"/>
            <w:shd w:fill="FFD966"/>
          </w:tcPr>
          <w:p>
            <w:r>
              <w:t>动态安全公式 S = V×K + RTT×V + C_static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  <w:shd w:fill="FFD966"/>
          </w:tcPr>
          <w:p>
            <w:r>
              <w:t>物理</w:t>
            </w:r>
          </w:p>
        </w:tc>
        <w:tc>
          <w:tcPr>
            <w:tcW w:type="dxa" w:w="2160"/>
            <w:shd w:fill="FFD966"/>
          </w:tcPr>
          <w:p>
            <w:r>
              <w:t>金属反射</w:t>
            </w:r>
          </w:p>
        </w:tc>
        <w:tc>
          <w:tcPr>
            <w:tcW w:type="dxa" w:w="2160"/>
            <w:shd w:fill="FFD966"/>
          </w:tcPr>
          <w:p>
            <w:r>
              <w:t>采购强制选型：带反射强度的激光雷达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  <w:shd w:fill="FFD966"/>
          </w:tcPr>
          <w:p>
            <w:r>
              <w:t>物理</w:t>
            </w:r>
          </w:p>
        </w:tc>
        <w:tc>
          <w:tcPr>
            <w:tcW w:type="dxa" w:w="2160"/>
            <w:shd w:fill="FFD966"/>
          </w:tcPr>
          <w:p>
            <w:r>
              <w:t>光照退化</w:t>
            </w:r>
          </w:p>
        </w:tc>
        <w:tc>
          <w:tcPr>
            <w:tcW w:type="dxa" w:w="2160"/>
            <w:shd w:fill="FFD966"/>
          </w:tcPr>
          <w:p>
            <w:r>
              <w:t>采购强制选型：工业级相机 + 主动补光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  <w:shd w:fill="FFD966"/>
          </w:tcPr>
          <w:p>
            <w:r>
              <w:t>物理</w:t>
            </w:r>
          </w:p>
        </w:tc>
        <w:tc>
          <w:tcPr>
            <w:tcW w:type="dxa" w:w="2160"/>
            <w:shd w:fill="FFD966"/>
          </w:tcPr>
          <w:p>
            <w:r>
              <w:t>地面摩擦系数</w:t>
            </w:r>
          </w:p>
        </w:tc>
        <w:tc>
          <w:tcPr>
            <w:tcW w:type="dxa" w:w="2160"/>
            <w:shd w:fill="FFD966"/>
          </w:tcPr>
          <w:p>
            <w:r>
              <w:t>验收强制标准：干燥工况摩擦系数 &gt; 0.4，禁止油污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  <w:shd w:fill="FFC7CE"/>
          </w:tcPr>
          <w:p>
            <w:r>
              <w:t>安全</w:t>
            </w:r>
          </w:p>
        </w:tc>
        <w:tc>
          <w:tcPr>
            <w:tcW w:type="dxa" w:w="2160"/>
            <w:shd w:fill="FFC7CE"/>
          </w:tcPr>
          <w:p>
            <w:r>
              <w:t>DDS 加密</w:t>
            </w:r>
          </w:p>
        </w:tc>
        <w:tc>
          <w:tcPr>
            <w:tcW w:type="dxa" w:w="2160"/>
            <w:shd w:fill="FFC7CE"/>
          </w:tcPr>
          <w:p>
            <w:r>
              <w:t>默认启用 DDS Security Plugin，性能损耗计入 RTT 冗余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  <w:shd w:fill="FFC7CE"/>
          </w:tcPr>
          <w:p>
            <w:r>
              <w:t>安全</w:t>
            </w:r>
          </w:p>
        </w:tc>
        <w:tc>
          <w:tcPr>
            <w:tcW w:type="dxa" w:w="2160"/>
            <w:shd w:fill="FFC7CE"/>
          </w:tcPr>
          <w:p>
            <w:r>
              <w:t>身份漂移</w:t>
            </w:r>
          </w:p>
        </w:tc>
        <w:tc>
          <w:tcPr>
            <w:tcW w:type="dxa" w:w="2160"/>
            <w:shd w:fill="FFC7CE"/>
          </w:tcPr>
          <w:p>
            <w:r>
              <w:t>基于 boot_id 监控，重启期间冻结时间窗（乐观等待+悲观超时）</w:t>
            </w:r>
          </w:p>
        </w:tc>
      </w:tr>
    </w:tbl>
    <w:p>
      <w:pPr>
        <w:pStyle w:val="Heading1"/>
      </w:pPr>
      <w:r>
        <w:t>3. 技术规格与边界</w:t>
      </w:r>
    </w:p>
    <w:p>
      <w:pPr>
        <w:pStyle w:val="ListBullet"/>
      </w:pPr>
      <w:r>
        <w:rPr>
          <w:b/>
        </w:rPr>
        <w:t>动态安全公式：</w:t>
      </w:r>
      <w:r>
        <w:t>S = V × K_brake + RTT × V + C_static。约束：T_min 绝对不低于 1.5s（硬下限）。</w:t>
      </w:r>
    </w:p>
    <w:p>
      <w:pPr>
        <w:pStyle w:val="ListBullet"/>
      </w:pPr>
      <w:r>
        <w:rPr>
          <w:b/>
        </w:rPr>
        <w:t>DDS 加密损耗：</w:t>
      </w:r>
      <w:r>
        <w:t>加密增加约 15% RTT，已在公式中预留容限。</w:t>
      </w:r>
    </w:p>
    <w:p>
      <w:pPr>
        <w:pStyle w:val="ListBullet"/>
      </w:pPr>
      <w:r>
        <w:rPr>
          <w:b/>
        </w:rPr>
        <w:t>时间同步：</w:t>
      </w:r>
      <w:r>
        <w:t>默认 NTP (&lt;10ms)。动态避障场景必须升级 PTP (&lt;1ms)。</w:t>
      </w:r>
    </w:p>
    <w:p>
      <w:pPr>
        <w:pStyle w:val="ListBullet"/>
      </w:pPr>
      <w:r>
        <w:rPr>
          <w:b/>
        </w:rPr>
        <w:t>经济模型 (RaaS)：</w:t>
      </w:r>
      <w:r>
        <w:t>Task Allocator 效用函数预留 gamma 权重（成本因子）。当前 gamma=0.0，未来配置启用。</w:t>
      </w:r>
    </w:p>
    <w:p>
      <w:pPr>
        <w:pStyle w:val="ListBullet"/>
      </w:pPr>
      <w:r>
        <w:rPr>
          <w:b/>
        </w:rPr>
        <w:t>隐私合规：</w:t>
      </w:r>
      <w:r>
        <w:t>数据最小化。视觉数据本地去特征化处理，仅上传骨骼点；日志中人员 ID 使用 Hash 脱敏。</w:t>
      </w:r>
    </w:p>
    <w:p>
      <w:pPr>
        <w:pStyle w:val="Heading1"/>
      </w:pPr>
      <w:r>
        <w:t>4. Sprint 实施路线图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rFonts w:ascii="微软雅黑" w:hAnsi="微软雅黑" w:eastAsia="微软雅黑"/>
                <w:b/>
              </w:rPr>
              <w:t>Sprint</w:t>
            </w:r>
          </w:p>
        </w:tc>
        <w:tc>
          <w:tcPr>
            <w:tcW w:type="dxa" w:w="2880"/>
            <w:shd w:fill="4472C4"/>
          </w:tcPr>
          <w:p>
            <w:r>
              <w:rPr>
                <w:rFonts w:ascii="微软雅黑" w:hAnsi="微软雅黑" w:eastAsia="微软雅黑"/>
                <w:b/>
              </w:rPr>
              <w:t>周期</w:t>
            </w:r>
          </w:p>
        </w:tc>
        <w:tc>
          <w:tcPr>
            <w:tcW w:type="dxa" w:w="2880"/>
            <w:shd w:fill="4472C4"/>
          </w:tcPr>
          <w:p>
            <w:r>
              <w:rPr>
                <w:rFonts w:ascii="微软雅黑" w:hAnsi="微软雅黑" w:eastAsia="微软雅黑"/>
                <w:b/>
              </w:rPr>
              <w:t>核心目标</w:t>
            </w:r>
          </w:p>
        </w:tc>
      </w:tr>
      <w:tr>
        <w:tc>
          <w:tcPr>
            <w:tcW w:type="dxa" w:w="2880"/>
            <w:shd w:fill="E7E6E6"/>
          </w:tcPr>
          <w:p>
            <w:r>
              <w:t>0</w:t>
            </w:r>
          </w:p>
        </w:tc>
        <w:tc>
          <w:tcPr>
            <w:tcW w:type="dxa" w:w="2880"/>
            <w:shd w:fill="E7E6E6"/>
          </w:tcPr>
          <w:p>
            <w:r>
              <w:t>1-2周</w:t>
            </w:r>
          </w:p>
        </w:tc>
        <w:tc>
          <w:tcPr>
            <w:tcW w:type="dxa" w:w="2880"/>
            <w:shd w:fill="E7E6E6"/>
          </w:tcPr>
          <w:p>
            <w:r>
              <w:t>基础设施：PTP/NTP/DDS-Security/etcd/WORM 部署</w:t>
            </w:r>
          </w:p>
        </w:tc>
      </w:tr>
      <w:tr>
        <w:tc>
          <w:tcPr>
            <w:tcW w:type="dxa" w:w="2880"/>
            <w:shd w:fill="E7E6E6"/>
          </w:tcPr>
          <w:p>
            <w:r>
              <w:t>1</w:t>
            </w:r>
          </w:p>
        </w:tc>
        <w:tc>
          <w:tcPr>
            <w:tcW w:type="dxa" w:w="2880"/>
            <w:shd w:fill="E7E6E6"/>
          </w:tcPr>
          <w:p>
            <w:r>
              <w:t>2-3周</w:t>
            </w:r>
          </w:p>
        </w:tc>
        <w:tc>
          <w:tcPr>
            <w:tcW w:type="dxa" w:w="2880"/>
            <w:shd w:fill="E7E6E6"/>
          </w:tcPr>
          <w:p>
            <w:r>
              <w:t>仿真压测：信号灯/死锁/主备/告警抑制</w:t>
            </w:r>
          </w:p>
        </w:tc>
      </w:tr>
      <w:tr>
        <w:tc>
          <w:tcPr>
            <w:tcW w:type="dxa" w:w="2880"/>
            <w:shd w:fill="E7E6E6"/>
          </w:tcPr>
          <w:p>
            <w:r>
              <w:t>2</w:t>
            </w:r>
          </w:p>
        </w:tc>
        <w:tc>
          <w:tcPr>
            <w:tcW w:type="dxa" w:w="2880"/>
            <w:shd w:fill="E7E6E6"/>
          </w:tcPr>
          <w:p>
            <w:r>
              <w:t>2-3周</w:t>
            </w:r>
          </w:p>
        </w:tc>
        <w:tc>
          <w:tcPr>
            <w:tcW w:type="dxa" w:w="2880"/>
            <w:shd w:fill="E7E6E6"/>
          </w:tcPr>
          <w:p>
            <w:r>
              <w:t>单品牌闭环：影子状态机/熔断/硬编码后退</w:t>
            </w:r>
          </w:p>
        </w:tc>
      </w:tr>
      <w:tr>
        <w:tc>
          <w:tcPr>
            <w:tcW w:type="dxa" w:w="2880"/>
            <w:shd w:fill="E7E6E6"/>
          </w:tcPr>
          <w:p>
            <w:r>
              <w:t>2.5</w:t>
            </w:r>
          </w:p>
        </w:tc>
        <w:tc>
          <w:tcPr>
            <w:tcW w:type="dxa" w:w="2880"/>
            <w:shd w:fill="E7E6E6"/>
          </w:tcPr>
          <w:p>
            <w:r>
              <w:t>2周</w:t>
            </w:r>
          </w:p>
        </w:tc>
        <w:tc>
          <w:tcPr>
            <w:tcW w:type="dxa" w:w="2880"/>
            <w:shd w:fill="E7E6E6"/>
          </w:tcPr>
          <w:p>
            <w:r>
              <w:t>业务网关：WMS/MES 对接（独立部署）</w:t>
            </w:r>
          </w:p>
        </w:tc>
      </w:tr>
      <w:tr>
        <w:tc>
          <w:tcPr>
            <w:tcW w:type="dxa" w:w="2880"/>
            <w:shd w:fill="E7E6E6"/>
          </w:tcPr>
          <w:p>
            <w:r>
              <w:t>3</w:t>
            </w:r>
          </w:p>
        </w:tc>
        <w:tc>
          <w:tcPr>
            <w:tcW w:type="dxa" w:w="2880"/>
            <w:shd w:fill="E7E6E6"/>
          </w:tcPr>
          <w:p>
            <w:r>
              <w:t>3-4周</w:t>
            </w:r>
          </w:p>
        </w:tc>
        <w:tc>
          <w:tcPr>
            <w:tcW w:type="dxa" w:w="2880"/>
            <w:shd w:fill="E7E6E6"/>
          </w:tcPr>
          <w:p>
            <w:r>
              <w:t>多品牌接入：能力向量/车道/身份漂移</w:t>
            </w:r>
          </w:p>
        </w:tc>
      </w:tr>
      <w:tr>
        <w:tc>
          <w:tcPr>
            <w:tcW w:type="dxa" w:w="2880"/>
            <w:shd w:fill="E7E6E6"/>
          </w:tcPr>
          <w:p>
            <w:r>
              <w:t>4</w:t>
            </w:r>
          </w:p>
        </w:tc>
        <w:tc>
          <w:tcPr>
            <w:tcW w:type="dxa" w:w="2880"/>
            <w:shd w:fill="E7E6E6"/>
          </w:tcPr>
          <w:p>
            <w:r>
              <w:t>3-4周</w:t>
            </w:r>
          </w:p>
        </w:tc>
        <w:tc>
          <w:tcPr>
            <w:tcW w:type="dxa" w:w="2880"/>
            <w:shd w:fill="E7E6E6"/>
          </w:tcPr>
          <w:p>
            <w:r>
              <w:t>真机联调：故障注入/VIL/Playback</w:t>
            </w:r>
          </w:p>
        </w:tc>
      </w:tr>
      <w:tr>
        <w:tc>
          <w:tcPr>
            <w:tcW w:type="dxa" w:w="2880"/>
            <w:shd w:fill="E7E6E6"/>
          </w:tcPr>
          <w:p>
            <w:r>
              <w:t>5</w:t>
            </w:r>
          </w:p>
        </w:tc>
        <w:tc>
          <w:tcPr>
            <w:tcW w:type="dxa" w:w="2880"/>
            <w:shd w:fill="E7E6E6"/>
          </w:tcPr>
          <w:p>
            <w:r>
              <w:t>3-4周</w:t>
            </w:r>
          </w:p>
        </w:tc>
        <w:tc>
          <w:tcPr>
            <w:tcW w:type="dxa" w:w="2880"/>
            <w:shd w:fill="E7E6E6"/>
          </w:tcPr>
          <w:p>
            <w:r>
              <w:t>治理层：信誉度/经济模型接口/认证</w:t>
            </w:r>
          </w:p>
        </w:tc>
      </w:tr>
      <w:tr>
        <w:tc>
          <w:tcPr>
            <w:tcW w:type="dxa" w:w="2880"/>
            <w:shd w:fill="E7E6E6"/>
          </w:tcPr>
          <w:p>
            <w:r>
              <w:t>6</w:t>
            </w:r>
          </w:p>
        </w:tc>
        <w:tc>
          <w:tcPr>
            <w:tcW w:type="dxa" w:w="2880"/>
            <w:shd w:fill="E7E6E6"/>
          </w:tcPr>
          <w:p>
            <w:r>
              <w:t>2-3周</w:t>
            </w:r>
          </w:p>
        </w:tc>
        <w:tc>
          <w:tcPr>
            <w:tcW w:type="dxa" w:w="2880"/>
            <w:shd w:fill="E7E6E6"/>
          </w:tcPr>
          <w:p>
            <w:r>
              <w:t>产品化：模板/孪生/Escrow 协议/隐私合规</w:t>
            </w:r>
          </w:p>
        </w:tc>
      </w:tr>
    </w:tbl>
    <w:p>
      <w:r>
        <w:br w:type="page"/>
      </w:r>
    </w:p>
    <w:p>
      <w:pPr>
        <w:pStyle w:val="Heading1"/>
      </w:pPr>
      <w:r>
        <w:t>5. 运维与应急响应 (Runbook)</w:t>
      </w:r>
    </w:p>
    <w:p>
      <w:pPr>
        <w:pStyle w:val="Heading2"/>
      </w:pPr>
      <w:r>
        <w:t>5.1 核心监控 (Grafana)</w:t>
      </w:r>
    </w:p>
    <w:p>
      <w:pPr>
        <w:pStyle w:val="ListBullet"/>
      </w:pPr>
      <w:r>
        <w:t>全局健康状态（在线/离线/E-Stop）</w:t>
      </w:r>
    </w:p>
    <w:p>
      <w:pPr>
        <w:pStyle w:val="ListBullet"/>
      </w:pPr>
      <w:r>
        <w:t>吞吐量 + 队列深度</w:t>
      </w:r>
    </w:p>
    <w:p>
      <w:pPr>
        <w:pStyle w:val="ListBullet"/>
      </w:pPr>
      <w:r>
        <w:t>E2E 延迟 (RTT)</w:t>
      </w:r>
    </w:p>
    <w:p>
      <w:pPr>
        <w:pStyle w:val="ListBullet"/>
      </w:pPr>
      <w:r>
        <w:t>死锁/冲突计数器</w:t>
      </w:r>
    </w:p>
    <w:p>
      <w:pPr>
        <w:pStyle w:val="ListBullet"/>
      </w:pPr>
      <w:r>
        <w:t>WORM 状态（写入率/容量）</w:t>
      </w:r>
    </w:p>
    <w:p>
      <w:pPr>
        <w:pStyle w:val="Heading2"/>
      </w:pPr>
      <w:r>
        <w:t>5.2 SOP-A：全场死锁</w:t>
      </w:r>
    </w:p>
    <w:p>
      <w:pPr>
        <w:pStyle w:val="ListNumber"/>
      </w:pPr>
      <w:r>
        <w:t>1. 一键解锁：系统强制最低优先级车后退 3m。</w:t>
      </w:r>
    </w:p>
    <w:p>
      <w:pPr>
        <w:pStyle w:val="ListNumber"/>
      </w:pPr>
      <w:r>
        <w:t>2. Zone Lockdown：若无效，选中区域冻结，发送 Level 0 E-Stop。</w:t>
      </w:r>
    </w:p>
    <w:p>
      <w:pPr>
        <w:pStyle w:val="ListNumber"/>
      </w:pPr>
      <w:r>
        <w:t>3. 上帝手柄：使用 Wifi Direct 直连底盘，绕过网络物理接管。</w:t>
      </w:r>
    </w:p>
    <w:p>
      <w:pPr>
        <w:pStyle w:val="Heading2"/>
      </w:pPr>
      <w:r>
        <w:t>5.6 SOP-E：网络分区与脑裂</w:t>
      </w:r>
    </w:p>
    <w:p>
      <w:pPr>
        <w:pStyle w:val="ListNumber"/>
      </w:pPr>
      <w:r>
        <w:t>1. 客户端降级：心跳丢失 &gt;5s，切换离线安全模式（停车）。</w:t>
      </w:r>
    </w:p>
    <w:p>
      <w:pPr>
        <w:pStyle w:val="ListNumber"/>
      </w:pPr>
      <w:r>
        <w:t>2. 脑裂防护：etcd Lease 机制，无 Lease 禁止写指令。</w:t>
      </w:r>
    </w:p>
    <w:p>
      <w:pPr>
        <w:pStyle w:val="Heading2"/>
      </w:pPr>
      <w:r>
        <w:t>5.7 SOP-F：数据中毒与恶意注入</w:t>
      </w:r>
    </w:p>
    <w:p>
      <w:pPr>
        <w:pStyle w:val="ListNumber"/>
      </w:pPr>
      <w:r>
        <w:t>1. 识别：交叉验证引擎检测物理不可能状态（瞬移/超速）。</w:t>
      </w:r>
    </w:p>
    <w:p>
      <w:pPr>
        <w:pStyle w:val="ListNumber"/>
      </w:pPr>
      <w:r>
        <w:t>2. 熔断：DDS 踢出违规 Participant，标记为 Malicious。</w:t>
      </w:r>
    </w:p>
    <w:p>
      <w:pPr>
        <w:pStyle w:val="ListNumber"/>
      </w:pPr>
      <w:r>
        <w:t>3. 隔离：远程 E-Stop，通知安保。</w:t>
      </w:r>
    </w:p>
    <w:p>
      <w:pPr>
        <w:pStyle w:val="Heading2"/>
      </w:pPr>
      <w:r>
        <w:t>5.8 Ground Truth 校验清单</w:t>
      </w:r>
    </w:p>
    <w:p>
      <w:pPr>
        <w:pStyle w:val="ListBullet"/>
      </w:pPr>
      <w:r>
        <w:t>- 地图匹配度检查（点云 vs 地图，差异 &gt;2㎡ 告警）</w:t>
      </w:r>
    </w:p>
    <w:p>
      <w:pPr>
        <w:pStyle w:val="ListBullet"/>
      </w:pPr>
      <w:r>
        <w:t>- 地面摩擦系数验收（测试车道满载急停）</w:t>
      </w:r>
    </w:p>
    <w:p>
      <w:pPr>
        <w:pStyle w:val="ListBullet"/>
      </w:pPr>
      <w:r>
        <w:t>- 地标物理宽度校验</w:t>
      </w:r>
    </w:p>
    <w:p>
      <w:r>
        <w:br w:type="page"/>
      </w:r>
    </w:p>
    <w:p>
      <w:pPr>
        <w:pStyle w:val="Heading1"/>
      </w:pPr>
      <w:r>
        <w:t>6. 战略附录</w:t>
      </w:r>
    </w:p>
    <w:p>
      <w:pPr>
        <w:pStyle w:val="Heading2"/>
      </w:pPr>
      <w:r>
        <w:t>附录 B：产品化与生态</w:t>
      </w:r>
    </w:p>
    <w:p>
      <w:r>
        <w:rPr>
          <w:b/>
        </w:rPr>
        <w:t>供应商 Escrow (生前遗嘱)：</w:t>
      </w:r>
      <w:r>
        <w:br/>
        <w:t>强制第三方 Adapter 源码托管。触发条件：厂商破产/停服超 6 个月，甲方有权解锁源码自行维护。</w:t>
      </w:r>
    </w:p>
    <w:p>
      <w:pPr>
        <w:pStyle w:val="Heading2"/>
      </w:pPr>
      <w:r>
        <w:t>附录 D：硬件部署白皮书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激光雷达</w:t>
            </w:r>
          </w:p>
        </w:tc>
        <w:tc>
          <w:tcPr>
            <w:tcW w:type="dxa" w:w="4320"/>
          </w:tcPr>
          <w:p>
            <w:r>
              <w:t>必须有反射强度输出（防金属反射）</w:t>
            </w:r>
          </w:p>
        </w:tc>
      </w:tr>
      <w:tr>
        <w:tc>
          <w:tcPr>
            <w:tcW w:type="dxa" w:w="4320"/>
          </w:tcPr>
          <w:p>
            <w:r>
              <w:t>相机</w:t>
            </w:r>
          </w:p>
        </w:tc>
        <w:tc>
          <w:tcPr>
            <w:tcW w:type="dxa" w:w="4320"/>
          </w:tcPr>
          <w:p>
            <w:r>
              <w:t>工业级 + 偏振片（防光照退化）</w:t>
            </w:r>
          </w:p>
        </w:tc>
      </w:tr>
      <w:tr>
        <w:tc>
          <w:tcPr>
            <w:tcW w:type="dxa" w:w="4320"/>
          </w:tcPr>
          <w:p>
            <w:r>
              <w:t>地面要求</w:t>
            </w:r>
          </w:p>
        </w:tc>
        <w:tc>
          <w:tcPr>
            <w:tcW w:type="dxa" w:w="4320"/>
          </w:tcPr>
          <w:p>
            <w:r>
              <w:t>摩擦系数 &gt; 0.4，无油污/接缝 &gt;5mm（防打滑）</w:t>
            </w:r>
          </w:p>
        </w:tc>
      </w:tr>
      <w:tr>
        <w:tc>
          <w:tcPr>
            <w:tcW w:type="dxa" w:w="4320"/>
          </w:tcPr>
          <w:p>
            <w:r>
              <w:t>WiFi</w:t>
            </w:r>
          </w:p>
        </w:tc>
        <w:tc>
          <w:tcPr>
            <w:tcW w:type="dxa" w:w="4320"/>
          </w:tcPr>
          <w:p>
            <w:r>
              <w:t>定向天线，通道末端信号 &gt; -65dBm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附录 F：安全合规与法律责任</w:t>
      </w:r>
    </w:p>
    <w:p>
      <w:r>
        <w:rPr>
          <w:b/>
        </w:rPr>
        <w:t>隐私保护：</w:t>
      </w:r>
      <w:r>
        <w:br/>
        <w:t>1. 禁止上传原始人脸视频。</w:t>
        <w:br/>
        <w:t>2. 人员日志 Hash 脱敏存储。</w:t>
        <w:br/>
        <w:t>3. 仅事故发生时授权解密。</w:t>
      </w:r>
    </w:p>
    <w:p>
      <w:pPr>
        <w:pStyle w:val="Heading1"/>
      </w:pPr>
      <w:r>
        <w:t>执行口诀</w:t>
      </w:r>
    </w:p>
    <w:p>
      <w:pPr>
        <w:pStyle w:val="IntenseQuote"/>
      </w:pPr>
      <w:r>
        <w:rPr>
          <w:rFonts w:ascii="微软雅黑" w:hAnsi="微软雅黑" w:eastAsia="微软雅黑"/>
        </w:rPr>
        <w:t>"车道即轨道，信号灯即交警；影子状态机是底线，超时熔断是保险；主备切换不停机，本地缓存不断网；平台管效率，Safety Laser管安全；零信任防作弊，熵增冗余防最坏，因果存证保命。"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