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1ebfb251f857116c9cef5a0ddd1e292bdcb29e1"/>
    <w:p>
      <w:pPr>
        <w:pStyle w:val="Heading1"/>
      </w:pPr>
      <w:r>
        <w:t xml:space="preserve">Supplementary Note: Dynamic Estimation of Inhibitory Reversal Potential (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The synaptic conductance reconstruction method relies on the precise knowledge of the inhibitory reversal potential (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). While theoretical values (e.g., –80 mV) are often used, the effective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can vary significantly across preparations. To ensure assumption-free reconstructions, we implemented a data-driven geometric algorithm to estimate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directly from the experimental data.</w:t>
      </w:r>
    </w:p>
    <w:bookmarkStart w:id="9" w:name="geometric-rationale"/>
    <w:p>
      <w:pPr>
        <w:pStyle w:val="Heading2"/>
      </w:pPr>
      <w:r>
        <w:t xml:space="preserve">Geometric Rationale</w:t>
      </w:r>
    </w:p>
    <w:p>
      <w:pPr>
        <w:pStyle w:val="FirstParagraph"/>
      </w:pPr>
      <w:r>
        <w:t xml:space="preserve">The relationship between total conductance (</w:t>
      </w:r>
      <m:oMath>
        <m:sSub>
          <m:e>
            <m:r>
              <m:t>G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</m:oMath>
      <w:r>
        <w:t xml:space="preserve">) and the current y-intercept (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</m:oMath>
      <w:r>
        <w:t xml:space="preserve">) defines a</w:t>
      </w:r>
      <w:r>
        <w:t xml:space="preserve"> </w:t>
      </w:r>
      <w:r>
        <w:t xml:space="preserve">“wedge”</w:t>
      </w:r>
      <w:r>
        <w:t xml:space="preserve"> </w:t>
      </w:r>
      <w:r>
        <w:t xml:space="preserve">in the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</m:oMath>
      <w:r>
        <w:t xml:space="preserve">–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plane. In the absence of excitatory drive (</w:t>
      </w:r>
      <m:oMath>
        <m:sSub>
          <m:e>
            <m:r>
              <m:t>g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 the current balance equation dictates a linear relationship whose slope is determined by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L</m:t>
            </m:r>
          </m:sub>
        </m:sSub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leak current at the inhibitory reversal potential as defined in the Methods. Geometrically, the line of pure inhibition defined by Equation </w:t>
      </w:r>
      <w:hyperlink w:anchor="eq:ei_boundary">
        <w:r>
          <w:rPr>
            <w:rStyle w:val="Hyperlink"/>
          </w:rPr>
          <w:t xml:space="preserve">[eq:ei_boundary]</w:t>
        </w:r>
      </w:hyperlink>
      <w:r>
        <w:t xml:space="preserve"> </w:t>
      </w:r>
      <w:r>
        <w:t xml:space="preserve">forms a strict upper boundary for the data trajectory in the wedge plot.</w:t>
      </w:r>
    </w:p>
    <w:bookmarkEnd w:id="9"/>
    <w:bookmarkStart w:id="10" w:name="tight-fit-geometric-algorithm"/>
    <w:p>
      <w:pPr>
        <w:pStyle w:val="Heading2"/>
      </w:pPr>
      <w:r>
        <w:t xml:space="preserve">Tight-Fit Geometric Algorithm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robustly, we use a geometric pivoting algorithm that identifies the optimal value of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such that Equation </w:t>
      </w:r>
      <w:hyperlink w:anchor="eq:ei_boundary">
        <w:r>
          <w:rPr>
            <w:rStyle w:val="Hyperlink"/>
          </w:rPr>
          <w:t xml:space="preserve">[eq:ei_boundary]</w:t>
        </w:r>
      </w:hyperlink>
      <w:r>
        <w:t xml:space="preserve"> </w:t>
      </w:r>
      <w:r>
        <w:t xml:space="preserve">acts as a global upper bound for all observed regression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The algorithm selects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minimize the area between this boundary and the data points while observing the global bounding constraint. This approach provides a physically motivated, preparation-specific estimate of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ensuring that the subsequent decomposition into excitatory and inhibitory conductances is consistent with the global statistical limits of the recording.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2026-02-21T17:10:17Z</dcterms:created>
  <dcterms:modified xsi:type="dcterms:W3CDTF">2026-02-21T17:10:17Z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