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F6AAE" w14:textId="77777777" w:rsidR="00DF0855" w:rsidRPr="006943B3" w:rsidRDefault="00DF0855" w:rsidP="00DF0855">
      <w:pPr>
        <w:rPr>
          <w:rFonts w:ascii="Times New Roman" w:hAnsi="Times New Roman" w:cs="Times New Roman"/>
          <w:b/>
          <w:bCs/>
        </w:rPr>
      </w:pPr>
      <w:r w:rsidRPr="006943B3">
        <w:rPr>
          <w:rFonts w:ascii="Times New Roman" w:hAnsi="Times New Roman" w:cs="Times New Roman"/>
          <w:b/>
          <w:bCs/>
        </w:rPr>
        <w:t>Overarching Goal</w:t>
      </w:r>
    </w:p>
    <w:p w14:paraId="67B94421" w14:textId="37EC7C8A" w:rsidR="00297593" w:rsidRPr="006943B3" w:rsidRDefault="00DF0855" w:rsidP="00DF0855">
      <w:pPr>
        <w:rPr>
          <w:rFonts w:ascii="Times New Roman" w:hAnsi="Times New Roman" w:cs="Times New Roman"/>
        </w:rPr>
      </w:pPr>
      <w:r w:rsidRPr="006943B3">
        <w:rPr>
          <w:rFonts w:ascii="Times New Roman" w:hAnsi="Times New Roman" w:cs="Times New Roman"/>
        </w:rPr>
        <w:t>To develop a computational framework that links tumor-associated immunopeptidomes to matched T-cell receptor (TCR) repertoires from the periphery, enabling systematic identification of TCR sequence features that distinguish cancer-specific recognition from self-antigen recognition.</w:t>
      </w:r>
    </w:p>
    <w:p w14:paraId="45893390" w14:textId="77777777" w:rsidR="00DF0855" w:rsidRPr="006943B3" w:rsidRDefault="00DF0855" w:rsidP="00DF0855">
      <w:pPr>
        <w:rPr>
          <w:rFonts w:ascii="Times New Roman" w:hAnsi="Times New Roman" w:cs="Times New Roman"/>
          <w:b/>
          <w:bCs/>
        </w:rPr>
      </w:pPr>
      <w:r w:rsidRPr="006943B3">
        <w:rPr>
          <w:rFonts w:ascii="Times New Roman" w:hAnsi="Times New Roman" w:cs="Times New Roman"/>
          <w:b/>
          <w:bCs/>
        </w:rPr>
        <w:t>Rationale</w:t>
      </w:r>
    </w:p>
    <w:p w14:paraId="3B8BEC16" w14:textId="77777777" w:rsidR="00DF0855" w:rsidRPr="006943B3" w:rsidRDefault="00DF0855" w:rsidP="00DF0855">
      <w:pPr>
        <w:rPr>
          <w:rFonts w:ascii="Times New Roman" w:hAnsi="Times New Roman" w:cs="Times New Roman"/>
        </w:rPr>
      </w:pPr>
      <w:r w:rsidRPr="006943B3">
        <w:rPr>
          <w:rFonts w:ascii="Times New Roman" w:hAnsi="Times New Roman" w:cs="Times New Roman"/>
        </w:rPr>
        <w:t>Cancer immunotherapy relies heavily on discovering TCRs that can selectively recognize tumor antigens without targeting healthy tissues. However, our ability to map TCR sequence to antigen specificity remains extremely limited, especially for neoantigens and tumor-specific peptides. Current approaches—such as screening tumor-infiltrating lymphocytes (TILs), high-throughput peptide-MHC libraries, or machine learning applied to TCR sequences—are constrained by incomplete knowledge of which antigens are presented by tumor cells and how TCR sequence patterns relate to peptide specificity.</w:t>
      </w:r>
    </w:p>
    <w:p w14:paraId="01ECDA7E" w14:textId="77777777" w:rsidR="00DF0855" w:rsidRPr="006943B3" w:rsidRDefault="00DF0855" w:rsidP="00DF0855">
      <w:pPr>
        <w:rPr>
          <w:rFonts w:ascii="Times New Roman" w:hAnsi="Times New Roman" w:cs="Times New Roman"/>
        </w:rPr>
      </w:pPr>
      <w:r w:rsidRPr="006943B3">
        <w:rPr>
          <w:rFonts w:ascii="Times New Roman" w:hAnsi="Times New Roman" w:cs="Times New Roman"/>
        </w:rPr>
        <w:t>A systematic “immunopeptidome–TCR map” would allow the field to:</w:t>
      </w:r>
    </w:p>
    <w:p w14:paraId="7686C6B9" w14:textId="13228F32" w:rsidR="00DF0855" w:rsidRPr="006943B3" w:rsidRDefault="00DF0855" w:rsidP="00DF0855">
      <w:pPr>
        <w:pStyle w:val="ListParagraph"/>
        <w:numPr>
          <w:ilvl w:val="0"/>
          <w:numId w:val="1"/>
        </w:numPr>
        <w:rPr>
          <w:rFonts w:ascii="Times New Roman" w:hAnsi="Times New Roman" w:cs="Times New Roman"/>
        </w:rPr>
      </w:pPr>
      <w:r w:rsidRPr="006943B3">
        <w:rPr>
          <w:rFonts w:ascii="Times New Roman" w:hAnsi="Times New Roman" w:cs="Times New Roman"/>
        </w:rPr>
        <w:t>identify TCR motifs predictive of tumor-antigen recognition,</w:t>
      </w:r>
    </w:p>
    <w:p w14:paraId="2B8294D5" w14:textId="7F552982" w:rsidR="00DF0855" w:rsidRPr="006943B3" w:rsidRDefault="00DF0855" w:rsidP="00DF0855">
      <w:pPr>
        <w:pStyle w:val="ListParagraph"/>
        <w:numPr>
          <w:ilvl w:val="0"/>
          <w:numId w:val="1"/>
        </w:numPr>
        <w:rPr>
          <w:rFonts w:ascii="Times New Roman" w:hAnsi="Times New Roman" w:cs="Times New Roman"/>
        </w:rPr>
      </w:pPr>
      <w:r w:rsidRPr="006943B3">
        <w:rPr>
          <w:rFonts w:ascii="Times New Roman" w:hAnsi="Times New Roman" w:cs="Times New Roman"/>
        </w:rPr>
        <w:t>filter out receptors with potential self-reactivity, and</w:t>
      </w:r>
    </w:p>
    <w:p w14:paraId="4B946FE4" w14:textId="3B049B84" w:rsidR="00DF0855" w:rsidRPr="006943B3" w:rsidRDefault="00DF0855" w:rsidP="00DF0855">
      <w:pPr>
        <w:pStyle w:val="ListParagraph"/>
        <w:numPr>
          <w:ilvl w:val="0"/>
          <w:numId w:val="1"/>
        </w:numPr>
        <w:rPr>
          <w:rFonts w:ascii="Times New Roman" w:hAnsi="Times New Roman" w:cs="Times New Roman"/>
        </w:rPr>
      </w:pPr>
      <w:r w:rsidRPr="006943B3">
        <w:rPr>
          <w:rFonts w:ascii="Times New Roman" w:hAnsi="Times New Roman" w:cs="Times New Roman"/>
        </w:rPr>
        <w:t>accelerate rational design of next-generation TCR-based therapies.</w:t>
      </w:r>
    </w:p>
    <w:p w14:paraId="05F8B6EA" w14:textId="189566BB" w:rsidR="00DF0855" w:rsidRPr="006943B3" w:rsidRDefault="00DF0855" w:rsidP="00DF0855">
      <w:pPr>
        <w:rPr>
          <w:rFonts w:ascii="Times New Roman" w:hAnsi="Times New Roman" w:cs="Times New Roman"/>
        </w:rPr>
      </w:pPr>
      <w:r w:rsidRPr="006943B3">
        <w:rPr>
          <w:rFonts w:ascii="Times New Roman" w:hAnsi="Times New Roman" w:cs="Times New Roman"/>
        </w:rPr>
        <w:t>This project is worth pursuing because it integrates mass-spec–defined tumor immunopeptidomes with paired TCR sequencing datasets, an analysis rarely performed together but critical for uncovering interpretable rules of antigen specificity in the context of cancer.</w:t>
      </w:r>
    </w:p>
    <w:p w14:paraId="3F93CE7A" w14:textId="53141F16" w:rsidR="00DF0855" w:rsidRPr="006943B3" w:rsidRDefault="00DF0855" w:rsidP="00DF0855">
      <w:pPr>
        <w:rPr>
          <w:rFonts w:ascii="Times New Roman" w:hAnsi="Times New Roman" w:cs="Times New Roman"/>
          <w:b/>
          <w:bCs/>
        </w:rPr>
      </w:pPr>
      <w:r w:rsidRPr="006943B3">
        <w:rPr>
          <w:rFonts w:ascii="Times New Roman" w:hAnsi="Times New Roman" w:cs="Times New Roman"/>
          <w:b/>
          <w:bCs/>
        </w:rPr>
        <w:t>Specific Aims</w:t>
      </w:r>
    </w:p>
    <w:p w14:paraId="4841289F" w14:textId="77777777" w:rsidR="006E41D1" w:rsidRPr="006943B3" w:rsidRDefault="006E41D1" w:rsidP="006E41D1">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6943B3">
        <w:rPr>
          <w:rFonts w:ascii="Times New Roman" w:eastAsia="Times New Roman" w:hAnsi="Times New Roman" w:cs="Times New Roman"/>
          <w:b/>
          <w:bCs/>
          <w:color w:val="000000"/>
          <w:kern w:val="0"/>
          <w14:ligatures w14:val="none"/>
        </w:rPr>
        <w:t>Aim 1</w:t>
      </w:r>
      <w:r w:rsidRPr="006943B3">
        <w:rPr>
          <w:rFonts w:ascii="Times New Roman" w:eastAsia="Times New Roman" w:hAnsi="Times New Roman" w:cs="Times New Roman"/>
          <w:color w:val="000000"/>
          <w:kern w:val="0"/>
          <w14:ligatures w14:val="none"/>
        </w:rPr>
        <w:t xml:space="preserve"> — Construct an integrated database linking tumor immunopeptidomes with peripheral TCR repertoires.</w:t>
      </w:r>
    </w:p>
    <w:p w14:paraId="151E6A8E" w14:textId="77777777" w:rsidR="006E41D1" w:rsidRPr="006943B3" w:rsidRDefault="006E41D1" w:rsidP="006E41D1">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6943B3">
        <w:rPr>
          <w:rFonts w:ascii="Times New Roman" w:eastAsia="Times New Roman" w:hAnsi="Times New Roman" w:cs="Times New Roman"/>
          <w:color w:val="000000"/>
          <w:kern w:val="0"/>
          <w14:ligatures w14:val="none"/>
        </w:rPr>
        <w:t xml:space="preserve">In this aim, I will curate and integrate publicly available datasets containing tumor immunopeptidomes measured by mass spectrometry together with matched or comparable peripheral TCR repertoires, ultimately generating a unified dataset suitable for computational analysis. The expected outcomes include a harmonized database that brings together peptide–MHC ligands, associated HLA types, and peripheral TCR sequences; annotation of peptides as tumor-associated versus self-derived using established proteomic and genomic references; and initial visualizations of antigen frequency distributions and TCR clonotype diversity across patients or cohorts. Potential challenges include the fact that immunopeptidome and TCR repertoire data are rarely derived from the same patient. To address this, I will employ cohort-level integration strategies, focusing on datasets that share common HLA alleles and using peptide or TCR sequence clustering to identify cross-dataset correspondence. Another challenge is the heterogeneity in file formats, naming conventions, and metadata across repositories. This will be mitigated by implementing standardized parsing and annotation pipelines, including the </w:t>
      </w:r>
      <w:r w:rsidRPr="006943B3">
        <w:rPr>
          <w:rFonts w:ascii="Times New Roman" w:eastAsia="Times New Roman" w:hAnsi="Times New Roman" w:cs="Times New Roman"/>
          <w:color w:val="000000"/>
          <w:kern w:val="0"/>
          <w14:ligatures w14:val="none"/>
        </w:rPr>
        <w:lastRenderedPageBreak/>
        <w:t xml:space="preserve">use of MHC-binding prediction tools such as </w:t>
      </w:r>
      <w:proofErr w:type="spellStart"/>
      <w:r w:rsidRPr="006943B3">
        <w:rPr>
          <w:rFonts w:ascii="Times New Roman" w:eastAsia="Times New Roman" w:hAnsi="Times New Roman" w:cs="Times New Roman"/>
          <w:color w:val="000000"/>
          <w:kern w:val="0"/>
          <w14:ligatures w14:val="none"/>
        </w:rPr>
        <w:t>MHCflurry</w:t>
      </w:r>
      <w:proofErr w:type="spellEnd"/>
      <w:r w:rsidRPr="006943B3">
        <w:rPr>
          <w:rFonts w:ascii="Times New Roman" w:eastAsia="Times New Roman" w:hAnsi="Times New Roman" w:cs="Times New Roman"/>
          <w:color w:val="000000"/>
          <w:kern w:val="0"/>
          <w14:ligatures w14:val="none"/>
        </w:rPr>
        <w:t xml:space="preserve"> or </w:t>
      </w:r>
      <w:proofErr w:type="spellStart"/>
      <w:r w:rsidRPr="006943B3">
        <w:rPr>
          <w:rFonts w:ascii="Times New Roman" w:eastAsia="Times New Roman" w:hAnsi="Times New Roman" w:cs="Times New Roman"/>
          <w:color w:val="000000"/>
          <w:kern w:val="0"/>
          <w14:ligatures w14:val="none"/>
        </w:rPr>
        <w:t>netMHCpan</w:t>
      </w:r>
      <w:proofErr w:type="spellEnd"/>
      <w:r w:rsidRPr="006943B3">
        <w:rPr>
          <w:rFonts w:ascii="Times New Roman" w:eastAsia="Times New Roman" w:hAnsi="Times New Roman" w:cs="Times New Roman"/>
          <w:color w:val="000000"/>
          <w:kern w:val="0"/>
          <w14:ligatures w14:val="none"/>
        </w:rPr>
        <w:t xml:space="preserve"> to ensure consistent labeling of peptide–MHC relationships.</w:t>
      </w:r>
    </w:p>
    <w:p w14:paraId="69F22CEA" w14:textId="77777777" w:rsidR="006E41D1" w:rsidRPr="006943B3" w:rsidRDefault="006E41D1" w:rsidP="006E41D1">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sidRPr="006943B3">
        <w:rPr>
          <w:rFonts w:ascii="Times New Roman" w:eastAsia="Times New Roman" w:hAnsi="Times New Roman" w:cs="Times New Roman"/>
          <w:b/>
          <w:bCs/>
          <w:color w:val="000000"/>
          <w:kern w:val="0"/>
          <w14:ligatures w14:val="none"/>
        </w:rPr>
        <w:t>Aim 2</w:t>
      </w:r>
      <w:r w:rsidRPr="006943B3">
        <w:rPr>
          <w:rFonts w:ascii="Times New Roman" w:eastAsia="Times New Roman" w:hAnsi="Times New Roman" w:cs="Times New Roman"/>
          <w:color w:val="000000"/>
          <w:kern w:val="0"/>
          <w14:ligatures w14:val="none"/>
        </w:rPr>
        <w:t xml:space="preserve"> — Identify TCR sequence features predictive of tumor-antigen recognition.</w:t>
      </w:r>
    </w:p>
    <w:p w14:paraId="17415AA4" w14:textId="77777777" w:rsidR="006E41D1" w:rsidRPr="006943B3" w:rsidRDefault="006E41D1" w:rsidP="006E41D1">
      <w:pPr>
        <w:spacing w:before="100" w:beforeAutospacing="1" w:after="100" w:afterAutospacing="1" w:line="240" w:lineRule="auto"/>
        <w:outlineLvl w:val="1"/>
        <w:rPr>
          <w:rFonts w:ascii="Times New Roman" w:eastAsia="Times New Roman" w:hAnsi="Times New Roman" w:cs="Times New Roman"/>
          <w:color w:val="000000"/>
          <w:kern w:val="0"/>
          <w14:ligatures w14:val="none"/>
        </w:rPr>
      </w:pPr>
      <w:r w:rsidRPr="006943B3">
        <w:rPr>
          <w:rFonts w:ascii="Times New Roman" w:eastAsia="Times New Roman" w:hAnsi="Times New Roman" w:cs="Times New Roman"/>
          <w:color w:val="000000"/>
          <w:kern w:val="0"/>
          <w14:ligatures w14:val="none"/>
        </w:rPr>
        <w:t xml:space="preserve">This aim will apply statistical and machine-learning approaches to uncover motifs and sequence patterns in TCRs that are enriched for recognition of tumor-associated peptides compared to self-derived peptides. The expected outcomes include the identification of CDR3α/β motifs associated with binding to specific tumor peptides or peptide clusters; development of predictive models capable of classifying TCRs as tumor-reactive or non-reactive based on sequence characteristics; and quantitative analyses that describe specificity, cross-reactivity, and broader “antigen similarity landscapes” governing TCR binding behavior. A key challenge is the limited availability of ground-truth TCR–peptide specificity labels, which will be addressed using weak supervision, similarity-based clustering, and transfer learning from </w:t>
      </w:r>
      <w:proofErr w:type="gramStart"/>
      <w:r w:rsidRPr="006943B3">
        <w:rPr>
          <w:rFonts w:ascii="Times New Roman" w:eastAsia="Times New Roman" w:hAnsi="Times New Roman" w:cs="Times New Roman"/>
          <w:color w:val="000000"/>
          <w:kern w:val="0"/>
          <w14:ligatures w14:val="none"/>
        </w:rPr>
        <w:t>large curated</w:t>
      </w:r>
      <w:proofErr w:type="gramEnd"/>
      <w:r w:rsidRPr="006943B3">
        <w:rPr>
          <w:rFonts w:ascii="Times New Roman" w:eastAsia="Times New Roman" w:hAnsi="Times New Roman" w:cs="Times New Roman"/>
          <w:color w:val="000000"/>
          <w:kern w:val="0"/>
          <w14:ligatures w14:val="none"/>
        </w:rPr>
        <w:t xml:space="preserve"> databases such as </w:t>
      </w:r>
      <w:proofErr w:type="spellStart"/>
      <w:r w:rsidRPr="006943B3">
        <w:rPr>
          <w:rFonts w:ascii="Times New Roman" w:eastAsia="Times New Roman" w:hAnsi="Times New Roman" w:cs="Times New Roman"/>
          <w:color w:val="000000"/>
          <w:kern w:val="0"/>
          <w14:ligatures w14:val="none"/>
        </w:rPr>
        <w:t>VDJdb</w:t>
      </w:r>
      <w:proofErr w:type="spellEnd"/>
      <w:r w:rsidRPr="006943B3">
        <w:rPr>
          <w:rFonts w:ascii="Times New Roman" w:eastAsia="Times New Roman" w:hAnsi="Times New Roman" w:cs="Times New Roman"/>
          <w:color w:val="000000"/>
          <w:kern w:val="0"/>
          <w14:ligatures w14:val="none"/>
        </w:rPr>
        <w:t xml:space="preserve"> and </w:t>
      </w:r>
      <w:proofErr w:type="spellStart"/>
      <w:r w:rsidRPr="006943B3">
        <w:rPr>
          <w:rFonts w:ascii="Times New Roman" w:eastAsia="Times New Roman" w:hAnsi="Times New Roman" w:cs="Times New Roman"/>
          <w:color w:val="000000"/>
          <w:kern w:val="0"/>
          <w14:ligatures w14:val="none"/>
        </w:rPr>
        <w:t>McPAS</w:t>
      </w:r>
      <w:proofErr w:type="spellEnd"/>
      <w:r w:rsidRPr="006943B3">
        <w:rPr>
          <w:rFonts w:ascii="Times New Roman" w:eastAsia="Times New Roman" w:hAnsi="Times New Roman" w:cs="Times New Roman"/>
          <w:color w:val="000000"/>
          <w:kern w:val="0"/>
          <w14:ligatures w14:val="none"/>
        </w:rPr>
        <w:t>-TCR. Another challenge is the inherent degeneracy of TCR–peptide interactions. To address this, I will incorporate peptide embedding models and sequence-to-sequence similarity measures that capture higher-order patterns not detectable by simple linear motif searches.</w:t>
      </w:r>
    </w:p>
    <w:p w14:paraId="778BDA06" w14:textId="685EC891" w:rsidR="00DF0855" w:rsidRPr="00DF0855" w:rsidRDefault="00DF0855" w:rsidP="006E41D1">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DF0855">
        <w:rPr>
          <w:rFonts w:ascii="Times New Roman" w:eastAsia="Times New Roman" w:hAnsi="Times New Roman" w:cs="Times New Roman"/>
          <w:b/>
          <w:bCs/>
          <w:color w:val="000000"/>
          <w:kern w:val="0"/>
          <w14:ligatures w14:val="none"/>
        </w:rPr>
        <w:t>Dataset Description</w:t>
      </w:r>
    </w:p>
    <w:p w14:paraId="314ABBD4" w14:textId="45272418" w:rsidR="006E41D1" w:rsidRPr="006943B3" w:rsidRDefault="006E41D1" w:rsidP="00DF0855">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6943B3">
        <w:rPr>
          <w:rFonts w:ascii="Times New Roman" w:eastAsia="Times New Roman" w:hAnsi="Times New Roman" w:cs="Times New Roman"/>
          <w:b/>
          <w:bCs/>
          <w:color w:val="000000"/>
          <w:kern w:val="0"/>
          <w14:ligatures w14:val="none"/>
        </w:rPr>
        <w:t>Sources</w:t>
      </w:r>
      <w:r w:rsidRPr="006943B3">
        <w:rPr>
          <w:rFonts w:ascii="Times New Roman" w:eastAsia="Times New Roman" w:hAnsi="Times New Roman" w:cs="Times New Roman"/>
          <w:color w:val="000000"/>
          <w:kern w:val="0"/>
          <w14:ligatures w14:val="none"/>
        </w:rPr>
        <w:br/>
        <w:t xml:space="preserve">This project will draw on publicly available datasets that provide complementary information about tumor immunopeptidomes and peripheral TCR repertoires. Tumor immunopeptidomes will be obtained from mass spectrometry–based datasets in repositories such as PRIDE, </w:t>
      </w:r>
      <w:proofErr w:type="spellStart"/>
      <w:r w:rsidRPr="006943B3">
        <w:rPr>
          <w:rFonts w:ascii="Times New Roman" w:eastAsia="Times New Roman" w:hAnsi="Times New Roman" w:cs="Times New Roman"/>
          <w:color w:val="000000"/>
          <w:kern w:val="0"/>
          <w14:ligatures w14:val="none"/>
        </w:rPr>
        <w:t>MassIVE</w:t>
      </w:r>
      <w:proofErr w:type="spellEnd"/>
      <w:r w:rsidRPr="006943B3">
        <w:rPr>
          <w:rFonts w:ascii="Times New Roman" w:eastAsia="Times New Roman" w:hAnsi="Times New Roman" w:cs="Times New Roman"/>
          <w:color w:val="000000"/>
          <w:kern w:val="0"/>
          <w14:ligatures w14:val="none"/>
        </w:rPr>
        <w:t xml:space="preserve">, and the CPTAC program, all of which offer peptide–MHC ligands isolated directly from tumor samples along with corresponding HLA allele information. Peripheral TCR repertoires will be sourced from </w:t>
      </w:r>
      <w:proofErr w:type="spellStart"/>
      <w:r w:rsidRPr="006943B3">
        <w:rPr>
          <w:rFonts w:ascii="Times New Roman" w:eastAsia="Times New Roman" w:hAnsi="Times New Roman" w:cs="Times New Roman"/>
          <w:color w:val="000000"/>
          <w:kern w:val="0"/>
          <w14:ligatures w14:val="none"/>
        </w:rPr>
        <w:t>ImmuneACCESS</w:t>
      </w:r>
      <w:proofErr w:type="spellEnd"/>
      <w:r w:rsidRPr="006943B3">
        <w:rPr>
          <w:rFonts w:ascii="Times New Roman" w:eastAsia="Times New Roman" w:hAnsi="Times New Roman" w:cs="Times New Roman"/>
          <w:color w:val="000000"/>
          <w:kern w:val="0"/>
          <w14:ligatures w14:val="none"/>
        </w:rPr>
        <w:t xml:space="preserve"> (Adaptive Biotechnologies), as well as curated databases such as </w:t>
      </w:r>
      <w:proofErr w:type="spellStart"/>
      <w:r w:rsidRPr="006943B3">
        <w:rPr>
          <w:rFonts w:ascii="Times New Roman" w:eastAsia="Times New Roman" w:hAnsi="Times New Roman" w:cs="Times New Roman"/>
          <w:color w:val="000000"/>
          <w:kern w:val="0"/>
          <w14:ligatures w14:val="none"/>
        </w:rPr>
        <w:t>VDJdb</w:t>
      </w:r>
      <w:proofErr w:type="spellEnd"/>
      <w:r w:rsidRPr="006943B3">
        <w:rPr>
          <w:rFonts w:ascii="Times New Roman" w:eastAsia="Times New Roman" w:hAnsi="Times New Roman" w:cs="Times New Roman"/>
          <w:color w:val="000000"/>
          <w:kern w:val="0"/>
          <w14:ligatures w14:val="none"/>
        </w:rPr>
        <w:t xml:space="preserve"> and </w:t>
      </w:r>
      <w:proofErr w:type="spellStart"/>
      <w:r w:rsidRPr="006943B3">
        <w:rPr>
          <w:rFonts w:ascii="Times New Roman" w:eastAsia="Times New Roman" w:hAnsi="Times New Roman" w:cs="Times New Roman"/>
          <w:color w:val="000000"/>
          <w:kern w:val="0"/>
          <w14:ligatures w14:val="none"/>
        </w:rPr>
        <w:t>McPAS</w:t>
      </w:r>
      <w:proofErr w:type="spellEnd"/>
      <w:r w:rsidRPr="006943B3">
        <w:rPr>
          <w:rFonts w:ascii="Times New Roman" w:eastAsia="Times New Roman" w:hAnsi="Times New Roman" w:cs="Times New Roman"/>
          <w:color w:val="000000"/>
          <w:kern w:val="0"/>
          <w14:ligatures w14:val="none"/>
        </w:rPr>
        <w:t>-TCR, which include raw or processed TCRβ—and in some cases TCRα—sequences derived from patient blood samples. Although these datasets are not typically generated from the same individuals, many share overlapping HLA alleles or cancer types, enabling meaningful integrative, cohort-level analysis.</w:t>
      </w:r>
    </w:p>
    <w:p w14:paraId="293E933C" w14:textId="6DE53C3C" w:rsidR="006E41D1" w:rsidRPr="006943B3" w:rsidRDefault="006E41D1" w:rsidP="00DF0855">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6943B3">
        <w:rPr>
          <w:rFonts w:ascii="Times New Roman" w:eastAsia="Times New Roman" w:hAnsi="Times New Roman" w:cs="Times New Roman"/>
          <w:b/>
          <w:bCs/>
          <w:color w:val="000000"/>
          <w:kern w:val="0"/>
          <w14:ligatures w14:val="none"/>
        </w:rPr>
        <w:t>Size and Structure</w:t>
      </w:r>
      <w:r w:rsidRPr="006943B3">
        <w:rPr>
          <w:rFonts w:ascii="Times New Roman" w:eastAsia="Times New Roman" w:hAnsi="Times New Roman" w:cs="Times New Roman"/>
          <w:color w:val="000000"/>
          <w:kern w:val="0"/>
          <w14:ligatures w14:val="none"/>
        </w:rPr>
        <w:br/>
        <w:t>The integrated dataset is expected to include approximately 10,000–100,000 unique peptide–MHC ligands compiled from immunopeptidome studies, along with associated metadata such as HLA allele, peptide length, RNA or protein expression, and cancer subtype. The TCR repertoire component will consist of roughly 10⁵–10⁶ unique TCRβ clonotypes per dataset—depending on sequencing depth—accompanied by V/J gene usage, CDR3 amino acid and nucleotide sequences, and clonotype frequency information. In total, the curated immunopeptidome tables will require approximately 1–5 GB of storage, while the TCR repertoires are expected to require 2–10 GB, depending on the number of cohorts incorporated. Altogether, the combined dataset will occupy roughly 5–15 GB, which is well within the capacity of a standard workstation or cloud-based storage environment.</w:t>
      </w:r>
    </w:p>
    <w:p w14:paraId="4B5790A8" w14:textId="49FA4837" w:rsidR="006E41D1" w:rsidRPr="006943B3" w:rsidRDefault="006E41D1" w:rsidP="00DF0855">
      <w:pPr>
        <w:spacing w:before="100" w:beforeAutospacing="1" w:after="100" w:afterAutospacing="1" w:line="240" w:lineRule="auto"/>
        <w:outlineLvl w:val="1"/>
        <w:rPr>
          <w:rFonts w:ascii="Times New Roman" w:hAnsi="Times New Roman" w:cs="Times New Roman"/>
          <w:color w:val="000000"/>
        </w:rPr>
      </w:pPr>
      <w:r w:rsidRPr="006943B3">
        <w:rPr>
          <w:rStyle w:val="Strong"/>
          <w:rFonts w:ascii="Times New Roman" w:hAnsi="Times New Roman" w:cs="Times New Roman"/>
          <w:color w:val="000000"/>
        </w:rPr>
        <w:lastRenderedPageBreak/>
        <w:t>Formats</w:t>
      </w:r>
      <w:r w:rsidRPr="006943B3">
        <w:rPr>
          <w:rFonts w:ascii="Times New Roman" w:hAnsi="Times New Roman" w:cs="Times New Roman"/>
          <w:color w:val="000000"/>
        </w:rPr>
        <w:br/>
        <w:t xml:space="preserve">The raw and processed data used in this project will span several formats, including TSV and CSV peptide tables, </w:t>
      </w:r>
      <w:proofErr w:type="spellStart"/>
      <w:r w:rsidRPr="006943B3">
        <w:rPr>
          <w:rFonts w:ascii="Times New Roman" w:hAnsi="Times New Roman" w:cs="Times New Roman"/>
          <w:color w:val="000000"/>
        </w:rPr>
        <w:t>mzML</w:t>
      </w:r>
      <w:proofErr w:type="spellEnd"/>
      <w:r w:rsidRPr="006943B3">
        <w:rPr>
          <w:rFonts w:ascii="Times New Roman" w:hAnsi="Times New Roman" w:cs="Times New Roman"/>
          <w:color w:val="000000"/>
        </w:rPr>
        <w:t xml:space="preserve"> or </w:t>
      </w:r>
      <w:proofErr w:type="spellStart"/>
      <w:r w:rsidRPr="006943B3">
        <w:rPr>
          <w:rFonts w:ascii="Times New Roman" w:hAnsi="Times New Roman" w:cs="Times New Roman"/>
          <w:color w:val="000000"/>
        </w:rPr>
        <w:t>mzIdentML</w:t>
      </w:r>
      <w:proofErr w:type="spellEnd"/>
      <w:r w:rsidRPr="006943B3">
        <w:rPr>
          <w:rFonts w:ascii="Times New Roman" w:hAnsi="Times New Roman" w:cs="Times New Roman"/>
          <w:color w:val="000000"/>
        </w:rPr>
        <w:t xml:space="preserve"> files for raw mass spectrometry immunopeptidome outputs, and JSON metadata describing experimental conditions. TCR repertoire datasets will likewise be provided as TSV or CSV clonotype tables or in AIRR-compliant JSON formats, while supplementary metadata—such as clinical annotations, HLA typing information, and reference proteomes—will be supplied as CSV, Excel, or FASTA files. For downstream integration and analysis, all harmonized datasets will be converted into standardized CSV or Parquet files for large tabular structures, and HDF5 files for intermediate datasets requiring efficient, random-access retrieval. These optimized formats, particularly Parquet and HDF5, will enable fast querying and scalable processing during machine-learning–based analyses.</w:t>
      </w:r>
    </w:p>
    <w:p w14:paraId="78D9208C" w14:textId="2ECB6111" w:rsidR="00DF0855" w:rsidRPr="00DF0855" w:rsidRDefault="00DF0855" w:rsidP="00DF0855">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DF0855">
        <w:rPr>
          <w:rFonts w:ascii="Times New Roman" w:eastAsia="Times New Roman" w:hAnsi="Times New Roman" w:cs="Times New Roman"/>
          <w:b/>
          <w:bCs/>
          <w:color w:val="000000"/>
          <w:kern w:val="0"/>
          <w14:ligatures w14:val="none"/>
        </w:rPr>
        <w:t>Data Suitability</w:t>
      </w:r>
    </w:p>
    <w:p w14:paraId="707CD2B0" w14:textId="4D4ADE3D" w:rsidR="006E41D1" w:rsidRPr="006943B3" w:rsidRDefault="006E41D1" w:rsidP="00DF0855">
      <w:pPr>
        <w:spacing w:before="100" w:beforeAutospacing="1" w:after="100" w:afterAutospacing="1" w:line="240" w:lineRule="auto"/>
        <w:outlineLvl w:val="2"/>
        <w:rPr>
          <w:rFonts w:ascii="Times New Roman" w:hAnsi="Times New Roman" w:cs="Times New Roman"/>
          <w:color w:val="000000"/>
        </w:rPr>
      </w:pPr>
      <w:r w:rsidRPr="006943B3">
        <w:rPr>
          <w:rStyle w:val="Strong"/>
          <w:rFonts w:ascii="Times New Roman" w:hAnsi="Times New Roman" w:cs="Times New Roman"/>
          <w:color w:val="000000"/>
        </w:rPr>
        <w:t>Format Suitability</w:t>
      </w:r>
      <w:r w:rsidRPr="006943B3">
        <w:rPr>
          <w:rFonts w:ascii="Times New Roman" w:hAnsi="Times New Roman" w:cs="Times New Roman"/>
          <w:color w:val="000000"/>
        </w:rPr>
        <w:br/>
        <w:t xml:space="preserve">The current data formats—such as TSV, </w:t>
      </w:r>
      <w:proofErr w:type="spellStart"/>
      <w:r w:rsidRPr="006943B3">
        <w:rPr>
          <w:rFonts w:ascii="Times New Roman" w:hAnsi="Times New Roman" w:cs="Times New Roman"/>
          <w:color w:val="000000"/>
        </w:rPr>
        <w:t>mzML</w:t>
      </w:r>
      <w:proofErr w:type="spellEnd"/>
      <w:r w:rsidRPr="006943B3">
        <w:rPr>
          <w:rFonts w:ascii="Times New Roman" w:hAnsi="Times New Roman" w:cs="Times New Roman"/>
          <w:color w:val="000000"/>
        </w:rPr>
        <w:t xml:space="preserve">, and AIRR-compliant JSON—are not ideal for rapid iterative analysis due to their heterogeneity, size, and inconsistent metadata structures. To enable efficient downstream processing, the project will require standardizing column names and peptide or TCR identifiers across datasets, converting all tables into consistent long-format CSV or Parquet files, annotating peptides with proteomic and genomic references from resources like </w:t>
      </w:r>
      <w:proofErr w:type="spellStart"/>
      <w:r w:rsidRPr="006943B3">
        <w:rPr>
          <w:rFonts w:ascii="Times New Roman" w:hAnsi="Times New Roman" w:cs="Times New Roman"/>
          <w:color w:val="000000"/>
        </w:rPr>
        <w:t>UniProt</w:t>
      </w:r>
      <w:proofErr w:type="spellEnd"/>
      <w:r w:rsidRPr="006943B3">
        <w:rPr>
          <w:rFonts w:ascii="Times New Roman" w:hAnsi="Times New Roman" w:cs="Times New Roman"/>
          <w:color w:val="000000"/>
        </w:rPr>
        <w:t xml:space="preserve"> and </w:t>
      </w:r>
      <w:proofErr w:type="spellStart"/>
      <w:r w:rsidRPr="006943B3">
        <w:rPr>
          <w:rFonts w:ascii="Times New Roman" w:hAnsi="Times New Roman" w:cs="Times New Roman"/>
          <w:color w:val="000000"/>
        </w:rPr>
        <w:t>Ensembl</w:t>
      </w:r>
      <w:proofErr w:type="spellEnd"/>
      <w:r w:rsidRPr="006943B3">
        <w:rPr>
          <w:rFonts w:ascii="Times New Roman" w:hAnsi="Times New Roman" w:cs="Times New Roman"/>
          <w:color w:val="000000"/>
        </w:rPr>
        <w:t>, and mapping all TCR sequences onto a uniform AIRR schema. These transformations will ensure that the dataset is coherent, interpretable, and compatible with scalable machine-learning workflows.</w:t>
      </w:r>
    </w:p>
    <w:p w14:paraId="7E46F974" w14:textId="33E8F41C" w:rsidR="006E41D1" w:rsidRPr="006943B3" w:rsidRDefault="006E41D1" w:rsidP="00DF0855">
      <w:pPr>
        <w:spacing w:before="100" w:beforeAutospacing="1" w:after="100" w:afterAutospacing="1" w:line="240" w:lineRule="auto"/>
        <w:outlineLvl w:val="1"/>
        <w:rPr>
          <w:rFonts w:ascii="Times New Roman" w:hAnsi="Times New Roman" w:cs="Times New Roman"/>
          <w:color w:val="000000"/>
        </w:rPr>
      </w:pPr>
      <w:r w:rsidRPr="006943B3">
        <w:rPr>
          <w:rStyle w:val="Strong"/>
          <w:rFonts w:ascii="Times New Roman" w:hAnsi="Times New Roman" w:cs="Times New Roman"/>
          <w:color w:val="000000"/>
        </w:rPr>
        <w:t>Necessary Transformations</w:t>
      </w:r>
      <w:r w:rsidRPr="006943B3">
        <w:rPr>
          <w:rFonts w:ascii="Times New Roman" w:hAnsi="Times New Roman" w:cs="Times New Roman"/>
          <w:color w:val="000000"/>
        </w:rPr>
        <w:br/>
        <w:t xml:space="preserve">To prepare the dataset for downstream computational analysis, several preprocessing steps will be required. First, mass-spectrometry–derived peptides must be filtered to remove low-confidence identifications using score thresholds or false discovery rate cutoffs. Each peptide–MHC ligand will then be assigned accurate HLA allele information through standardized annotation procedures. For the TCR repertoires, sequences will be normalized by harmonizing V/J gene nomenclature, removing non-productive rearrangements, and extracting CDR3 amino acid sequences. Both peptides and TCRs will be converted into numerical feature representations—such as one-hot encodings, BLOSUM matrices, or learned embeddings—to support machine-learning analysis. Finally, clonotype abundances will be normalized so that read counts and frequencies are comparable across studies. Collectively, these transformations will ensure that the integrated dataset is coherent, standardized, and optimized for motif discovery and predictive </w:t>
      </w:r>
      <w:proofErr w:type="spellStart"/>
      <w:r w:rsidRPr="006943B3">
        <w:rPr>
          <w:rFonts w:ascii="Times New Roman" w:hAnsi="Times New Roman" w:cs="Times New Roman"/>
          <w:color w:val="000000"/>
        </w:rPr>
        <w:t>modeling.</w:t>
      </w:r>
    </w:p>
    <w:p w14:paraId="1E5465F6" w14:textId="3442B5D8" w:rsidR="00DF0855" w:rsidRPr="00DF0855" w:rsidRDefault="00DF0855" w:rsidP="00DF0855">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DF0855">
        <w:rPr>
          <w:rFonts w:ascii="Times New Roman" w:eastAsia="Times New Roman" w:hAnsi="Times New Roman" w:cs="Times New Roman"/>
          <w:b/>
          <w:bCs/>
          <w:color w:val="000000"/>
          <w:kern w:val="0"/>
          <w14:ligatures w14:val="none"/>
        </w:rPr>
        <w:t>Storag</w:t>
      </w:r>
      <w:proofErr w:type="spellEnd"/>
      <w:r w:rsidRPr="00DF0855">
        <w:rPr>
          <w:rFonts w:ascii="Times New Roman" w:eastAsia="Times New Roman" w:hAnsi="Times New Roman" w:cs="Times New Roman"/>
          <w:b/>
          <w:bCs/>
          <w:color w:val="000000"/>
          <w:kern w:val="0"/>
          <w14:ligatures w14:val="none"/>
        </w:rPr>
        <w:t>e and Data Management</w:t>
      </w:r>
    </w:p>
    <w:p w14:paraId="5E121E01" w14:textId="0AE99ACF" w:rsidR="006E41D1" w:rsidRPr="006943B3" w:rsidRDefault="006E41D1" w:rsidP="00DF0855">
      <w:pPr>
        <w:spacing w:before="100" w:beforeAutospacing="1" w:after="100" w:afterAutospacing="1" w:line="240" w:lineRule="auto"/>
        <w:outlineLvl w:val="2"/>
        <w:rPr>
          <w:rFonts w:ascii="Times New Roman" w:hAnsi="Times New Roman" w:cs="Times New Roman"/>
          <w:color w:val="000000"/>
        </w:rPr>
      </w:pPr>
      <w:r w:rsidRPr="006943B3">
        <w:rPr>
          <w:rStyle w:val="Strong"/>
          <w:rFonts w:ascii="Times New Roman" w:hAnsi="Times New Roman" w:cs="Times New Roman"/>
          <w:color w:val="000000"/>
        </w:rPr>
        <w:t>Storage</w:t>
      </w:r>
      <w:r w:rsidRPr="006943B3">
        <w:rPr>
          <w:rFonts w:ascii="Times New Roman" w:hAnsi="Times New Roman" w:cs="Times New Roman"/>
          <w:color w:val="000000"/>
        </w:rPr>
        <w:br/>
        <w:t xml:space="preserve">All data will be organized within a structured directory system, with active preprocessing and exploratory analysis performed on local storage on my workstation for rapid iteration. Larger files, intermediate outputs, and versioned datasets will be stored in cloud-based resources such as Google Drive or the Stanford Sherlock SLURM workspace to ensure accessibility and durability. Processed datasets will be maintained primarily in Parquet or HDF5 formats, which provide </w:t>
      </w:r>
      <w:r w:rsidRPr="006943B3">
        <w:rPr>
          <w:rFonts w:ascii="Times New Roman" w:hAnsi="Times New Roman" w:cs="Times New Roman"/>
          <w:color w:val="000000"/>
        </w:rPr>
        <w:lastRenderedPageBreak/>
        <w:t>compact storage and fast access speeds, making them well suited for large-scale querying and downstream machine-learning workflows.</w:t>
      </w:r>
    </w:p>
    <w:p w14:paraId="2BB5D45C" w14:textId="3EE4B95C" w:rsidR="006E41D1" w:rsidRPr="006943B3" w:rsidRDefault="006E41D1" w:rsidP="00DF0855">
      <w:pPr>
        <w:spacing w:before="100" w:beforeAutospacing="1" w:after="100" w:afterAutospacing="1" w:line="240" w:lineRule="auto"/>
        <w:outlineLvl w:val="2"/>
        <w:rPr>
          <w:rFonts w:ascii="Times New Roman" w:hAnsi="Times New Roman" w:cs="Times New Roman"/>
          <w:color w:val="000000"/>
        </w:rPr>
      </w:pPr>
      <w:r w:rsidRPr="006943B3">
        <w:rPr>
          <w:rStyle w:val="Strong"/>
          <w:rFonts w:ascii="Times New Roman" w:hAnsi="Times New Roman" w:cs="Times New Roman"/>
          <w:color w:val="000000"/>
        </w:rPr>
        <w:t>Backup Strategy</w:t>
      </w:r>
      <w:r w:rsidRPr="006943B3">
        <w:rPr>
          <w:rFonts w:ascii="Times New Roman" w:hAnsi="Times New Roman" w:cs="Times New Roman"/>
          <w:color w:val="000000"/>
        </w:rPr>
        <w:br/>
        <w:t xml:space="preserve">To prevent data loss and ensure long-term reproducibility, all raw datasets will be backed up to Stanford-provided cloud storage or Google Drive, preserving their original form. Processed datasets, analysis scripts, and configuration files will be maintained under version control using GitHub, with Git Large File Storage (LFS) employed as needed for handling sizable files. This combination of redundant cloud storage and structured versioning will provide a robust safeguard against accidental deletion, corruption, or system </w:t>
      </w:r>
      <w:proofErr w:type="spellStart"/>
      <w:r w:rsidRPr="006943B3">
        <w:rPr>
          <w:rFonts w:ascii="Times New Roman" w:hAnsi="Times New Roman" w:cs="Times New Roman"/>
          <w:color w:val="000000"/>
        </w:rPr>
        <w:t>failure.</w:t>
      </w:r>
    </w:p>
    <w:p w14:paraId="7CF65F9A" w14:textId="67A7E72B" w:rsidR="006E41D1" w:rsidRPr="006943B3" w:rsidRDefault="006E41D1" w:rsidP="00DF0855">
      <w:pPr>
        <w:spacing w:before="100" w:beforeAutospacing="1" w:after="100" w:afterAutospacing="1" w:line="240" w:lineRule="auto"/>
        <w:outlineLvl w:val="0"/>
        <w:rPr>
          <w:rFonts w:ascii="Times New Roman" w:hAnsi="Times New Roman" w:cs="Times New Roman"/>
          <w:color w:val="000000"/>
        </w:rPr>
      </w:pPr>
      <w:proofErr w:type="spellEnd"/>
      <w:r w:rsidRPr="006943B3">
        <w:rPr>
          <w:rStyle w:val="Strong"/>
          <w:rFonts w:ascii="Times New Roman" w:hAnsi="Times New Roman" w:cs="Times New Roman"/>
          <w:color w:val="000000"/>
        </w:rPr>
        <w:t>Sharing With Collaborators</w:t>
      </w:r>
      <w:r w:rsidRPr="006943B3">
        <w:rPr>
          <w:rFonts w:ascii="Times New Roman" w:hAnsi="Times New Roman" w:cs="Times New Roman"/>
          <w:color w:val="000000"/>
        </w:rPr>
        <w:br/>
        <w:t xml:space="preserve">If collaboration becomes necessary, processed datasets under approximately 5 GB will be shared through platforms such as Google Drive or GitHub releases for convenient access. Larger files, including raw mass-spectrometry formats like </w:t>
      </w:r>
      <w:proofErr w:type="spellStart"/>
      <w:r w:rsidRPr="006943B3">
        <w:rPr>
          <w:rFonts w:ascii="Times New Roman" w:hAnsi="Times New Roman" w:cs="Times New Roman"/>
          <w:color w:val="000000"/>
        </w:rPr>
        <w:t>mzML</w:t>
      </w:r>
      <w:proofErr w:type="spellEnd"/>
      <w:r w:rsidRPr="006943B3">
        <w:rPr>
          <w:rFonts w:ascii="Times New Roman" w:hAnsi="Times New Roman" w:cs="Times New Roman"/>
          <w:color w:val="000000"/>
        </w:rPr>
        <w:t xml:space="preserve">, will be distributed using high-throughput data transfer services such as Globus or Box, or by directing collaborators to the original repository accession numbers in PRIDE or </w:t>
      </w:r>
      <w:proofErr w:type="spellStart"/>
      <w:r w:rsidRPr="006943B3">
        <w:rPr>
          <w:rFonts w:ascii="Times New Roman" w:hAnsi="Times New Roman" w:cs="Times New Roman"/>
          <w:color w:val="000000"/>
        </w:rPr>
        <w:t>MassIVE</w:t>
      </w:r>
      <w:proofErr w:type="spellEnd"/>
      <w:r w:rsidRPr="006943B3">
        <w:rPr>
          <w:rFonts w:ascii="Times New Roman" w:hAnsi="Times New Roman" w:cs="Times New Roman"/>
          <w:color w:val="000000"/>
        </w:rPr>
        <w:t>. All shared materials will comply with appropriate licensing requirements and ethical guidelines to ensure responsible data dissemination.</w:t>
      </w:r>
    </w:p>
    <w:p w14:paraId="07CE77D2" w14:textId="6BAD933C" w:rsidR="00DF0855" w:rsidRPr="00DF0855" w:rsidRDefault="00DF0855" w:rsidP="00DF0855">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DF0855">
        <w:rPr>
          <w:rFonts w:ascii="Times New Roman" w:eastAsia="Times New Roman" w:hAnsi="Times New Roman" w:cs="Times New Roman"/>
          <w:b/>
          <w:bCs/>
          <w:color w:val="000000"/>
          <w:kern w:val="36"/>
          <w14:ligatures w14:val="none"/>
        </w:rPr>
        <w:t>Environment</w:t>
      </w:r>
    </w:p>
    <w:p w14:paraId="20E4DE22" w14:textId="2F5C5A47" w:rsidR="006E41D1" w:rsidRPr="006943B3" w:rsidRDefault="006E41D1" w:rsidP="00DF0855">
      <w:pPr>
        <w:spacing w:before="100" w:beforeAutospacing="1" w:after="100" w:afterAutospacing="1" w:line="240" w:lineRule="auto"/>
        <w:outlineLvl w:val="1"/>
        <w:rPr>
          <w:rFonts w:ascii="Times New Roman" w:hAnsi="Times New Roman" w:cs="Times New Roman"/>
          <w:color w:val="000000"/>
        </w:rPr>
      </w:pPr>
      <w:r w:rsidRPr="006943B3">
        <w:rPr>
          <w:rStyle w:val="Strong"/>
          <w:rFonts w:ascii="Times New Roman" w:hAnsi="Times New Roman" w:cs="Times New Roman"/>
          <w:color w:val="000000"/>
        </w:rPr>
        <w:t>Coding Environment</w:t>
      </w:r>
      <w:r w:rsidRPr="006943B3">
        <w:rPr>
          <w:rFonts w:ascii="Times New Roman" w:hAnsi="Times New Roman" w:cs="Times New Roman"/>
          <w:color w:val="000000"/>
        </w:rPr>
        <w:br/>
        <w:t xml:space="preserve">This project will be carried out in a hybrid computational environment designed to balance development flexibility with the scalability required for large analyses. Initial data exploration, cleaning, visualization, and rapid prototyping will be performed on a local MacOS workstation using </w:t>
      </w:r>
      <w:proofErr w:type="spellStart"/>
      <w:r w:rsidRPr="006943B3">
        <w:rPr>
          <w:rFonts w:ascii="Times New Roman" w:hAnsi="Times New Roman" w:cs="Times New Roman"/>
          <w:color w:val="000000"/>
        </w:rPr>
        <w:t>Jupyter</w:t>
      </w:r>
      <w:proofErr w:type="spellEnd"/>
      <w:r w:rsidRPr="006943B3">
        <w:rPr>
          <w:rFonts w:ascii="Times New Roman" w:hAnsi="Times New Roman" w:cs="Times New Roman"/>
          <w:color w:val="000000"/>
        </w:rPr>
        <w:t xml:space="preserve"> Notebook or VS Code. Compute-intensive components—such as generating peptide and TCR embeddings, performing large-scale clustering or motif discovery, and training machine-learning models—will be run on the Stanford Sherlock HPC cluster, with jobs submitted through SLURM and long-running or parallelizable workflows executed on appropriate compute nodes. Additionally, a remote code-server environment will provide browser-based access to the same Python environments configured on Sherlock, enabling consistent development without requiring complex local IDE setups. This combination of local interactivity and HPC scalability ensures smooth transitions between exploratory analysis and heavy computational workloads.</w:t>
      </w:r>
    </w:p>
    <w:p w14:paraId="0D08B4C5" w14:textId="7F27473D" w:rsidR="00DF0855" w:rsidRPr="00DF0855" w:rsidRDefault="00DF0855" w:rsidP="00DF0855">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DF0855">
        <w:rPr>
          <w:rFonts w:ascii="Times New Roman" w:eastAsia="Times New Roman" w:hAnsi="Times New Roman" w:cs="Times New Roman"/>
          <w:b/>
          <w:bCs/>
          <w:color w:val="000000"/>
          <w:kern w:val="0"/>
          <w14:ligatures w14:val="none"/>
        </w:rPr>
        <w:t>Dependencies</w:t>
      </w:r>
    </w:p>
    <w:p w14:paraId="220B8FA2" w14:textId="77777777" w:rsidR="00DF0855" w:rsidRPr="00DF0855" w:rsidRDefault="00DF0855" w:rsidP="00DF0855">
      <w:p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The analysis will require the following key tools and libraries:</w:t>
      </w:r>
    </w:p>
    <w:p w14:paraId="3091F7D2" w14:textId="77777777" w:rsidR="00DF0855" w:rsidRPr="00DF0855" w:rsidRDefault="00DF0855" w:rsidP="00DF0855">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Python Packages</w:t>
      </w:r>
    </w:p>
    <w:p w14:paraId="6ADCEF14" w14:textId="77777777" w:rsidR="00DF0855" w:rsidRPr="00DF0855" w:rsidRDefault="00DF0855" w:rsidP="00DF085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Data handling: pandas, </w:t>
      </w:r>
      <w:proofErr w:type="spellStart"/>
      <w:r w:rsidRPr="00DF0855">
        <w:rPr>
          <w:rFonts w:ascii="Times New Roman" w:eastAsia="Times New Roman" w:hAnsi="Times New Roman" w:cs="Times New Roman"/>
          <w:color w:val="000000"/>
          <w:kern w:val="0"/>
          <w14:ligatures w14:val="none"/>
        </w:rPr>
        <w:t>numpy</w:t>
      </w:r>
      <w:proofErr w:type="spellEnd"/>
      <w:r w:rsidRPr="00DF0855">
        <w:rPr>
          <w:rFonts w:ascii="Times New Roman" w:eastAsia="Times New Roman" w:hAnsi="Times New Roman" w:cs="Times New Roman"/>
          <w:color w:val="000000"/>
          <w:kern w:val="0"/>
          <w14:ligatures w14:val="none"/>
        </w:rPr>
        <w:t>, polars, </w:t>
      </w:r>
      <w:proofErr w:type="spellStart"/>
      <w:r w:rsidRPr="00DF0855">
        <w:rPr>
          <w:rFonts w:ascii="Times New Roman" w:eastAsia="Times New Roman" w:hAnsi="Times New Roman" w:cs="Times New Roman"/>
          <w:color w:val="000000"/>
          <w:kern w:val="0"/>
          <w14:ligatures w14:val="none"/>
        </w:rPr>
        <w:t>pyarrow</w:t>
      </w:r>
      <w:proofErr w:type="spellEnd"/>
    </w:p>
    <w:p w14:paraId="38CCD085" w14:textId="77777777" w:rsidR="00DF0855" w:rsidRPr="00DF0855" w:rsidRDefault="00DF0855" w:rsidP="00DF085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Machine learning: scikit-learn, </w:t>
      </w:r>
      <w:proofErr w:type="spellStart"/>
      <w:r w:rsidRPr="00DF0855">
        <w:rPr>
          <w:rFonts w:ascii="Times New Roman" w:eastAsia="Times New Roman" w:hAnsi="Times New Roman" w:cs="Times New Roman"/>
          <w:color w:val="000000"/>
          <w:kern w:val="0"/>
          <w14:ligatures w14:val="none"/>
        </w:rPr>
        <w:t>tensorflow</w:t>
      </w:r>
      <w:proofErr w:type="spellEnd"/>
      <w:r w:rsidRPr="00DF0855">
        <w:rPr>
          <w:rFonts w:ascii="Times New Roman" w:eastAsia="Times New Roman" w:hAnsi="Times New Roman" w:cs="Times New Roman"/>
          <w:color w:val="000000"/>
          <w:kern w:val="0"/>
          <w14:ligatures w14:val="none"/>
        </w:rPr>
        <w:t> or </w:t>
      </w:r>
      <w:proofErr w:type="spellStart"/>
      <w:r w:rsidRPr="00DF0855">
        <w:rPr>
          <w:rFonts w:ascii="Times New Roman" w:eastAsia="Times New Roman" w:hAnsi="Times New Roman" w:cs="Times New Roman"/>
          <w:color w:val="000000"/>
          <w:kern w:val="0"/>
          <w14:ligatures w14:val="none"/>
        </w:rPr>
        <w:t>pytorch</w:t>
      </w:r>
      <w:proofErr w:type="spellEnd"/>
      <w:r w:rsidRPr="00DF0855">
        <w:rPr>
          <w:rFonts w:ascii="Times New Roman" w:eastAsia="Times New Roman" w:hAnsi="Times New Roman" w:cs="Times New Roman"/>
          <w:color w:val="000000"/>
          <w:kern w:val="0"/>
          <w14:ligatures w14:val="none"/>
        </w:rPr>
        <w:t>, </w:t>
      </w:r>
      <w:proofErr w:type="spellStart"/>
      <w:r w:rsidRPr="00DF0855">
        <w:rPr>
          <w:rFonts w:ascii="Times New Roman" w:eastAsia="Times New Roman" w:hAnsi="Times New Roman" w:cs="Times New Roman"/>
          <w:color w:val="000000"/>
          <w:kern w:val="0"/>
          <w14:ligatures w14:val="none"/>
        </w:rPr>
        <w:t>umap</w:t>
      </w:r>
      <w:proofErr w:type="spellEnd"/>
      <w:r w:rsidRPr="00DF0855">
        <w:rPr>
          <w:rFonts w:ascii="Times New Roman" w:eastAsia="Times New Roman" w:hAnsi="Times New Roman" w:cs="Times New Roman"/>
          <w:color w:val="000000"/>
          <w:kern w:val="0"/>
          <w14:ligatures w14:val="none"/>
        </w:rPr>
        <w:t>-learn</w:t>
      </w:r>
    </w:p>
    <w:p w14:paraId="24685AB4" w14:textId="77777777" w:rsidR="00DF0855" w:rsidRPr="00DF0855" w:rsidRDefault="00DF0855" w:rsidP="00DF085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Sequence analysis: </w:t>
      </w:r>
      <w:proofErr w:type="spellStart"/>
      <w:r w:rsidRPr="00DF0855">
        <w:rPr>
          <w:rFonts w:ascii="Times New Roman" w:eastAsia="Times New Roman" w:hAnsi="Times New Roman" w:cs="Times New Roman"/>
          <w:color w:val="000000"/>
          <w:kern w:val="0"/>
          <w14:ligatures w14:val="none"/>
        </w:rPr>
        <w:t>BioPython</w:t>
      </w:r>
      <w:proofErr w:type="spellEnd"/>
      <w:r w:rsidRPr="00DF0855">
        <w:rPr>
          <w:rFonts w:ascii="Times New Roman" w:eastAsia="Times New Roman" w:hAnsi="Times New Roman" w:cs="Times New Roman"/>
          <w:color w:val="000000"/>
          <w:kern w:val="0"/>
          <w14:ligatures w14:val="none"/>
        </w:rPr>
        <w:t>, tcrdist3, </w:t>
      </w:r>
      <w:proofErr w:type="spellStart"/>
      <w:r w:rsidRPr="00DF0855">
        <w:rPr>
          <w:rFonts w:ascii="Times New Roman" w:eastAsia="Times New Roman" w:hAnsi="Times New Roman" w:cs="Times New Roman"/>
          <w:color w:val="000000"/>
          <w:kern w:val="0"/>
          <w14:ligatures w14:val="none"/>
        </w:rPr>
        <w:t>tcrsampler</w:t>
      </w:r>
      <w:proofErr w:type="spellEnd"/>
      <w:r w:rsidRPr="00DF0855">
        <w:rPr>
          <w:rFonts w:ascii="Times New Roman" w:eastAsia="Times New Roman" w:hAnsi="Times New Roman" w:cs="Times New Roman"/>
          <w:color w:val="000000"/>
          <w:kern w:val="0"/>
          <w14:ligatures w14:val="none"/>
        </w:rPr>
        <w:t>, </w:t>
      </w:r>
      <w:proofErr w:type="spellStart"/>
      <w:r w:rsidRPr="00DF0855">
        <w:rPr>
          <w:rFonts w:ascii="Times New Roman" w:eastAsia="Times New Roman" w:hAnsi="Times New Roman" w:cs="Times New Roman"/>
          <w:color w:val="000000"/>
          <w:kern w:val="0"/>
          <w14:ligatures w14:val="none"/>
        </w:rPr>
        <w:t>scirpy</w:t>
      </w:r>
      <w:proofErr w:type="spellEnd"/>
    </w:p>
    <w:p w14:paraId="526C83CE" w14:textId="77777777" w:rsidR="00DF0855" w:rsidRPr="00DF0855" w:rsidRDefault="00DF0855" w:rsidP="00DF085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Visualization: matplotlib, seaborn, </w:t>
      </w:r>
      <w:proofErr w:type="spellStart"/>
      <w:r w:rsidRPr="00DF0855">
        <w:rPr>
          <w:rFonts w:ascii="Times New Roman" w:eastAsia="Times New Roman" w:hAnsi="Times New Roman" w:cs="Times New Roman"/>
          <w:color w:val="000000"/>
          <w:kern w:val="0"/>
          <w14:ligatures w14:val="none"/>
        </w:rPr>
        <w:t>plotly</w:t>
      </w:r>
      <w:proofErr w:type="spellEnd"/>
      <w:r w:rsidRPr="00DF0855">
        <w:rPr>
          <w:rFonts w:ascii="Times New Roman" w:eastAsia="Times New Roman" w:hAnsi="Times New Roman" w:cs="Times New Roman"/>
          <w:color w:val="000000"/>
          <w:kern w:val="0"/>
          <w14:ligatures w14:val="none"/>
        </w:rPr>
        <w:t>, </w:t>
      </w:r>
      <w:proofErr w:type="spellStart"/>
      <w:r w:rsidRPr="00DF0855">
        <w:rPr>
          <w:rFonts w:ascii="Times New Roman" w:eastAsia="Times New Roman" w:hAnsi="Times New Roman" w:cs="Times New Roman"/>
          <w:color w:val="000000"/>
          <w:kern w:val="0"/>
          <w14:ligatures w14:val="none"/>
        </w:rPr>
        <w:t>altair</w:t>
      </w:r>
      <w:proofErr w:type="spellEnd"/>
    </w:p>
    <w:p w14:paraId="28095C90" w14:textId="77777777" w:rsidR="00DF0855" w:rsidRPr="00DF0855" w:rsidRDefault="00DF0855" w:rsidP="00DF085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lastRenderedPageBreak/>
        <w:t>Mass-spec processing (if needed): </w:t>
      </w:r>
      <w:proofErr w:type="spellStart"/>
      <w:r w:rsidRPr="00DF0855">
        <w:rPr>
          <w:rFonts w:ascii="Times New Roman" w:eastAsia="Times New Roman" w:hAnsi="Times New Roman" w:cs="Times New Roman"/>
          <w:color w:val="000000"/>
          <w:kern w:val="0"/>
          <w14:ligatures w14:val="none"/>
        </w:rPr>
        <w:t>pyOpenMS</w:t>
      </w:r>
      <w:proofErr w:type="spellEnd"/>
      <w:r w:rsidRPr="00DF0855">
        <w:rPr>
          <w:rFonts w:ascii="Times New Roman" w:eastAsia="Times New Roman" w:hAnsi="Times New Roman" w:cs="Times New Roman"/>
          <w:color w:val="000000"/>
          <w:kern w:val="0"/>
          <w14:ligatures w14:val="none"/>
        </w:rPr>
        <w:t>, </w:t>
      </w:r>
      <w:proofErr w:type="spellStart"/>
      <w:r w:rsidRPr="00DF0855">
        <w:rPr>
          <w:rFonts w:ascii="Times New Roman" w:eastAsia="Times New Roman" w:hAnsi="Times New Roman" w:cs="Times New Roman"/>
          <w:color w:val="000000"/>
          <w:kern w:val="0"/>
          <w14:ligatures w14:val="none"/>
        </w:rPr>
        <w:t>msproteomicstools</w:t>
      </w:r>
      <w:proofErr w:type="spellEnd"/>
    </w:p>
    <w:p w14:paraId="0A30DB47" w14:textId="77777777" w:rsidR="00DF0855" w:rsidRPr="00DF0855" w:rsidRDefault="00DF0855" w:rsidP="00DF0855">
      <w:pPr>
        <w:numPr>
          <w:ilvl w:val="0"/>
          <w:numId w:val="1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MHC prediction tools: wrappers for </w:t>
      </w:r>
      <w:proofErr w:type="spellStart"/>
      <w:r w:rsidRPr="00DF0855">
        <w:rPr>
          <w:rFonts w:ascii="Times New Roman" w:eastAsia="Times New Roman" w:hAnsi="Times New Roman" w:cs="Times New Roman"/>
          <w:color w:val="000000"/>
          <w:kern w:val="0"/>
          <w14:ligatures w14:val="none"/>
        </w:rPr>
        <w:t>netMHCpan</w:t>
      </w:r>
      <w:proofErr w:type="spellEnd"/>
      <w:r w:rsidRPr="00DF0855">
        <w:rPr>
          <w:rFonts w:ascii="Times New Roman" w:eastAsia="Times New Roman" w:hAnsi="Times New Roman" w:cs="Times New Roman"/>
          <w:color w:val="000000"/>
          <w:kern w:val="0"/>
          <w14:ligatures w14:val="none"/>
        </w:rPr>
        <w:t>, </w:t>
      </w:r>
      <w:proofErr w:type="spellStart"/>
      <w:r w:rsidRPr="00DF0855">
        <w:rPr>
          <w:rFonts w:ascii="Times New Roman" w:eastAsia="Times New Roman" w:hAnsi="Times New Roman" w:cs="Times New Roman"/>
          <w:color w:val="000000"/>
          <w:kern w:val="0"/>
          <w14:ligatures w14:val="none"/>
        </w:rPr>
        <w:t>MHCflurry</w:t>
      </w:r>
      <w:proofErr w:type="spellEnd"/>
    </w:p>
    <w:p w14:paraId="0F58F9E7" w14:textId="77777777" w:rsidR="00DF0855" w:rsidRPr="00DF0855" w:rsidRDefault="00DF0855" w:rsidP="00DF0855">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External Tools</w:t>
      </w:r>
    </w:p>
    <w:p w14:paraId="6377D4DA" w14:textId="77777777" w:rsidR="00DF0855" w:rsidRPr="00DF0855" w:rsidRDefault="00DF0855" w:rsidP="00DF085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DF0855">
        <w:rPr>
          <w:rFonts w:ascii="Times New Roman" w:eastAsia="Times New Roman" w:hAnsi="Times New Roman" w:cs="Times New Roman"/>
          <w:color w:val="000000"/>
          <w:kern w:val="0"/>
          <w14:ligatures w14:val="none"/>
        </w:rPr>
        <w:t>netMHCpan</w:t>
      </w:r>
      <w:proofErr w:type="spellEnd"/>
      <w:r w:rsidRPr="00DF0855">
        <w:rPr>
          <w:rFonts w:ascii="Times New Roman" w:eastAsia="Times New Roman" w:hAnsi="Times New Roman" w:cs="Times New Roman"/>
          <w:color w:val="000000"/>
          <w:kern w:val="0"/>
          <w14:ligatures w14:val="none"/>
        </w:rPr>
        <w:t> or </w:t>
      </w:r>
      <w:proofErr w:type="spellStart"/>
      <w:r w:rsidRPr="00DF0855">
        <w:rPr>
          <w:rFonts w:ascii="Times New Roman" w:eastAsia="Times New Roman" w:hAnsi="Times New Roman" w:cs="Times New Roman"/>
          <w:color w:val="000000"/>
          <w:kern w:val="0"/>
          <w14:ligatures w14:val="none"/>
        </w:rPr>
        <w:t>MHCflurry</w:t>
      </w:r>
      <w:proofErr w:type="spellEnd"/>
      <w:r w:rsidRPr="00DF0855">
        <w:rPr>
          <w:rFonts w:ascii="Times New Roman" w:eastAsia="Times New Roman" w:hAnsi="Times New Roman" w:cs="Times New Roman"/>
          <w:color w:val="000000"/>
          <w:kern w:val="0"/>
          <w14:ligatures w14:val="none"/>
        </w:rPr>
        <w:t> for binding-affinity prediction</w:t>
      </w:r>
    </w:p>
    <w:p w14:paraId="072DA968" w14:textId="77777777" w:rsidR="00DF0855" w:rsidRPr="00DF0855" w:rsidRDefault="00DF0855" w:rsidP="00DF085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HDF5/Parquet utilities for efficient storage</w:t>
      </w:r>
    </w:p>
    <w:p w14:paraId="7DC8B812" w14:textId="77777777" w:rsidR="00DF0855" w:rsidRPr="00DF0855" w:rsidRDefault="00DF0855" w:rsidP="00DF0855">
      <w:pPr>
        <w:numPr>
          <w:ilvl w:val="0"/>
          <w:numId w:val="1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 xml:space="preserve">Optionally, a Docker or </w:t>
      </w:r>
      <w:proofErr w:type="spellStart"/>
      <w:r w:rsidRPr="00DF0855">
        <w:rPr>
          <w:rFonts w:ascii="Times New Roman" w:eastAsia="Times New Roman" w:hAnsi="Times New Roman" w:cs="Times New Roman"/>
          <w:color w:val="000000"/>
          <w:kern w:val="0"/>
          <w14:ligatures w14:val="none"/>
        </w:rPr>
        <w:t>Apptainer</w:t>
      </w:r>
      <w:proofErr w:type="spellEnd"/>
      <w:r w:rsidRPr="00DF0855">
        <w:rPr>
          <w:rFonts w:ascii="Times New Roman" w:eastAsia="Times New Roman" w:hAnsi="Times New Roman" w:cs="Times New Roman"/>
          <w:color w:val="000000"/>
          <w:kern w:val="0"/>
          <w14:ligatures w14:val="none"/>
        </w:rPr>
        <w:t>/Singularity container for standardized HPC execution</w:t>
      </w:r>
    </w:p>
    <w:p w14:paraId="184A7AB6" w14:textId="77777777" w:rsidR="00DF0855" w:rsidRPr="00DF0855" w:rsidRDefault="00DF0855" w:rsidP="00DF0855">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HPC Modules</w:t>
      </w:r>
    </w:p>
    <w:p w14:paraId="7C524871" w14:textId="77777777" w:rsidR="00DF0855" w:rsidRPr="00DF0855" w:rsidRDefault="00DF0855" w:rsidP="00DF0855">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python/3.12, </w:t>
      </w:r>
      <w:proofErr w:type="spellStart"/>
      <w:r w:rsidRPr="00DF0855">
        <w:rPr>
          <w:rFonts w:ascii="Times New Roman" w:eastAsia="Times New Roman" w:hAnsi="Times New Roman" w:cs="Times New Roman"/>
          <w:color w:val="000000"/>
          <w:kern w:val="0"/>
          <w14:ligatures w14:val="none"/>
        </w:rPr>
        <w:t>gcc</w:t>
      </w:r>
      <w:proofErr w:type="spellEnd"/>
      <w:r w:rsidRPr="00DF0855">
        <w:rPr>
          <w:rFonts w:ascii="Times New Roman" w:eastAsia="Times New Roman" w:hAnsi="Times New Roman" w:cs="Times New Roman"/>
          <w:color w:val="000000"/>
          <w:kern w:val="0"/>
          <w14:ligatures w14:val="none"/>
        </w:rPr>
        <w:t>, and CUDA modules if using GPU-based deep learning</w:t>
      </w:r>
    </w:p>
    <w:p w14:paraId="7BB21D52" w14:textId="77777777" w:rsidR="00DF0855" w:rsidRPr="00DF0855" w:rsidRDefault="00DF0855" w:rsidP="00DF0855">
      <w:pPr>
        <w:numPr>
          <w:ilvl w:val="0"/>
          <w:numId w:val="19"/>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Any Stanford Sherlock modules necessary for optimized job execution</w:t>
      </w:r>
    </w:p>
    <w:p w14:paraId="33FB4C60" w14:textId="0086524B" w:rsidR="006E41D1" w:rsidRPr="006943B3" w:rsidRDefault="006E41D1" w:rsidP="00DF0855">
      <w:pPr>
        <w:spacing w:before="100" w:beforeAutospacing="1" w:after="100" w:afterAutospacing="1" w:line="240" w:lineRule="auto"/>
        <w:outlineLvl w:val="2"/>
        <w:rPr>
          <w:rFonts w:ascii="Times New Roman" w:hAnsi="Times New Roman" w:cs="Times New Roman"/>
          <w:color w:val="000000"/>
        </w:rPr>
      </w:pPr>
      <w:r w:rsidRPr="006943B3">
        <w:rPr>
          <w:rStyle w:val="Strong"/>
          <w:rFonts w:ascii="Times New Roman" w:hAnsi="Times New Roman" w:cs="Times New Roman"/>
          <w:color w:val="000000"/>
        </w:rPr>
        <w:t>Reproducibility</w:t>
      </w:r>
      <w:r w:rsidRPr="006943B3">
        <w:rPr>
          <w:rFonts w:ascii="Times New Roman" w:hAnsi="Times New Roman" w:cs="Times New Roman"/>
          <w:color w:val="000000"/>
        </w:rPr>
        <w:br/>
        <w:t>Ensuring reproducibility is a central component of the computational workflow. All scripts, notebooks, and configuration files will be tracked in a dedicated GitHub repository, with branch structures used to manage experimental features, alternative modeling approaches, or iterative refinements. GitHub issues will serve as a structured record of methodological decisions, troubleshooting steps, and progress updates. Together, these practices provide full transparency of the analytical process and allow others to replicate the pipeline from end to end.</w:t>
      </w:r>
    </w:p>
    <w:p w14:paraId="569F61D6" w14:textId="7D620233" w:rsidR="00DF0855" w:rsidRPr="00DF0855" w:rsidRDefault="00DF0855" w:rsidP="00DF0855">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DF0855">
        <w:rPr>
          <w:rFonts w:ascii="Times New Roman" w:eastAsia="Times New Roman" w:hAnsi="Times New Roman" w:cs="Times New Roman"/>
          <w:b/>
          <w:bCs/>
          <w:color w:val="000000"/>
          <w:kern w:val="0"/>
          <w14:ligatures w14:val="none"/>
        </w:rPr>
        <w:t>Requirements / Environment Files</w:t>
      </w:r>
    </w:p>
    <w:p w14:paraId="3B793F36" w14:textId="77777777" w:rsidR="00DF0855" w:rsidRPr="00DF0855" w:rsidRDefault="00DF0855" w:rsidP="00DF0855">
      <w:p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To standardize dependencies:</w:t>
      </w:r>
    </w:p>
    <w:p w14:paraId="357AC6BF" w14:textId="77777777" w:rsidR="00DF0855" w:rsidRPr="00DF0855" w:rsidRDefault="00DF0855" w:rsidP="00DF0855">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A requirements.txt will specify all Python packages with fixed versions.</w:t>
      </w:r>
    </w:p>
    <w:p w14:paraId="422755D8" w14:textId="77777777" w:rsidR="00DF0855" w:rsidRPr="00DF0855" w:rsidRDefault="00DF0855" w:rsidP="00DF0855">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A </w:t>
      </w:r>
      <w:proofErr w:type="spellStart"/>
      <w:r w:rsidRPr="00DF0855">
        <w:rPr>
          <w:rFonts w:ascii="Times New Roman" w:eastAsia="Times New Roman" w:hAnsi="Times New Roman" w:cs="Times New Roman"/>
          <w:color w:val="000000"/>
          <w:kern w:val="0"/>
          <w14:ligatures w14:val="none"/>
        </w:rPr>
        <w:t>environment.yml</w:t>
      </w:r>
      <w:proofErr w:type="spellEnd"/>
      <w:r w:rsidRPr="00DF0855">
        <w:rPr>
          <w:rFonts w:ascii="Times New Roman" w:eastAsia="Times New Roman" w:hAnsi="Times New Roman" w:cs="Times New Roman"/>
          <w:color w:val="000000"/>
          <w:kern w:val="0"/>
          <w14:ligatures w14:val="none"/>
        </w:rPr>
        <w:t> (</w:t>
      </w:r>
      <w:proofErr w:type="spellStart"/>
      <w:r w:rsidRPr="00DF0855">
        <w:rPr>
          <w:rFonts w:ascii="Times New Roman" w:eastAsia="Times New Roman" w:hAnsi="Times New Roman" w:cs="Times New Roman"/>
          <w:color w:val="000000"/>
          <w:kern w:val="0"/>
          <w14:ligatures w14:val="none"/>
        </w:rPr>
        <w:t>conda</w:t>
      </w:r>
      <w:proofErr w:type="spellEnd"/>
      <w:r w:rsidRPr="00DF0855">
        <w:rPr>
          <w:rFonts w:ascii="Times New Roman" w:eastAsia="Times New Roman" w:hAnsi="Times New Roman" w:cs="Times New Roman"/>
          <w:color w:val="000000"/>
          <w:kern w:val="0"/>
          <w14:ligatures w14:val="none"/>
        </w:rPr>
        <w:t xml:space="preserve"> or mamba) will define the full software stack including external libraries.</w:t>
      </w:r>
    </w:p>
    <w:p w14:paraId="7A150BBE" w14:textId="77777777" w:rsidR="00DF0855" w:rsidRPr="00DF0855" w:rsidRDefault="00DF0855" w:rsidP="00DF0855">
      <w:pPr>
        <w:numPr>
          <w:ilvl w:val="0"/>
          <w:numId w:val="21"/>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For HPC usage, the same environment will be built using </w:t>
      </w:r>
      <w:proofErr w:type="spellStart"/>
      <w:r w:rsidRPr="00DF0855">
        <w:rPr>
          <w:rFonts w:ascii="Times New Roman" w:eastAsia="Times New Roman" w:hAnsi="Times New Roman" w:cs="Times New Roman"/>
          <w:color w:val="000000"/>
          <w:kern w:val="0"/>
          <w14:ligatures w14:val="none"/>
        </w:rPr>
        <w:t>micromamba</w:t>
      </w:r>
      <w:proofErr w:type="spellEnd"/>
      <w:r w:rsidRPr="00DF0855">
        <w:rPr>
          <w:rFonts w:ascii="Times New Roman" w:eastAsia="Times New Roman" w:hAnsi="Times New Roman" w:cs="Times New Roman"/>
          <w:color w:val="000000"/>
          <w:kern w:val="0"/>
          <w14:ligatures w14:val="none"/>
        </w:rPr>
        <w:t> to ensure parity between local and cluster environments.</w:t>
      </w:r>
    </w:p>
    <w:p w14:paraId="147074C8" w14:textId="77777777" w:rsidR="00DF0855" w:rsidRPr="00DF0855" w:rsidRDefault="00DF0855" w:rsidP="00DF0855">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Containerization</w:t>
      </w:r>
    </w:p>
    <w:p w14:paraId="393CE0C4" w14:textId="77777777" w:rsidR="00DF0855" w:rsidRPr="00DF0855" w:rsidRDefault="00DF0855" w:rsidP="00DF0855">
      <w:p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To ensure that the project is fully reproducible and portable:</w:t>
      </w:r>
    </w:p>
    <w:p w14:paraId="6F879D4F" w14:textId="77777777" w:rsidR="00DF0855" w:rsidRPr="00DF0855" w:rsidRDefault="00DF0855" w:rsidP="00DF0855">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A </w:t>
      </w:r>
      <w:proofErr w:type="spellStart"/>
      <w:r w:rsidRPr="00DF0855">
        <w:rPr>
          <w:rFonts w:ascii="Times New Roman" w:eastAsia="Times New Roman" w:hAnsi="Times New Roman" w:cs="Times New Roman"/>
          <w:color w:val="000000"/>
          <w:kern w:val="0"/>
          <w14:ligatures w14:val="none"/>
        </w:rPr>
        <w:t>Dockerfile</w:t>
      </w:r>
      <w:proofErr w:type="spellEnd"/>
      <w:r w:rsidRPr="00DF0855">
        <w:rPr>
          <w:rFonts w:ascii="Times New Roman" w:eastAsia="Times New Roman" w:hAnsi="Times New Roman" w:cs="Times New Roman"/>
          <w:color w:val="000000"/>
          <w:kern w:val="0"/>
          <w14:ligatures w14:val="none"/>
        </w:rPr>
        <w:t> will be provided for local or cloud execution.</w:t>
      </w:r>
    </w:p>
    <w:p w14:paraId="40AAE54C" w14:textId="77777777" w:rsidR="00DF0855" w:rsidRPr="00DF0855" w:rsidRDefault="00DF0855" w:rsidP="00DF0855">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For HPC, the Docker image will be converted into an </w:t>
      </w:r>
      <w:proofErr w:type="spellStart"/>
      <w:r w:rsidRPr="00DF0855">
        <w:rPr>
          <w:rFonts w:ascii="Times New Roman" w:eastAsia="Times New Roman" w:hAnsi="Times New Roman" w:cs="Times New Roman"/>
          <w:color w:val="000000"/>
          <w:kern w:val="0"/>
          <w14:ligatures w14:val="none"/>
        </w:rPr>
        <w:t>Apptainer</w:t>
      </w:r>
      <w:proofErr w:type="spellEnd"/>
      <w:r w:rsidRPr="00DF0855">
        <w:rPr>
          <w:rFonts w:ascii="Times New Roman" w:eastAsia="Times New Roman" w:hAnsi="Times New Roman" w:cs="Times New Roman"/>
          <w:color w:val="000000"/>
          <w:kern w:val="0"/>
          <w14:ligatures w14:val="none"/>
        </w:rPr>
        <w:t>/Singularity image, enabling identical functionality across systems.</w:t>
      </w:r>
    </w:p>
    <w:p w14:paraId="772B695A" w14:textId="77777777" w:rsidR="00DF0855" w:rsidRPr="00DF0855" w:rsidRDefault="00DF0855" w:rsidP="00DF0855">
      <w:pPr>
        <w:numPr>
          <w:ilvl w:val="0"/>
          <w:numId w:val="22"/>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The container will include all required Python libraries, MHC prediction tools, and system dependencies.</w:t>
      </w:r>
    </w:p>
    <w:p w14:paraId="57758C3E" w14:textId="77777777" w:rsidR="00DF0855" w:rsidRPr="00DF0855" w:rsidRDefault="00DF0855" w:rsidP="00DF0855">
      <w:pPr>
        <w:spacing w:before="100" w:beforeAutospacing="1" w:after="100" w:afterAutospacing="1" w:line="240" w:lineRule="auto"/>
        <w:outlineLvl w:val="2"/>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Workflow Logging &amp; Metadata</w:t>
      </w:r>
    </w:p>
    <w:p w14:paraId="53920BC0" w14:textId="77777777" w:rsidR="00DF0855" w:rsidRPr="00DF0855" w:rsidRDefault="00DF0855" w:rsidP="00DF0855">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All preprocessing steps will be recorded in a logs/ directory.</w:t>
      </w:r>
    </w:p>
    <w:p w14:paraId="24D9ADCD" w14:textId="77777777" w:rsidR="00DF0855" w:rsidRPr="00DF0855" w:rsidRDefault="00DF0855" w:rsidP="00DF0855">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Intermediate outputs will be versioned or timestamped to ensure traceability.</w:t>
      </w:r>
    </w:p>
    <w:p w14:paraId="4DED5E46" w14:textId="77777777" w:rsidR="00DF0855" w:rsidRPr="00DF0855" w:rsidRDefault="00DF0855" w:rsidP="00DF0855">
      <w:pPr>
        <w:numPr>
          <w:ilvl w:val="0"/>
          <w:numId w:val="23"/>
        </w:num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lastRenderedPageBreak/>
        <w:t>Important configuration values (e.g., thresholds, scoring schemes) will be stored in YAML config files.</w:t>
      </w:r>
    </w:p>
    <w:p w14:paraId="586110EA" w14:textId="4A538CD2" w:rsidR="00DF0855" w:rsidRPr="006943B3" w:rsidRDefault="00DF0855" w:rsidP="00DF0855">
      <w:pPr>
        <w:rPr>
          <w:rFonts w:ascii="Times New Roman" w:hAnsi="Times New Roman" w:cs="Times New Roman"/>
        </w:rPr>
      </w:pPr>
      <w:r w:rsidRPr="006943B3">
        <w:rPr>
          <w:rFonts w:ascii="Times New Roman" w:hAnsi="Times New Roman" w:cs="Times New Roman"/>
        </w:rPr>
        <w:t>Together, these measures ensure that researchers can clone the repository, build the environment, and re-run the entire pipeline end-to-end with minimal setup.</w:t>
      </w:r>
    </w:p>
    <w:p w14:paraId="7434CEED" w14:textId="492C0698" w:rsidR="00DF0855" w:rsidRPr="00DF0855" w:rsidRDefault="00DF0855" w:rsidP="00DF0855">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DF0855">
        <w:rPr>
          <w:rFonts w:ascii="Times New Roman" w:eastAsia="Times New Roman" w:hAnsi="Times New Roman" w:cs="Times New Roman"/>
          <w:b/>
          <w:bCs/>
          <w:color w:val="000000"/>
          <w:kern w:val="36"/>
          <w14:ligatures w14:val="none"/>
        </w:rPr>
        <w:t>Pipeline</w:t>
      </w:r>
    </w:p>
    <w:p w14:paraId="28F34360" w14:textId="77777777" w:rsidR="00DF0855" w:rsidRPr="00DF0855" w:rsidRDefault="00DF0855" w:rsidP="00DF0855">
      <w:pPr>
        <w:spacing w:before="100" w:beforeAutospacing="1" w:after="100" w:afterAutospacing="1" w:line="240" w:lineRule="auto"/>
        <w:rPr>
          <w:rFonts w:ascii="Times New Roman" w:eastAsia="Times New Roman" w:hAnsi="Times New Roman" w:cs="Times New Roman"/>
          <w:color w:val="000000"/>
          <w:kern w:val="0"/>
          <w14:ligatures w14:val="none"/>
        </w:rPr>
      </w:pPr>
      <w:r w:rsidRPr="00DF0855">
        <w:rPr>
          <w:rFonts w:ascii="Times New Roman" w:eastAsia="Times New Roman" w:hAnsi="Times New Roman" w:cs="Times New Roman"/>
          <w:color w:val="000000"/>
          <w:kern w:val="0"/>
          <w14:ligatures w14:val="none"/>
        </w:rPr>
        <w:t>The analysis will follow a multi-stage computational pipeline that integrates immunopeptidome data, peripheral TCR repertoires, sequence-based feature engineering, and predictive modeling. Each stage builds on the outputs of the previous steps to create a coherent and interpretable TCR–immunopeptidome map.</w:t>
      </w:r>
    </w:p>
    <w:p w14:paraId="1823CC04" w14:textId="3C0FB1E2" w:rsidR="00DF0855" w:rsidRPr="00DF0855" w:rsidRDefault="00DF0855" w:rsidP="00DF0855">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DF0855">
        <w:rPr>
          <w:rFonts w:ascii="Times New Roman" w:eastAsia="Times New Roman" w:hAnsi="Times New Roman" w:cs="Times New Roman"/>
          <w:b/>
          <w:bCs/>
          <w:color w:val="000000"/>
          <w:kern w:val="0"/>
          <w14:ligatures w14:val="none"/>
        </w:rPr>
        <w:t>Algorithms and Methods</w:t>
      </w:r>
    </w:p>
    <w:p w14:paraId="3126B92F" w14:textId="77777777" w:rsidR="006943B3" w:rsidRPr="006943B3" w:rsidRDefault="006943B3" w:rsidP="00DF0855">
      <w:pPr>
        <w:spacing w:before="100" w:beforeAutospacing="1" w:after="100" w:afterAutospacing="1" w:line="240" w:lineRule="auto"/>
        <w:outlineLvl w:val="2"/>
        <w:rPr>
          <w:rFonts w:ascii="Times New Roman" w:hAnsi="Times New Roman" w:cs="Times New Roman"/>
          <w:color w:val="000000"/>
        </w:rPr>
      </w:pPr>
      <w:r w:rsidRPr="006943B3">
        <w:rPr>
          <w:rStyle w:val="Strong"/>
          <w:rFonts w:ascii="Times New Roman" w:hAnsi="Times New Roman" w:cs="Times New Roman"/>
          <w:b w:val="0"/>
          <w:bCs w:val="0"/>
          <w:color w:val="000000"/>
        </w:rPr>
        <w:t>Step 1 — Data Ingestion and Standardization.</w:t>
      </w:r>
      <w:r w:rsidRPr="006943B3">
        <w:rPr>
          <w:rFonts w:ascii="Times New Roman" w:hAnsi="Times New Roman" w:cs="Times New Roman"/>
          <w:color w:val="000000"/>
        </w:rPr>
        <w:br/>
        <w:t>The first step of the pipeline focuses on converting heterogeneous datasets into a unified, analysis-ready format. This involves parsing peptide–MHC ligand tables from CSV or TSV files and restructuring them into standardized schemas, as well as extracting key metadata such as peptide sequences, HLA alleles, mass-spectrometry confidence scores, and tumor type. TCR repertoire datasets will be normalized to a consistent AIRR-like schema, ensuring uniform representation of V/J gene usage and CDR3 sequences. Additionally, low-confidence or non-productive TCR rearrangements will be filtered out to preserve only biologically meaningful sequences. Because this stage serves as the foundation for all subsequent analyses, it does not depend on outputs from earlier steps.</w:t>
      </w:r>
    </w:p>
    <w:p w14:paraId="6360AC22" w14:textId="77777777" w:rsidR="006943B3" w:rsidRPr="006943B3" w:rsidRDefault="006943B3" w:rsidP="00DF0855">
      <w:pPr>
        <w:spacing w:before="100" w:beforeAutospacing="1" w:after="100" w:afterAutospacing="1" w:line="240" w:lineRule="auto"/>
        <w:outlineLvl w:val="2"/>
        <w:rPr>
          <w:rFonts w:ascii="Times New Roman" w:hAnsi="Times New Roman" w:cs="Times New Roman"/>
          <w:color w:val="000000"/>
        </w:rPr>
      </w:pPr>
      <w:r w:rsidRPr="006943B3">
        <w:rPr>
          <w:rStyle w:val="Strong"/>
          <w:rFonts w:ascii="Times New Roman" w:hAnsi="Times New Roman" w:cs="Times New Roman"/>
          <w:b w:val="0"/>
          <w:bCs w:val="0"/>
          <w:color w:val="000000"/>
        </w:rPr>
        <w:t>Step 2 — Peptide and TCR Embedding Generation.</w:t>
      </w:r>
      <w:r w:rsidRPr="006943B3">
        <w:rPr>
          <w:rFonts w:ascii="Times New Roman" w:hAnsi="Times New Roman" w:cs="Times New Roman"/>
          <w:color w:val="000000"/>
        </w:rPr>
        <w:br/>
        <w:t xml:space="preserve">In the second step, peptide and TCR sequences will be transformed into numerical embeddings that are suitable for clustering and machine-learning models. Peptide embeddings will be generated using one-hot encodings, BLOSUM62 substitution matrices, or pretrained representations from models such as ESM or </w:t>
      </w:r>
      <w:proofErr w:type="spellStart"/>
      <w:r w:rsidRPr="006943B3">
        <w:rPr>
          <w:rFonts w:ascii="Times New Roman" w:hAnsi="Times New Roman" w:cs="Times New Roman"/>
          <w:color w:val="000000"/>
        </w:rPr>
        <w:t>MHCflurry</w:t>
      </w:r>
      <w:proofErr w:type="spellEnd"/>
      <w:r w:rsidRPr="006943B3">
        <w:rPr>
          <w:rFonts w:ascii="Times New Roman" w:hAnsi="Times New Roman" w:cs="Times New Roman"/>
          <w:color w:val="000000"/>
        </w:rPr>
        <w:t xml:space="preserve">, with the option to incorporate predicted HLA binding affinities from tools like </w:t>
      </w:r>
      <w:proofErr w:type="spellStart"/>
      <w:r w:rsidRPr="006943B3">
        <w:rPr>
          <w:rFonts w:ascii="Times New Roman" w:hAnsi="Times New Roman" w:cs="Times New Roman"/>
          <w:color w:val="000000"/>
        </w:rPr>
        <w:t>netMHCpan</w:t>
      </w:r>
      <w:proofErr w:type="spellEnd"/>
      <w:r w:rsidRPr="006943B3">
        <w:rPr>
          <w:rFonts w:ascii="Times New Roman" w:hAnsi="Times New Roman" w:cs="Times New Roman"/>
          <w:color w:val="000000"/>
        </w:rPr>
        <w:t xml:space="preserve"> or </w:t>
      </w:r>
      <w:proofErr w:type="spellStart"/>
      <w:r w:rsidRPr="006943B3">
        <w:rPr>
          <w:rFonts w:ascii="Times New Roman" w:hAnsi="Times New Roman" w:cs="Times New Roman"/>
          <w:color w:val="000000"/>
        </w:rPr>
        <w:t>MHCflurry</w:t>
      </w:r>
      <w:proofErr w:type="spellEnd"/>
      <w:r w:rsidRPr="006943B3">
        <w:rPr>
          <w:rFonts w:ascii="Times New Roman" w:hAnsi="Times New Roman" w:cs="Times New Roman"/>
          <w:color w:val="000000"/>
        </w:rPr>
        <w:t xml:space="preserve">. For TCRs, similarity will be quantified using tcrdist3, which integrates V/J gene usage with CDR3 distance metrics, and additional neural embeddings may be derived from pretrained models such as TCR-BERT or </w:t>
      </w:r>
      <w:proofErr w:type="spellStart"/>
      <w:r w:rsidRPr="006943B3">
        <w:rPr>
          <w:rFonts w:ascii="Times New Roman" w:hAnsi="Times New Roman" w:cs="Times New Roman"/>
          <w:color w:val="000000"/>
        </w:rPr>
        <w:t>DeepTCR</w:t>
      </w:r>
      <w:proofErr w:type="spellEnd"/>
      <w:r w:rsidRPr="006943B3">
        <w:rPr>
          <w:rFonts w:ascii="Times New Roman" w:hAnsi="Times New Roman" w:cs="Times New Roman"/>
          <w:color w:val="000000"/>
        </w:rPr>
        <w:t>. This embedding stage depends directly on the cleaned and standardized data produced in Step 1.</w:t>
      </w:r>
    </w:p>
    <w:p w14:paraId="5E027418" w14:textId="77777777" w:rsidR="006943B3" w:rsidRPr="006943B3" w:rsidRDefault="006943B3" w:rsidP="00DF0855">
      <w:pPr>
        <w:spacing w:before="100" w:beforeAutospacing="1" w:after="100" w:afterAutospacing="1" w:line="240" w:lineRule="auto"/>
        <w:outlineLvl w:val="2"/>
        <w:rPr>
          <w:rFonts w:ascii="Times New Roman" w:hAnsi="Times New Roman" w:cs="Times New Roman"/>
          <w:color w:val="000000"/>
        </w:rPr>
      </w:pPr>
      <w:r w:rsidRPr="006943B3">
        <w:rPr>
          <w:rStyle w:val="Strong"/>
          <w:rFonts w:ascii="Times New Roman" w:hAnsi="Times New Roman" w:cs="Times New Roman"/>
          <w:b w:val="0"/>
          <w:bCs w:val="0"/>
          <w:color w:val="000000"/>
        </w:rPr>
        <w:t>Step 3 — Clustering and Motif Discovery.</w:t>
      </w:r>
      <w:r w:rsidRPr="006943B3">
        <w:rPr>
          <w:rFonts w:ascii="Times New Roman" w:hAnsi="Times New Roman" w:cs="Times New Roman"/>
          <w:color w:val="000000"/>
        </w:rPr>
        <w:br/>
        <w:t xml:space="preserve">The third step aims to uncover structural patterns within both peptide and TCR sequence spaces. Tumor peptide embeddings will be clustered using methods such as UMAP or Leiden to group antigens with similar biochemical or structural properties, and these clusters will be compared against known tumor-associated pathways or mutation signatures to assess biological relevance. TCR sequences will be clustered using hierarchical approaches based on </w:t>
      </w:r>
      <w:proofErr w:type="spellStart"/>
      <w:r w:rsidRPr="006943B3">
        <w:rPr>
          <w:rFonts w:ascii="Times New Roman" w:hAnsi="Times New Roman" w:cs="Times New Roman"/>
          <w:color w:val="000000"/>
        </w:rPr>
        <w:t>TCRdist</w:t>
      </w:r>
      <w:proofErr w:type="spellEnd"/>
      <w:r w:rsidRPr="006943B3">
        <w:rPr>
          <w:rFonts w:ascii="Times New Roman" w:hAnsi="Times New Roman" w:cs="Times New Roman"/>
          <w:color w:val="000000"/>
        </w:rPr>
        <w:t xml:space="preserve"> metrics, enabling the identification of CDR3 motifs that are enriched within TCR groups associated with </w:t>
      </w:r>
      <w:proofErr w:type="gramStart"/>
      <w:r w:rsidRPr="006943B3">
        <w:rPr>
          <w:rFonts w:ascii="Times New Roman" w:hAnsi="Times New Roman" w:cs="Times New Roman"/>
          <w:color w:val="000000"/>
        </w:rPr>
        <w:t>particular peptide</w:t>
      </w:r>
      <w:proofErr w:type="gramEnd"/>
      <w:r w:rsidRPr="006943B3">
        <w:rPr>
          <w:rFonts w:ascii="Times New Roman" w:hAnsi="Times New Roman" w:cs="Times New Roman"/>
          <w:color w:val="000000"/>
        </w:rPr>
        <w:t xml:space="preserve"> clusters. Motif discovery will be supported by tools such as tcrdist3 motif </w:t>
      </w:r>
      <w:r w:rsidRPr="006943B3">
        <w:rPr>
          <w:rFonts w:ascii="Times New Roman" w:hAnsi="Times New Roman" w:cs="Times New Roman"/>
          <w:color w:val="000000"/>
        </w:rPr>
        <w:lastRenderedPageBreak/>
        <w:t>analysis, k-</w:t>
      </w:r>
      <w:proofErr w:type="spellStart"/>
      <w:r w:rsidRPr="006943B3">
        <w:rPr>
          <w:rFonts w:ascii="Times New Roman" w:hAnsi="Times New Roman" w:cs="Times New Roman"/>
          <w:color w:val="000000"/>
        </w:rPr>
        <w:t>mer</w:t>
      </w:r>
      <w:proofErr w:type="spellEnd"/>
      <w:r w:rsidRPr="006943B3">
        <w:rPr>
          <w:rFonts w:ascii="Times New Roman" w:hAnsi="Times New Roman" w:cs="Times New Roman"/>
          <w:color w:val="000000"/>
        </w:rPr>
        <w:t xml:space="preserve"> frequency enrichment, and position weight matrices with corresponding sequence logos. This step builds directly on the embeddings generated in Step 2.</w:t>
      </w:r>
    </w:p>
    <w:p w14:paraId="76606399" w14:textId="77777777" w:rsidR="006943B3" w:rsidRPr="006943B3" w:rsidRDefault="006943B3" w:rsidP="00DF0855">
      <w:pPr>
        <w:spacing w:before="100" w:beforeAutospacing="1" w:after="100" w:afterAutospacing="1" w:line="240" w:lineRule="auto"/>
        <w:outlineLvl w:val="2"/>
        <w:rPr>
          <w:rFonts w:ascii="Times New Roman" w:hAnsi="Times New Roman" w:cs="Times New Roman"/>
          <w:color w:val="000000"/>
        </w:rPr>
      </w:pPr>
      <w:r w:rsidRPr="006943B3">
        <w:rPr>
          <w:rStyle w:val="Strong"/>
          <w:rFonts w:ascii="Times New Roman" w:hAnsi="Times New Roman" w:cs="Times New Roman"/>
          <w:b w:val="0"/>
          <w:bCs w:val="0"/>
          <w:color w:val="000000"/>
        </w:rPr>
        <w:t>Step 4 — Statistical Association Between TCR Groups and Peptide Groups.</w:t>
      </w:r>
      <w:r w:rsidRPr="006943B3">
        <w:rPr>
          <w:rFonts w:ascii="Times New Roman" w:hAnsi="Times New Roman" w:cs="Times New Roman"/>
          <w:color w:val="000000"/>
        </w:rPr>
        <w:br/>
        <w:t xml:space="preserve">The fourth step focuses on quantifying the relationships between TCR clusters and peptide clusters to identify potential specificity patterns. Using hypergeometric enrichment tests, I will assess whether </w:t>
      </w:r>
      <w:proofErr w:type="gramStart"/>
      <w:r w:rsidRPr="006943B3">
        <w:rPr>
          <w:rFonts w:ascii="Times New Roman" w:hAnsi="Times New Roman" w:cs="Times New Roman"/>
          <w:color w:val="000000"/>
        </w:rPr>
        <w:t>particular TCR</w:t>
      </w:r>
      <w:proofErr w:type="gramEnd"/>
      <w:r w:rsidRPr="006943B3">
        <w:rPr>
          <w:rFonts w:ascii="Times New Roman" w:hAnsi="Times New Roman" w:cs="Times New Roman"/>
          <w:color w:val="000000"/>
        </w:rPr>
        <w:t xml:space="preserve"> clusters are statistically overrepresented among TCRs associated with specific peptide groups. Correlation analyses will be performed to link TCR motif frequencies with biochemical or structural features of peptide clusters, and permutation testing will be used to confirm that observed associations are unlikely to arise by chance. The output of this step will be a set of </w:t>
      </w:r>
      <w:proofErr w:type="gramStart"/>
      <w:r w:rsidRPr="006943B3">
        <w:rPr>
          <w:rFonts w:ascii="Times New Roman" w:hAnsi="Times New Roman" w:cs="Times New Roman"/>
          <w:color w:val="000000"/>
        </w:rPr>
        <w:t>candidate</w:t>
      </w:r>
      <w:proofErr w:type="gramEnd"/>
      <w:r w:rsidRPr="006943B3">
        <w:rPr>
          <w:rFonts w:ascii="Times New Roman" w:hAnsi="Times New Roman" w:cs="Times New Roman"/>
          <w:color w:val="000000"/>
        </w:rPr>
        <w:t xml:space="preserve"> TCR–peptide associations that can be used to train supervised machine-learning models. This step depends on the clustering results generated in Step 3.</w:t>
      </w:r>
    </w:p>
    <w:p w14:paraId="4CEDC73B" w14:textId="77777777" w:rsidR="006943B3" w:rsidRPr="006943B3" w:rsidRDefault="006943B3" w:rsidP="00DF0855">
      <w:pPr>
        <w:spacing w:before="100" w:beforeAutospacing="1" w:after="100" w:afterAutospacing="1" w:line="240" w:lineRule="auto"/>
        <w:outlineLvl w:val="2"/>
        <w:rPr>
          <w:rFonts w:ascii="Times New Roman" w:hAnsi="Times New Roman" w:cs="Times New Roman"/>
          <w:color w:val="000000"/>
        </w:rPr>
      </w:pPr>
      <w:r w:rsidRPr="006943B3">
        <w:rPr>
          <w:rStyle w:val="Strong"/>
          <w:rFonts w:ascii="Times New Roman" w:hAnsi="Times New Roman" w:cs="Times New Roman"/>
          <w:b w:val="0"/>
          <w:bCs w:val="0"/>
          <w:color w:val="000000"/>
        </w:rPr>
        <w:t>Step 5 — Predictive Modeling of TCR Specificity.</w:t>
      </w:r>
      <w:r w:rsidRPr="006943B3">
        <w:rPr>
          <w:rFonts w:ascii="Times New Roman" w:hAnsi="Times New Roman" w:cs="Times New Roman"/>
          <w:color w:val="000000"/>
        </w:rPr>
        <w:br/>
        <w:t xml:space="preserve">In the fifth step, supervised machine-learning models will be trained to predict tumor–peptide recognition from TCR sequence features alone. Initial baseline models such as random forests or </w:t>
      </w:r>
      <w:proofErr w:type="spellStart"/>
      <w:r w:rsidRPr="006943B3">
        <w:rPr>
          <w:rFonts w:ascii="Times New Roman" w:hAnsi="Times New Roman" w:cs="Times New Roman"/>
          <w:color w:val="000000"/>
        </w:rPr>
        <w:t>XGBoost</w:t>
      </w:r>
      <w:proofErr w:type="spellEnd"/>
      <w:r w:rsidRPr="006943B3">
        <w:rPr>
          <w:rFonts w:ascii="Times New Roman" w:hAnsi="Times New Roman" w:cs="Times New Roman"/>
          <w:color w:val="000000"/>
        </w:rPr>
        <w:t xml:space="preserve"> will be used to establish interpretable benchmarks, followed by more expressive architectures including convolutional neural networks for sequence-based classification and transformer-based models—such as fine-tuned TCR-BERT—for capturing complex sequence dependencies and achieving higher predictive performance. Model inputs will include encoded CDR3 sequences, V/J gene usage, TCR distance metrics, and peptide cluster labels (or specific peptide identities when available). Model evaluation will involve cross-validation, testing on independent external TCR datasets, and ablation studies to determine the contribution of each feature type. This modeling stage relies on the candidate TCR–peptide associations identified in Step 4.</w:t>
      </w:r>
    </w:p>
    <w:p w14:paraId="4C7DBCBF" w14:textId="77777777" w:rsidR="006943B3" w:rsidRPr="006943B3" w:rsidRDefault="006943B3" w:rsidP="00DF0855">
      <w:pPr>
        <w:spacing w:before="100" w:beforeAutospacing="1" w:after="100" w:afterAutospacing="1" w:line="240" w:lineRule="auto"/>
        <w:outlineLvl w:val="0"/>
        <w:rPr>
          <w:rFonts w:ascii="Times New Roman" w:hAnsi="Times New Roman" w:cs="Times New Roman"/>
          <w:color w:val="000000"/>
        </w:rPr>
      </w:pPr>
      <w:r w:rsidRPr="006943B3">
        <w:rPr>
          <w:rStyle w:val="Strong"/>
          <w:rFonts w:ascii="Times New Roman" w:hAnsi="Times New Roman" w:cs="Times New Roman"/>
          <w:b w:val="0"/>
          <w:bCs w:val="0"/>
          <w:color w:val="000000"/>
        </w:rPr>
        <w:t>Step 6 — Generate a TCR–Immunopeptidome Map.</w:t>
      </w:r>
      <w:r w:rsidRPr="006943B3">
        <w:rPr>
          <w:rFonts w:ascii="Times New Roman" w:hAnsi="Times New Roman" w:cs="Times New Roman"/>
          <w:color w:val="000000"/>
        </w:rPr>
        <w:br/>
        <w:t>The final step involves synthesizing all prior analyses into a comprehensive TCR–immunopeptidome map that visualizes and formalizes the relationships learned by the predictive models. This will include generating a matrix that links TCR clusters to corresponding tumor-peptide clusters, creating sequence logos that highlight the most informative CDR3 motifs associated with tumor antigen recognition, and producing interpretability outputs such as SHAP values to reveal which sequence features most strongly influence model predictions. As the culminating step of the pipeline, it integrates results from all earlier stages to provide a biologically interpretable overview of TCR specificity.</w:t>
      </w:r>
    </w:p>
    <w:p w14:paraId="548E6F86" w14:textId="339AF97F" w:rsidR="006943B3" w:rsidRPr="006943B3" w:rsidRDefault="006943B3" w:rsidP="008E4B63">
      <w:pPr>
        <w:spacing w:before="100" w:beforeAutospacing="1" w:after="100" w:afterAutospacing="1" w:line="240" w:lineRule="auto"/>
        <w:outlineLvl w:val="0"/>
        <w:rPr>
          <w:rFonts w:ascii="Times New Roman" w:hAnsi="Times New Roman" w:cs="Times New Roman"/>
          <w:color w:val="000000"/>
        </w:rPr>
      </w:pPr>
      <w:r w:rsidRPr="006943B3">
        <w:rPr>
          <w:rStyle w:val="Strong"/>
          <w:rFonts w:ascii="Times New Roman" w:hAnsi="Times New Roman" w:cs="Times New Roman"/>
          <w:color w:val="000000"/>
        </w:rPr>
        <w:t>Scalability and Efficiency</w:t>
      </w:r>
      <w:r w:rsidRPr="006943B3">
        <w:rPr>
          <w:rFonts w:ascii="Times New Roman" w:hAnsi="Times New Roman" w:cs="Times New Roman"/>
          <w:color w:val="000000"/>
        </w:rPr>
        <w:br/>
        <w:t xml:space="preserve">Because immunopeptidome and TCR datasets can reach scales of 10⁵–10⁶ sequences, the pipeline requires careful optimization to ensure efficient execution. To minimize I/O overhead, all large tables will be converted to Parquet or HDF5 formats, and embeddings will be stored as compressed arrays for rapid loading. Compute-intensive tasks such as embedding generation and clustering will be executed on the Stanford Sherlock HPC cluster using SLURM array jobs, with GPU nodes leveraged for deep learning models including transformers and CNNs. Intermediate outputs—such as embeddings, cluster labels, and distance matrices—will be cached to avoid unnecessary </w:t>
      </w:r>
      <w:proofErr w:type="spellStart"/>
      <w:r w:rsidRPr="006943B3">
        <w:rPr>
          <w:rFonts w:ascii="Times New Roman" w:hAnsi="Times New Roman" w:cs="Times New Roman"/>
          <w:color w:val="000000"/>
        </w:rPr>
        <w:t>recomputation</w:t>
      </w:r>
      <w:proofErr w:type="spellEnd"/>
      <w:r w:rsidRPr="006943B3">
        <w:rPr>
          <w:rFonts w:ascii="Times New Roman" w:hAnsi="Times New Roman" w:cs="Times New Roman"/>
          <w:color w:val="000000"/>
        </w:rPr>
        <w:t xml:space="preserve">, enabling incremental updates as parameters evolve. Algorithmic efficiency will be further enhanced by using approximate nearest-neighbor search for large TCR </w:t>
      </w:r>
      <w:r w:rsidRPr="006943B3">
        <w:rPr>
          <w:rFonts w:ascii="Times New Roman" w:hAnsi="Times New Roman" w:cs="Times New Roman"/>
          <w:color w:val="000000"/>
        </w:rPr>
        <w:lastRenderedPageBreak/>
        <w:t xml:space="preserve">similarity graphs and applying UMAP coupled with Leiden clustering rather than full pairwise clustering when working with very large datasets. Finally, all pipeline steps will be run within an </w:t>
      </w:r>
      <w:proofErr w:type="spellStart"/>
      <w:r w:rsidRPr="006943B3">
        <w:rPr>
          <w:rFonts w:ascii="Times New Roman" w:hAnsi="Times New Roman" w:cs="Times New Roman"/>
          <w:color w:val="000000"/>
        </w:rPr>
        <w:t>Apptainer</w:t>
      </w:r>
      <w:proofErr w:type="spellEnd"/>
      <w:r w:rsidRPr="006943B3">
        <w:rPr>
          <w:rFonts w:ascii="Times New Roman" w:hAnsi="Times New Roman" w:cs="Times New Roman"/>
          <w:color w:val="000000"/>
        </w:rPr>
        <w:t xml:space="preserve"> container to ensure consistent performance and reproducibility across computational environments.</w:t>
      </w:r>
    </w:p>
    <w:p w14:paraId="4909BF07" w14:textId="0142C657" w:rsidR="008E4B63" w:rsidRPr="008E4B63" w:rsidRDefault="008E4B63" w:rsidP="008E4B63">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8E4B63">
        <w:rPr>
          <w:rFonts w:ascii="Times New Roman" w:eastAsia="Times New Roman" w:hAnsi="Times New Roman" w:cs="Times New Roman"/>
          <w:b/>
          <w:bCs/>
          <w:color w:val="000000"/>
          <w:kern w:val="36"/>
          <w14:ligatures w14:val="none"/>
        </w:rPr>
        <w:t>Machine Learning</w:t>
      </w:r>
    </w:p>
    <w:p w14:paraId="2D2A3DCD" w14:textId="59B4F037" w:rsidR="006943B3" w:rsidRPr="006943B3" w:rsidRDefault="006943B3" w:rsidP="008E4B63">
      <w:pPr>
        <w:spacing w:before="100" w:beforeAutospacing="1" w:after="100" w:afterAutospacing="1" w:line="240" w:lineRule="auto"/>
        <w:outlineLvl w:val="1"/>
        <w:rPr>
          <w:rFonts w:ascii="Times New Roman" w:hAnsi="Times New Roman" w:cs="Times New Roman"/>
          <w:color w:val="000000"/>
        </w:rPr>
      </w:pPr>
      <w:r w:rsidRPr="006943B3">
        <w:rPr>
          <w:rStyle w:val="Strong"/>
          <w:rFonts w:ascii="Times New Roman" w:hAnsi="Times New Roman" w:cs="Times New Roman"/>
          <w:color w:val="000000"/>
        </w:rPr>
        <w:t>Task Definition</w:t>
      </w:r>
      <w:r w:rsidRPr="006943B3">
        <w:rPr>
          <w:rFonts w:ascii="Times New Roman" w:hAnsi="Times New Roman" w:cs="Times New Roman"/>
          <w:color w:val="000000"/>
        </w:rPr>
        <w:br/>
        <w:t xml:space="preserve">Given the structure of the integrated immunopeptidome–TCR dataset, the project enables both supervised and unsupervised machine-learning tasks. The primary supervised task is to predict TCR </w:t>
      </w:r>
      <w:proofErr w:type="gramStart"/>
      <w:r w:rsidRPr="006943B3">
        <w:rPr>
          <w:rFonts w:ascii="Times New Roman" w:hAnsi="Times New Roman" w:cs="Times New Roman"/>
          <w:color w:val="000000"/>
        </w:rPr>
        <w:t>specificity:</w:t>
      </w:r>
      <w:proofErr w:type="gramEnd"/>
      <w:r w:rsidRPr="006943B3">
        <w:rPr>
          <w:rFonts w:ascii="Times New Roman" w:hAnsi="Times New Roman" w:cs="Times New Roman"/>
          <w:color w:val="000000"/>
        </w:rPr>
        <w:t xml:space="preserve"> given a TCR sequence—including TCRβ (and optionally TCRα) CDR3 regions and V/J gene usage—the goal is to determine whether it recognizes a particular tumor peptide or peptide cluster. This can be framed as either a binary classification problem (tumor-reactive vs. non-reactive) or a multi-class problem predicting which peptide cluster the TCR is most likely to bind, directly aligning with immunotherapy applications and leveraging earlier statistical association analyses. In parallel, an unsupervised learning task aims to uncover intrinsic structure within the dataset by clustering peptides to identify biochemically or structurally related tumor antigens, clustering TCRs to reveal motifs or sequence signatures associated with specificity, and inferring latent spaces that capture patterns of cross-reactivity between TCRs and antigens. Methods such as UMAP and Leiden clustering, motif discovery tools, and embedding-based similarity analyses will be used to characterize these underlying relationships.</w:t>
      </w:r>
    </w:p>
    <w:p w14:paraId="59A03C2C" w14:textId="0D70420E" w:rsidR="006943B3" w:rsidRPr="006943B3" w:rsidRDefault="006943B3" w:rsidP="006E41D1">
      <w:pPr>
        <w:spacing w:before="100" w:beforeAutospacing="1" w:after="100" w:afterAutospacing="1" w:line="240" w:lineRule="auto"/>
        <w:outlineLvl w:val="1"/>
        <w:rPr>
          <w:rFonts w:ascii="Times New Roman" w:hAnsi="Times New Roman" w:cs="Times New Roman"/>
          <w:color w:val="000000"/>
        </w:rPr>
      </w:pPr>
      <w:r w:rsidRPr="006943B3">
        <w:rPr>
          <w:rStyle w:val="Strong"/>
          <w:rFonts w:ascii="Times New Roman" w:hAnsi="Times New Roman" w:cs="Times New Roman"/>
          <w:color w:val="000000"/>
        </w:rPr>
        <w:t>Feature Representation</w:t>
      </w:r>
      <w:r w:rsidRPr="006943B3">
        <w:rPr>
          <w:rFonts w:ascii="Times New Roman" w:hAnsi="Times New Roman" w:cs="Times New Roman"/>
          <w:color w:val="000000"/>
        </w:rPr>
        <w:br/>
        <w:t xml:space="preserve">Because raw peptide and TCR sequences cannot be used directly in machine-learning models, they will be transformed into numerical feature representations. For peptides, this includes amino acid sequence embeddings generated through one-hot encoding, BLOSUM62 substitution matrices, or learned representations from protein language models such as ESM or </w:t>
      </w:r>
      <w:proofErr w:type="spellStart"/>
      <w:r w:rsidRPr="006943B3">
        <w:rPr>
          <w:rFonts w:ascii="Times New Roman" w:hAnsi="Times New Roman" w:cs="Times New Roman"/>
          <w:color w:val="000000"/>
        </w:rPr>
        <w:t>ProtBERT</w:t>
      </w:r>
      <w:proofErr w:type="spellEnd"/>
      <w:r w:rsidRPr="006943B3">
        <w:rPr>
          <w:rFonts w:ascii="Times New Roman" w:hAnsi="Times New Roman" w:cs="Times New Roman"/>
          <w:color w:val="000000"/>
        </w:rPr>
        <w:t xml:space="preserve">. Additional peptide-level features will incorporate biophysical properties—such as hydrophobicity, charge, length, and anchor positions—as well as predicted HLA-binding affinities using tools like </w:t>
      </w:r>
      <w:proofErr w:type="spellStart"/>
      <w:r w:rsidRPr="006943B3">
        <w:rPr>
          <w:rFonts w:ascii="Times New Roman" w:hAnsi="Times New Roman" w:cs="Times New Roman"/>
          <w:color w:val="000000"/>
        </w:rPr>
        <w:t>netMHCpan</w:t>
      </w:r>
      <w:proofErr w:type="spellEnd"/>
      <w:r w:rsidRPr="006943B3">
        <w:rPr>
          <w:rFonts w:ascii="Times New Roman" w:hAnsi="Times New Roman" w:cs="Times New Roman"/>
          <w:color w:val="000000"/>
        </w:rPr>
        <w:t xml:space="preserve"> or </w:t>
      </w:r>
      <w:proofErr w:type="spellStart"/>
      <w:r w:rsidRPr="006943B3">
        <w:rPr>
          <w:rFonts w:ascii="Times New Roman" w:hAnsi="Times New Roman" w:cs="Times New Roman"/>
          <w:color w:val="000000"/>
        </w:rPr>
        <w:t>MHCflurry</w:t>
      </w:r>
      <w:proofErr w:type="spellEnd"/>
      <w:r w:rsidRPr="006943B3">
        <w:rPr>
          <w:rFonts w:ascii="Times New Roman" w:hAnsi="Times New Roman" w:cs="Times New Roman"/>
          <w:color w:val="000000"/>
        </w:rPr>
        <w:t xml:space="preserve">. TCR features will include sequence-based embeddings of CDR3 regions, using either one-hot or BLOSUM62 encodings or pretrained representations from models such as TCR-BERT or </w:t>
      </w:r>
      <w:proofErr w:type="spellStart"/>
      <w:r w:rsidRPr="006943B3">
        <w:rPr>
          <w:rFonts w:ascii="Times New Roman" w:hAnsi="Times New Roman" w:cs="Times New Roman"/>
          <w:color w:val="000000"/>
        </w:rPr>
        <w:t>DeepTCR</w:t>
      </w:r>
      <w:proofErr w:type="spellEnd"/>
      <w:r w:rsidRPr="006943B3">
        <w:rPr>
          <w:rFonts w:ascii="Times New Roman" w:hAnsi="Times New Roman" w:cs="Times New Roman"/>
          <w:color w:val="000000"/>
        </w:rPr>
        <w:t>. Gene usage will be encoded through one-hot representations of V and J segments, and distance-based metrics derived from tcrdist3, including pairwise distances and local neighborhood density measures, will further enrich the feature space. All features will be standardized and concatenated to form the final input to supervised and unsupervised models.</w:t>
      </w:r>
    </w:p>
    <w:p w14:paraId="281EB605" w14:textId="26A2BEEC" w:rsidR="006943B3" w:rsidRPr="006943B3" w:rsidRDefault="006943B3" w:rsidP="006E41D1">
      <w:pPr>
        <w:spacing w:before="100" w:beforeAutospacing="1" w:after="100" w:afterAutospacing="1" w:line="240" w:lineRule="auto"/>
        <w:outlineLvl w:val="1"/>
        <w:rPr>
          <w:rFonts w:ascii="Times New Roman" w:hAnsi="Times New Roman" w:cs="Times New Roman"/>
          <w:color w:val="000000"/>
        </w:rPr>
      </w:pPr>
      <w:r w:rsidRPr="006943B3">
        <w:rPr>
          <w:rStyle w:val="Strong"/>
          <w:rFonts w:ascii="Times New Roman" w:hAnsi="Times New Roman" w:cs="Times New Roman"/>
          <w:color w:val="000000"/>
        </w:rPr>
        <w:t>Model Selection</w:t>
      </w:r>
      <w:r w:rsidRPr="006943B3">
        <w:rPr>
          <w:rFonts w:ascii="Times New Roman" w:hAnsi="Times New Roman" w:cs="Times New Roman"/>
          <w:color w:val="000000"/>
        </w:rPr>
        <w:br/>
        <w:t xml:space="preserve">To balance interpretability with predictive power, the project will evaluate both classical machine-learning models and modern deep learning architectures. Baseline interpretable models—including logistic regression, random forests, and </w:t>
      </w:r>
      <w:proofErr w:type="spellStart"/>
      <w:r w:rsidRPr="006943B3">
        <w:rPr>
          <w:rFonts w:ascii="Times New Roman" w:hAnsi="Times New Roman" w:cs="Times New Roman"/>
          <w:color w:val="000000"/>
        </w:rPr>
        <w:t>XGBoost</w:t>
      </w:r>
      <w:proofErr w:type="spellEnd"/>
      <w:r w:rsidRPr="006943B3">
        <w:rPr>
          <w:rFonts w:ascii="Times New Roman" w:hAnsi="Times New Roman" w:cs="Times New Roman"/>
          <w:color w:val="000000"/>
        </w:rPr>
        <w:t xml:space="preserve">—will provide insight into feature importance and motif-level contributions while establishing foundational predictive performance benchmarks. For more complex modeling of sequence specificity, deep learning approaches will be explored. Convolutional neural networks (CNNs) will be used to capture local sequence motifs within TCR CDR3 regions, while transformer-based architectures such as TCR-BERT will model long-range dependencies and positional information, making them </w:t>
      </w:r>
      <w:r w:rsidRPr="006943B3">
        <w:rPr>
          <w:rFonts w:ascii="Times New Roman" w:hAnsi="Times New Roman" w:cs="Times New Roman"/>
          <w:color w:val="000000"/>
        </w:rPr>
        <w:lastRenderedPageBreak/>
        <w:t xml:space="preserve">particularly well suited for peptide–TCR interaction prediction. Additionally, Siamese or metric-learning networks will be implemented to learn similarity functions between TCRs and peptides, enabling detailed mapping of cross-reactivity landscapes. These high-capacity models represent the state of the art for biological sequence analysis and </w:t>
      </w:r>
      <w:proofErr w:type="gramStart"/>
      <w:r w:rsidRPr="006943B3">
        <w:rPr>
          <w:rFonts w:ascii="Times New Roman" w:hAnsi="Times New Roman" w:cs="Times New Roman"/>
          <w:color w:val="000000"/>
        </w:rPr>
        <w:t>are capable of learning</w:t>
      </w:r>
      <w:proofErr w:type="gramEnd"/>
      <w:r w:rsidRPr="006943B3">
        <w:rPr>
          <w:rFonts w:ascii="Times New Roman" w:hAnsi="Times New Roman" w:cs="Times New Roman"/>
          <w:color w:val="000000"/>
        </w:rPr>
        <w:t xml:space="preserve"> nonlinear, context-dependent relationships that classical models cannot capture.</w:t>
      </w:r>
    </w:p>
    <w:p w14:paraId="6E96F267" w14:textId="4C83212D" w:rsidR="006943B3" w:rsidRPr="006943B3" w:rsidRDefault="006943B3" w:rsidP="006E41D1">
      <w:pPr>
        <w:spacing w:before="100" w:beforeAutospacing="1" w:after="100" w:afterAutospacing="1" w:line="240" w:lineRule="auto"/>
        <w:outlineLvl w:val="1"/>
        <w:rPr>
          <w:rFonts w:ascii="Times New Roman" w:hAnsi="Times New Roman" w:cs="Times New Roman"/>
          <w:color w:val="000000"/>
        </w:rPr>
      </w:pPr>
      <w:r w:rsidRPr="006943B3">
        <w:rPr>
          <w:rStyle w:val="Strong"/>
          <w:rFonts w:ascii="Times New Roman" w:hAnsi="Times New Roman" w:cs="Times New Roman"/>
          <w:color w:val="000000"/>
        </w:rPr>
        <w:t>Generalization Strategy (Supervised Learning)</w:t>
      </w:r>
      <w:r w:rsidRPr="006943B3">
        <w:rPr>
          <w:rFonts w:ascii="Times New Roman" w:hAnsi="Times New Roman" w:cs="Times New Roman"/>
          <w:color w:val="000000"/>
        </w:rPr>
        <w:br/>
        <w:t xml:space="preserve">To ensure that supervised models generalize effectively to unseen data, the training pipeline will incorporate multiple strategies at the level of data partitioning, model tuning, and evaluation. K-fold cross-validation will be performed across donors or across datasets, using stratified sampling to preserve class balance and reduce sampling bias. Independent holdout test sets—such as TCR–peptide interactions from </w:t>
      </w:r>
      <w:proofErr w:type="spellStart"/>
      <w:r w:rsidRPr="006943B3">
        <w:rPr>
          <w:rFonts w:ascii="Times New Roman" w:hAnsi="Times New Roman" w:cs="Times New Roman"/>
          <w:color w:val="000000"/>
        </w:rPr>
        <w:t>VDJdb</w:t>
      </w:r>
      <w:proofErr w:type="spellEnd"/>
      <w:r w:rsidRPr="006943B3">
        <w:rPr>
          <w:rFonts w:ascii="Times New Roman" w:hAnsi="Times New Roman" w:cs="Times New Roman"/>
          <w:color w:val="000000"/>
        </w:rPr>
        <w:t xml:space="preserve"> that were excluded from training—will be used to assess external validity. Regularization techniques, including dropout, weight decay, and early stopping, will help prevent overfitting, particularly when working with high-dimensional learned embeddings. To further improve robustness, data augmentation will introduce synthetic negative examples (non-binding TCR–peptide pairs) and apply controlled perturbations to embedding vectors to mimic biological variability. Additionally, HLA-restricted evaluation will be conducted to ensure that model performance is not inflated by allele-associated data leakage and that predictions hold consistently across different MHC </w:t>
      </w:r>
      <w:proofErr w:type="spellStart"/>
      <w:r w:rsidRPr="006943B3">
        <w:rPr>
          <w:rFonts w:ascii="Times New Roman" w:hAnsi="Times New Roman" w:cs="Times New Roman"/>
          <w:color w:val="000000"/>
        </w:rPr>
        <w:t>backgrounds.</w:t>
      </w:r>
    </w:p>
    <w:p w14:paraId="5A19F88C" w14:textId="5D9C9316" w:rsidR="00DF0855" w:rsidRPr="006943B3" w:rsidRDefault="006943B3" w:rsidP="00DF0855">
      <w:pPr>
        <w:rPr>
          <w:rFonts w:ascii="Times New Roman" w:hAnsi="Times New Roman" w:cs="Times New Roman"/>
        </w:rPr>
      </w:pPr>
      <w:proofErr w:type="spellEnd"/>
      <w:r w:rsidRPr="006943B3">
        <w:rPr>
          <w:rStyle w:val="Strong"/>
          <w:rFonts w:ascii="Times New Roman" w:hAnsi="Times New Roman" w:cs="Times New Roman"/>
          <w:color w:val="000000"/>
        </w:rPr>
        <w:t>Evaluation Metrics</w:t>
      </w:r>
      <w:r w:rsidRPr="006943B3">
        <w:rPr>
          <w:rFonts w:ascii="Times New Roman" w:hAnsi="Times New Roman" w:cs="Times New Roman"/>
          <w:color w:val="000000"/>
        </w:rPr>
        <w:br/>
        <w:t xml:space="preserve">Because TCR–antigen binding is an inherently imbalanced prediction </w:t>
      </w:r>
      <w:proofErr w:type="gramStart"/>
      <w:r w:rsidRPr="006943B3">
        <w:rPr>
          <w:rFonts w:ascii="Times New Roman" w:hAnsi="Times New Roman" w:cs="Times New Roman"/>
          <w:color w:val="000000"/>
        </w:rPr>
        <w:t>problem,</w:t>
      </w:r>
      <w:proofErr w:type="gramEnd"/>
      <w:r w:rsidRPr="006943B3">
        <w:rPr>
          <w:rFonts w:ascii="Times New Roman" w:hAnsi="Times New Roman" w:cs="Times New Roman"/>
          <w:color w:val="000000"/>
        </w:rPr>
        <w:t xml:space="preserve"> careful selection of evaluation metrics is essential for assessing model performance. For binary classification tasks, metrics such as AUC–ROC will be used to measure the model’s ability to distinguish binders from non-binders, while AUC–PR will provide a more informative assessment under class imbalance by highlighting precision at low false-positive rates. Additional metrics such as the F1-score and, to a lesser extent, accuracy will be reported to capture balanced performance across precision and recall. For multi-class predictions involving peptide clusters, macro-averaged F1-scores will treat all classes equally, and confusion matrices will help identify which peptide groups are most frequently misclassified. In unsupervised settings, cluster quality will be evaluated using metrics such as the silhouette score or Davies–Bouldin index, with biological interpretability assessed through sequence logos and motif enrichment analyses. Finally, interpretability tools—including SHAP values and transformer attention maps—will be employed to reveal which amino acid positions or sequence features most strongly drive model predictions. Together, these evaluation strategies ensure that model performance is both quantitatively rigorous and biologically meaningful.</w:t>
      </w:r>
    </w:p>
    <w:sectPr w:rsidR="00DF0855" w:rsidRPr="006943B3" w:rsidSect="008C7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06D40"/>
    <w:multiLevelType w:val="multilevel"/>
    <w:tmpl w:val="16F2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43995"/>
    <w:multiLevelType w:val="multilevel"/>
    <w:tmpl w:val="8996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5558C"/>
    <w:multiLevelType w:val="multilevel"/>
    <w:tmpl w:val="674E8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90EB4"/>
    <w:multiLevelType w:val="multilevel"/>
    <w:tmpl w:val="6E8A1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F7671"/>
    <w:multiLevelType w:val="multilevel"/>
    <w:tmpl w:val="2CA2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F5B2B"/>
    <w:multiLevelType w:val="multilevel"/>
    <w:tmpl w:val="8A50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43D49"/>
    <w:multiLevelType w:val="multilevel"/>
    <w:tmpl w:val="AA90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947B24"/>
    <w:multiLevelType w:val="multilevel"/>
    <w:tmpl w:val="D3A4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5A0C81"/>
    <w:multiLevelType w:val="multilevel"/>
    <w:tmpl w:val="E760D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D41DD8"/>
    <w:multiLevelType w:val="multilevel"/>
    <w:tmpl w:val="2E96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97FB4"/>
    <w:multiLevelType w:val="multilevel"/>
    <w:tmpl w:val="BDFAB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EA3AD6"/>
    <w:multiLevelType w:val="multilevel"/>
    <w:tmpl w:val="EC4A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67669"/>
    <w:multiLevelType w:val="multilevel"/>
    <w:tmpl w:val="EE18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347B4"/>
    <w:multiLevelType w:val="multilevel"/>
    <w:tmpl w:val="277E6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3B608A"/>
    <w:multiLevelType w:val="multilevel"/>
    <w:tmpl w:val="BF56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B2E3E"/>
    <w:multiLevelType w:val="hybridMultilevel"/>
    <w:tmpl w:val="ABEC2FE0"/>
    <w:lvl w:ilvl="0" w:tplc="56CA070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106F41"/>
    <w:multiLevelType w:val="multilevel"/>
    <w:tmpl w:val="C2F4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1C1EE1"/>
    <w:multiLevelType w:val="multilevel"/>
    <w:tmpl w:val="A71A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F2730"/>
    <w:multiLevelType w:val="multilevel"/>
    <w:tmpl w:val="4376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E605E0"/>
    <w:multiLevelType w:val="multilevel"/>
    <w:tmpl w:val="31DC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03421"/>
    <w:multiLevelType w:val="multilevel"/>
    <w:tmpl w:val="39D6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152E9"/>
    <w:multiLevelType w:val="multilevel"/>
    <w:tmpl w:val="D896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F1814"/>
    <w:multiLevelType w:val="multilevel"/>
    <w:tmpl w:val="CA7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54E7F"/>
    <w:multiLevelType w:val="multilevel"/>
    <w:tmpl w:val="64CE9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8D2EC2"/>
    <w:multiLevelType w:val="multilevel"/>
    <w:tmpl w:val="F472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04D66"/>
    <w:multiLevelType w:val="multilevel"/>
    <w:tmpl w:val="0658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993571"/>
    <w:multiLevelType w:val="multilevel"/>
    <w:tmpl w:val="B67C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3F1008"/>
    <w:multiLevelType w:val="multilevel"/>
    <w:tmpl w:val="740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8B76F8"/>
    <w:multiLevelType w:val="multilevel"/>
    <w:tmpl w:val="AE36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B36AF1"/>
    <w:multiLevelType w:val="multilevel"/>
    <w:tmpl w:val="E10C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B05693"/>
    <w:multiLevelType w:val="multilevel"/>
    <w:tmpl w:val="3DEA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21258"/>
    <w:multiLevelType w:val="multilevel"/>
    <w:tmpl w:val="F228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BF46E9"/>
    <w:multiLevelType w:val="multilevel"/>
    <w:tmpl w:val="1D7E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16E86"/>
    <w:multiLevelType w:val="multilevel"/>
    <w:tmpl w:val="C6B2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2A6540"/>
    <w:multiLevelType w:val="multilevel"/>
    <w:tmpl w:val="41A6E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481C3D"/>
    <w:multiLevelType w:val="multilevel"/>
    <w:tmpl w:val="04A2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F45CE7"/>
    <w:multiLevelType w:val="multilevel"/>
    <w:tmpl w:val="844E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3934A2"/>
    <w:multiLevelType w:val="multilevel"/>
    <w:tmpl w:val="DC44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5A181B"/>
    <w:multiLevelType w:val="multilevel"/>
    <w:tmpl w:val="E20C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047C01"/>
    <w:multiLevelType w:val="multilevel"/>
    <w:tmpl w:val="EC76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E129B"/>
    <w:multiLevelType w:val="multilevel"/>
    <w:tmpl w:val="07F48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9D3953"/>
    <w:multiLevelType w:val="multilevel"/>
    <w:tmpl w:val="DA0A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AF5A05"/>
    <w:multiLevelType w:val="multilevel"/>
    <w:tmpl w:val="7D98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B10DEA"/>
    <w:multiLevelType w:val="multilevel"/>
    <w:tmpl w:val="0572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4E4FA2"/>
    <w:multiLevelType w:val="multilevel"/>
    <w:tmpl w:val="77E2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155717"/>
    <w:multiLevelType w:val="multilevel"/>
    <w:tmpl w:val="A460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D8246D"/>
    <w:multiLevelType w:val="multilevel"/>
    <w:tmpl w:val="2CB6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B23DE2"/>
    <w:multiLevelType w:val="multilevel"/>
    <w:tmpl w:val="7E0CF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5D16D6"/>
    <w:multiLevelType w:val="multilevel"/>
    <w:tmpl w:val="AC48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754908"/>
    <w:multiLevelType w:val="multilevel"/>
    <w:tmpl w:val="1520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5802AA"/>
    <w:multiLevelType w:val="multilevel"/>
    <w:tmpl w:val="E57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5D272A"/>
    <w:multiLevelType w:val="multilevel"/>
    <w:tmpl w:val="6CC0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D324FB"/>
    <w:multiLevelType w:val="multilevel"/>
    <w:tmpl w:val="BF30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E918C4"/>
    <w:multiLevelType w:val="multilevel"/>
    <w:tmpl w:val="BCD25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036827">
    <w:abstractNumId w:val="15"/>
  </w:num>
  <w:num w:numId="2" w16cid:durableId="987784425">
    <w:abstractNumId w:val="7"/>
  </w:num>
  <w:num w:numId="3" w16cid:durableId="200096090">
    <w:abstractNumId w:val="52"/>
  </w:num>
  <w:num w:numId="4" w16cid:durableId="1838421548">
    <w:abstractNumId w:val="16"/>
  </w:num>
  <w:num w:numId="5" w16cid:durableId="1230458756">
    <w:abstractNumId w:val="29"/>
  </w:num>
  <w:num w:numId="6" w16cid:durableId="1397512294">
    <w:abstractNumId w:val="3"/>
  </w:num>
  <w:num w:numId="7" w16cid:durableId="2003582306">
    <w:abstractNumId w:val="8"/>
  </w:num>
  <w:num w:numId="8" w16cid:durableId="340593894">
    <w:abstractNumId w:val="12"/>
  </w:num>
  <w:num w:numId="9" w16cid:durableId="721290042">
    <w:abstractNumId w:val="26"/>
  </w:num>
  <w:num w:numId="10" w16cid:durableId="1544705693">
    <w:abstractNumId w:val="44"/>
  </w:num>
  <w:num w:numId="11" w16cid:durableId="335810045">
    <w:abstractNumId w:val="31"/>
  </w:num>
  <w:num w:numId="12" w16cid:durableId="568227625">
    <w:abstractNumId w:val="37"/>
  </w:num>
  <w:num w:numId="13" w16cid:durableId="642546874">
    <w:abstractNumId w:val="23"/>
  </w:num>
  <w:num w:numId="14" w16cid:durableId="1834295327">
    <w:abstractNumId w:val="17"/>
  </w:num>
  <w:num w:numId="15" w16cid:durableId="1056468899">
    <w:abstractNumId w:val="50"/>
  </w:num>
  <w:num w:numId="16" w16cid:durableId="127481471">
    <w:abstractNumId w:val="22"/>
  </w:num>
  <w:num w:numId="17" w16cid:durableId="1351761671">
    <w:abstractNumId w:val="21"/>
  </w:num>
  <w:num w:numId="18" w16cid:durableId="539245081">
    <w:abstractNumId w:val="19"/>
  </w:num>
  <w:num w:numId="19" w16cid:durableId="1644115555">
    <w:abstractNumId w:val="0"/>
  </w:num>
  <w:num w:numId="20" w16cid:durableId="1553156825">
    <w:abstractNumId w:val="47"/>
  </w:num>
  <w:num w:numId="21" w16cid:durableId="27492110">
    <w:abstractNumId w:val="14"/>
  </w:num>
  <w:num w:numId="22" w16cid:durableId="591671788">
    <w:abstractNumId w:val="9"/>
  </w:num>
  <w:num w:numId="23" w16cid:durableId="707030278">
    <w:abstractNumId w:val="46"/>
  </w:num>
  <w:num w:numId="24" w16cid:durableId="1300376090">
    <w:abstractNumId w:val="30"/>
  </w:num>
  <w:num w:numId="25" w16cid:durableId="707993847">
    <w:abstractNumId w:val="1"/>
  </w:num>
  <w:num w:numId="26" w16cid:durableId="1546789922">
    <w:abstractNumId w:val="41"/>
  </w:num>
  <w:num w:numId="27" w16cid:durableId="252592622">
    <w:abstractNumId w:val="43"/>
  </w:num>
  <w:num w:numId="28" w16cid:durableId="1730373874">
    <w:abstractNumId w:val="51"/>
  </w:num>
  <w:num w:numId="29" w16cid:durableId="269703382">
    <w:abstractNumId w:val="28"/>
  </w:num>
  <w:num w:numId="30" w16cid:durableId="1662002948">
    <w:abstractNumId w:val="5"/>
  </w:num>
  <w:num w:numId="31" w16cid:durableId="1804077815">
    <w:abstractNumId w:val="24"/>
  </w:num>
  <w:num w:numId="32" w16cid:durableId="1328512628">
    <w:abstractNumId w:val="34"/>
  </w:num>
  <w:num w:numId="33" w16cid:durableId="1924803331">
    <w:abstractNumId w:val="48"/>
  </w:num>
  <w:num w:numId="34" w16cid:durableId="1038704119">
    <w:abstractNumId w:val="20"/>
  </w:num>
  <w:num w:numId="35" w16cid:durableId="94595629">
    <w:abstractNumId w:val="33"/>
  </w:num>
  <w:num w:numId="36" w16cid:durableId="1208758300">
    <w:abstractNumId w:val="4"/>
  </w:num>
  <w:num w:numId="37" w16cid:durableId="1565792408">
    <w:abstractNumId w:val="42"/>
  </w:num>
  <w:num w:numId="38" w16cid:durableId="843476936">
    <w:abstractNumId w:val="25"/>
  </w:num>
  <w:num w:numId="39" w16cid:durableId="1381977708">
    <w:abstractNumId w:val="11"/>
  </w:num>
  <w:num w:numId="40" w16cid:durableId="1942488978">
    <w:abstractNumId w:val="10"/>
  </w:num>
  <w:num w:numId="41" w16cid:durableId="551424651">
    <w:abstractNumId w:val="36"/>
  </w:num>
  <w:num w:numId="42" w16cid:durableId="2138403163">
    <w:abstractNumId w:val="2"/>
  </w:num>
  <w:num w:numId="43" w16cid:durableId="102650398">
    <w:abstractNumId w:val="53"/>
  </w:num>
  <w:num w:numId="44" w16cid:durableId="1473911726">
    <w:abstractNumId w:val="35"/>
  </w:num>
  <w:num w:numId="45" w16cid:durableId="1516770055">
    <w:abstractNumId w:val="13"/>
  </w:num>
  <w:num w:numId="46" w16cid:durableId="1596279079">
    <w:abstractNumId w:val="45"/>
  </w:num>
  <w:num w:numId="47" w16cid:durableId="721631861">
    <w:abstractNumId w:val="6"/>
  </w:num>
  <w:num w:numId="48" w16cid:durableId="1587030154">
    <w:abstractNumId w:val="27"/>
  </w:num>
  <w:num w:numId="49" w16cid:durableId="1519852971">
    <w:abstractNumId w:val="49"/>
  </w:num>
  <w:num w:numId="50" w16cid:durableId="1097605306">
    <w:abstractNumId w:val="40"/>
  </w:num>
  <w:num w:numId="51" w16cid:durableId="1229920573">
    <w:abstractNumId w:val="32"/>
  </w:num>
  <w:num w:numId="52" w16cid:durableId="1037315889">
    <w:abstractNumId w:val="39"/>
  </w:num>
  <w:num w:numId="53" w16cid:durableId="790133560">
    <w:abstractNumId w:val="18"/>
  </w:num>
  <w:num w:numId="54" w16cid:durableId="128268507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855"/>
    <w:rsid w:val="00000D49"/>
    <w:rsid w:val="00012C21"/>
    <w:rsid w:val="000240BA"/>
    <w:rsid w:val="000452F5"/>
    <w:rsid w:val="00050933"/>
    <w:rsid w:val="00056553"/>
    <w:rsid w:val="00057C1A"/>
    <w:rsid w:val="00061B8B"/>
    <w:rsid w:val="000657A3"/>
    <w:rsid w:val="000908A1"/>
    <w:rsid w:val="00093F1F"/>
    <w:rsid w:val="0009479E"/>
    <w:rsid w:val="00094936"/>
    <w:rsid w:val="000B5B91"/>
    <w:rsid w:val="000C1887"/>
    <w:rsid w:val="000C47C0"/>
    <w:rsid w:val="000D730C"/>
    <w:rsid w:val="000E6FFC"/>
    <w:rsid w:val="000F4256"/>
    <w:rsid w:val="00100CF2"/>
    <w:rsid w:val="00101F1B"/>
    <w:rsid w:val="00121ADE"/>
    <w:rsid w:val="00130255"/>
    <w:rsid w:val="00130347"/>
    <w:rsid w:val="00132105"/>
    <w:rsid w:val="00161412"/>
    <w:rsid w:val="001623F1"/>
    <w:rsid w:val="00164EC7"/>
    <w:rsid w:val="00165307"/>
    <w:rsid w:val="00167CCA"/>
    <w:rsid w:val="00174C54"/>
    <w:rsid w:val="0019057A"/>
    <w:rsid w:val="00193F7C"/>
    <w:rsid w:val="001A1360"/>
    <w:rsid w:val="001B3C2D"/>
    <w:rsid w:val="001B4039"/>
    <w:rsid w:val="001C42A0"/>
    <w:rsid w:val="001E53EA"/>
    <w:rsid w:val="001F27B8"/>
    <w:rsid w:val="001F4C4D"/>
    <w:rsid w:val="00201F9B"/>
    <w:rsid w:val="0020448F"/>
    <w:rsid w:val="00207390"/>
    <w:rsid w:val="0021424C"/>
    <w:rsid w:val="00214A3A"/>
    <w:rsid w:val="0022442E"/>
    <w:rsid w:val="002338D9"/>
    <w:rsid w:val="00236ECF"/>
    <w:rsid w:val="002376E7"/>
    <w:rsid w:val="00267652"/>
    <w:rsid w:val="00272642"/>
    <w:rsid w:val="002739A4"/>
    <w:rsid w:val="002877CC"/>
    <w:rsid w:val="00294D5E"/>
    <w:rsid w:val="00296A50"/>
    <w:rsid w:val="00297593"/>
    <w:rsid w:val="002A749E"/>
    <w:rsid w:val="002B452B"/>
    <w:rsid w:val="002B56B9"/>
    <w:rsid w:val="002B6C57"/>
    <w:rsid w:val="002C4B8D"/>
    <w:rsid w:val="002C5360"/>
    <w:rsid w:val="002D7199"/>
    <w:rsid w:val="00301A82"/>
    <w:rsid w:val="00321396"/>
    <w:rsid w:val="00321B50"/>
    <w:rsid w:val="00334D98"/>
    <w:rsid w:val="00340D84"/>
    <w:rsid w:val="003428CC"/>
    <w:rsid w:val="00346866"/>
    <w:rsid w:val="00350271"/>
    <w:rsid w:val="00354373"/>
    <w:rsid w:val="00360A48"/>
    <w:rsid w:val="00367F7F"/>
    <w:rsid w:val="00371C64"/>
    <w:rsid w:val="00376E27"/>
    <w:rsid w:val="00380995"/>
    <w:rsid w:val="00381248"/>
    <w:rsid w:val="00382C5E"/>
    <w:rsid w:val="00397FD0"/>
    <w:rsid w:val="003B246D"/>
    <w:rsid w:val="003C747F"/>
    <w:rsid w:val="003E018E"/>
    <w:rsid w:val="003E13D0"/>
    <w:rsid w:val="00406A0E"/>
    <w:rsid w:val="00407A36"/>
    <w:rsid w:val="004170D2"/>
    <w:rsid w:val="0042330C"/>
    <w:rsid w:val="004304CE"/>
    <w:rsid w:val="004473A7"/>
    <w:rsid w:val="00450FB5"/>
    <w:rsid w:val="004608CD"/>
    <w:rsid w:val="00461563"/>
    <w:rsid w:val="0049435E"/>
    <w:rsid w:val="0049748B"/>
    <w:rsid w:val="004A1471"/>
    <w:rsid w:val="004B3F21"/>
    <w:rsid w:val="004B6F10"/>
    <w:rsid w:val="004C177C"/>
    <w:rsid w:val="004D6DAD"/>
    <w:rsid w:val="0050768F"/>
    <w:rsid w:val="005142AE"/>
    <w:rsid w:val="00517C17"/>
    <w:rsid w:val="005227CD"/>
    <w:rsid w:val="0052366A"/>
    <w:rsid w:val="00531E95"/>
    <w:rsid w:val="00536CEF"/>
    <w:rsid w:val="0054629E"/>
    <w:rsid w:val="00550495"/>
    <w:rsid w:val="00562D8A"/>
    <w:rsid w:val="0056701B"/>
    <w:rsid w:val="0059307F"/>
    <w:rsid w:val="005A0F3F"/>
    <w:rsid w:val="005A6216"/>
    <w:rsid w:val="005B3F9C"/>
    <w:rsid w:val="005B45D6"/>
    <w:rsid w:val="005C4170"/>
    <w:rsid w:val="005C5512"/>
    <w:rsid w:val="005E7381"/>
    <w:rsid w:val="005F5D41"/>
    <w:rsid w:val="00616D30"/>
    <w:rsid w:val="00625934"/>
    <w:rsid w:val="00633B0B"/>
    <w:rsid w:val="00634CB9"/>
    <w:rsid w:val="006370A3"/>
    <w:rsid w:val="00637563"/>
    <w:rsid w:val="006406F6"/>
    <w:rsid w:val="00647368"/>
    <w:rsid w:val="0065312D"/>
    <w:rsid w:val="00684EDB"/>
    <w:rsid w:val="00686096"/>
    <w:rsid w:val="0068701D"/>
    <w:rsid w:val="006943B3"/>
    <w:rsid w:val="006A3045"/>
    <w:rsid w:val="006A35E6"/>
    <w:rsid w:val="006A51A2"/>
    <w:rsid w:val="006B41C4"/>
    <w:rsid w:val="006C7D06"/>
    <w:rsid w:val="006D00E4"/>
    <w:rsid w:val="006E41D1"/>
    <w:rsid w:val="007004C4"/>
    <w:rsid w:val="007034F3"/>
    <w:rsid w:val="00707A9F"/>
    <w:rsid w:val="00711A06"/>
    <w:rsid w:val="0071358E"/>
    <w:rsid w:val="00720FEC"/>
    <w:rsid w:val="00721AA7"/>
    <w:rsid w:val="007339F0"/>
    <w:rsid w:val="0073499A"/>
    <w:rsid w:val="007362B2"/>
    <w:rsid w:val="007469EE"/>
    <w:rsid w:val="00760B2C"/>
    <w:rsid w:val="0078047A"/>
    <w:rsid w:val="007832A5"/>
    <w:rsid w:val="00791538"/>
    <w:rsid w:val="007B398C"/>
    <w:rsid w:val="007C5A9F"/>
    <w:rsid w:val="007E5979"/>
    <w:rsid w:val="007F358B"/>
    <w:rsid w:val="007F3A72"/>
    <w:rsid w:val="008024E2"/>
    <w:rsid w:val="00821772"/>
    <w:rsid w:val="00830B60"/>
    <w:rsid w:val="00833C5D"/>
    <w:rsid w:val="00835B39"/>
    <w:rsid w:val="008366D7"/>
    <w:rsid w:val="00841255"/>
    <w:rsid w:val="00861B1E"/>
    <w:rsid w:val="00873142"/>
    <w:rsid w:val="0088264D"/>
    <w:rsid w:val="00896A51"/>
    <w:rsid w:val="008C7674"/>
    <w:rsid w:val="008D61B3"/>
    <w:rsid w:val="008E263E"/>
    <w:rsid w:val="008E4B63"/>
    <w:rsid w:val="00903833"/>
    <w:rsid w:val="009062DD"/>
    <w:rsid w:val="00911332"/>
    <w:rsid w:val="009134ED"/>
    <w:rsid w:val="0092337B"/>
    <w:rsid w:val="00930FE6"/>
    <w:rsid w:val="00932C75"/>
    <w:rsid w:val="00935769"/>
    <w:rsid w:val="0093786F"/>
    <w:rsid w:val="00944393"/>
    <w:rsid w:val="00946173"/>
    <w:rsid w:val="00961F6D"/>
    <w:rsid w:val="00970211"/>
    <w:rsid w:val="009724D4"/>
    <w:rsid w:val="009727EE"/>
    <w:rsid w:val="0098275D"/>
    <w:rsid w:val="009B480E"/>
    <w:rsid w:val="009B7B99"/>
    <w:rsid w:val="009E2C0A"/>
    <w:rsid w:val="009F1441"/>
    <w:rsid w:val="00A01647"/>
    <w:rsid w:val="00A02F0A"/>
    <w:rsid w:val="00A10030"/>
    <w:rsid w:val="00A16CE0"/>
    <w:rsid w:val="00A2422D"/>
    <w:rsid w:val="00A31D36"/>
    <w:rsid w:val="00A42242"/>
    <w:rsid w:val="00A4440E"/>
    <w:rsid w:val="00A611E0"/>
    <w:rsid w:val="00A61F79"/>
    <w:rsid w:val="00A631DB"/>
    <w:rsid w:val="00A63D89"/>
    <w:rsid w:val="00A647FD"/>
    <w:rsid w:val="00A81502"/>
    <w:rsid w:val="00A83233"/>
    <w:rsid w:val="00A9170C"/>
    <w:rsid w:val="00AA5B93"/>
    <w:rsid w:val="00AA6EE3"/>
    <w:rsid w:val="00AB194B"/>
    <w:rsid w:val="00AB332B"/>
    <w:rsid w:val="00AB51C2"/>
    <w:rsid w:val="00AD3EA1"/>
    <w:rsid w:val="00AD6D1C"/>
    <w:rsid w:val="00AE7B00"/>
    <w:rsid w:val="00AF4ECB"/>
    <w:rsid w:val="00B006F3"/>
    <w:rsid w:val="00B023C8"/>
    <w:rsid w:val="00B10D53"/>
    <w:rsid w:val="00B11E99"/>
    <w:rsid w:val="00B21751"/>
    <w:rsid w:val="00B254C8"/>
    <w:rsid w:val="00B35FC5"/>
    <w:rsid w:val="00B47865"/>
    <w:rsid w:val="00B60DE7"/>
    <w:rsid w:val="00B63C25"/>
    <w:rsid w:val="00B661A7"/>
    <w:rsid w:val="00B7030A"/>
    <w:rsid w:val="00B71094"/>
    <w:rsid w:val="00B75BC4"/>
    <w:rsid w:val="00B76ABD"/>
    <w:rsid w:val="00B92227"/>
    <w:rsid w:val="00BA1528"/>
    <w:rsid w:val="00BB53BB"/>
    <w:rsid w:val="00BC1723"/>
    <w:rsid w:val="00BC1855"/>
    <w:rsid w:val="00BC20A8"/>
    <w:rsid w:val="00BC7210"/>
    <w:rsid w:val="00BD7C6C"/>
    <w:rsid w:val="00BF4929"/>
    <w:rsid w:val="00BF57C3"/>
    <w:rsid w:val="00BF73B1"/>
    <w:rsid w:val="00C163CF"/>
    <w:rsid w:val="00C214ED"/>
    <w:rsid w:val="00C24011"/>
    <w:rsid w:val="00C30B1C"/>
    <w:rsid w:val="00C317FB"/>
    <w:rsid w:val="00C457C7"/>
    <w:rsid w:val="00C5351A"/>
    <w:rsid w:val="00C72B49"/>
    <w:rsid w:val="00C76014"/>
    <w:rsid w:val="00C85CA4"/>
    <w:rsid w:val="00C944B8"/>
    <w:rsid w:val="00CA46ED"/>
    <w:rsid w:val="00CA6D2F"/>
    <w:rsid w:val="00CA7451"/>
    <w:rsid w:val="00CB371D"/>
    <w:rsid w:val="00CB496D"/>
    <w:rsid w:val="00CB4C10"/>
    <w:rsid w:val="00CC114D"/>
    <w:rsid w:val="00CC2BAC"/>
    <w:rsid w:val="00CC4FC5"/>
    <w:rsid w:val="00D033A4"/>
    <w:rsid w:val="00D103ED"/>
    <w:rsid w:val="00D2673D"/>
    <w:rsid w:val="00D26ADB"/>
    <w:rsid w:val="00D31633"/>
    <w:rsid w:val="00D350FF"/>
    <w:rsid w:val="00D45C86"/>
    <w:rsid w:val="00D52BB5"/>
    <w:rsid w:val="00D53686"/>
    <w:rsid w:val="00D633D8"/>
    <w:rsid w:val="00D86F2E"/>
    <w:rsid w:val="00DA1E06"/>
    <w:rsid w:val="00DA3BA2"/>
    <w:rsid w:val="00DA41C9"/>
    <w:rsid w:val="00DB0903"/>
    <w:rsid w:val="00DB15DC"/>
    <w:rsid w:val="00DB1B2D"/>
    <w:rsid w:val="00DB5F0F"/>
    <w:rsid w:val="00DC1CC7"/>
    <w:rsid w:val="00DC52DE"/>
    <w:rsid w:val="00DE0989"/>
    <w:rsid w:val="00DE0FED"/>
    <w:rsid w:val="00DE2FD6"/>
    <w:rsid w:val="00DE3C36"/>
    <w:rsid w:val="00DE6202"/>
    <w:rsid w:val="00DF015A"/>
    <w:rsid w:val="00DF0855"/>
    <w:rsid w:val="00DF1792"/>
    <w:rsid w:val="00E10B39"/>
    <w:rsid w:val="00E13D34"/>
    <w:rsid w:val="00E268E2"/>
    <w:rsid w:val="00E27908"/>
    <w:rsid w:val="00E306BC"/>
    <w:rsid w:val="00E34855"/>
    <w:rsid w:val="00E40E81"/>
    <w:rsid w:val="00E44F00"/>
    <w:rsid w:val="00E61C56"/>
    <w:rsid w:val="00E748E4"/>
    <w:rsid w:val="00E85566"/>
    <w:rsid w:val="00E92A70"/>
    <w:rsid w:val="00E94AFD"/>
    <w:rsid w:val="00EA3F00"/>
    <w:rsid w:val="00EA41E9"/>
    <w:rsid w:val="00EA75CA"/>
    <w:rsid w:val="00EB1187"/>
    <w:rsid w:val="00EB51DF"/>
    <w:rsid w:val="00EC10F9"/>
    <w:rsid w:val="00ED3581"/>
    <w:rsid w:val="00ED56DB"/>
    <w:rsid w:val="00EE5EB0"/>
    <w:rsid w:val="00EE7536"/>
    <w:rsid w:val="00EF39C6"/>
    <w:rsid w:val="00EF569C"/>
    <w:rsid w:val="00EF6FC3"/>
    <w:rsid w:val="00F10559"/>
    <w:rsid w:val="00F15B35"/>
    <w:rsid w:val="00F21CA5"/>
    <w:rsid w:val="00F252AD"/>
    <w:rsid w:val="00F25CC9"/>
    <w:rsid w:val="00F276A7"/>
    <w:rsid w:val="00F36C27"/>
    <w:rsid w:val="00F36F4E"/>
    <w:rsid w:val="00F44D28"/>
    <w:rsid w:val="00F46F74"/>
    <w:rsid w:val="00F736C7"/>
    <w:rsid w:val="00F818EE"/>
    <w:rsid w:val="00F82463"/>
    <w:rsid w:val="00F93B95"/>
    <w:rsid w:val="00FA15B4"/>
    <w:rsid w:val="00FC1021"/>
    <w:rsid w:val="00FE30A9"/>
    <w:rsid w:val="00FE6175"/>
    <w:rsid w:val="00FF03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FFBC00"/>
  <w15:chartTrackingRefBased/>
  <w15:docId w15:val="{86F365F5-8EAF-184A-9829-10D967CDE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0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F0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0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F0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855"/>
    <w:rPr>
      <w:rFonts w:eastAsiaTheme="majorEastAsia" w:cstheme="majorBidi"/>
      <w:color w:val="272727" w:themeColor="text1" w:themeTint="D8"/>
    </w:rPr>
  </w:style>
  <w:style w:type="paragraph" w:styleId="Title">
    <w:name w:val="Title"/>
    <w:basedOn w:val="Normal"/>
    <w:next w:val="Normal"/>
    <w:link w:val="TitleChar"/>
    <w:uiPriority w:val="10"/>
    <w:qFormat/>
    <w:rsid w:val="00DF0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855"/>
    <w:pPr>
      <w:spacing w:before="160"/>
      <w:jc w:val="center"/>
    </w:pPr>
    <w:rPr>
      <w:i/>
      <w:iCs/>
      <w:color w:val="404040" w:themeColor="text1" w:themeTint="BF"/>
    </w:rPr>
  </w:style>
  <w:style w:type="character" w:customStyle="1" w:styleId="QuoteChar">
    <w:name w:val="Quote Char"/>
    <w:basedOn w:val="DefaultParagraphFont"/>
    <w:link w:val="Quote"/>
    <w:uiPriority w:val="29"/>
    <w:rsid w:val="00DF0855"/>
    <w:rPr>
      <w:i/>
      <w:iCs/>
      <w:color w:val="404040" w:themeColor="text1" w:themeTint="BF"/>
    </w:rPr>
  </w:style>
  <w:style w:type="paragraph" w:styleId="ListParagraph">
    <w:name w:val="List Paragraph"/>
    <w:basedOn w:val="Normal"/>
    <w:uiPriority w:val="34"/>
    <w:qFormat/>
    <w:rsid w:val="00DF0855"/>
    <w:pPr>
      <w:ind w:left="720"/>
      <w:contextualSpacing/>
    </w:pPr>
  </w:style>
  <w:style w:type="character" w:styleId="IntenseEmphasis">
    <w:name w:val="Intense Emphasis"/>
    <w:basedOn w:val="DefaultParagraphFont"/>
    <w:uiPriority w:val="21"/>
    <w:qFormat/>
    <w:rsid w:val="00DF0855"/>
    <w:rPr>
      <w:i/>
      <w:iCs/>
      <w:color w:val="0F4761" w:themeColor="accent1" w:themeShade="BF"/>
    </w:rPr>
  </w:style>
  <w:style w:type="paragraph" w:styleId="IntenseQuote">
    <w:name w:val="Intense Quote"/>
    <w:basedOn w:val="Normal"/>
    <w:next w:val="Normal"/>
    <w:link w:val="IntenseQuoteChar"/>
    <w:uiPriority w:val="30"/>
    <w:qFormat/>
    <w:rsid w:val="00DF0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855"/>
    <w:rPr>
      <w:i/>
      <w:iCs/>
      <w:color w:val="0F4761" w:themeColor="accent1" w:themeShade="BF"/>
    </w:rPr>
  </w:style>
  <w:style w:type="character" w:styleId="IntenseReference">
    <w:name w:val="Intense Reference"/>
    <w:basedOn w:val="DefaultParagraphFont"/>
    <w:uiPriority w:val="32"/>
    <w:qFormat/>
    <w:rsid w:val="00DF0855"/>
    <w:rPr>
      <w:b/>
      <w:bCs/>
      <w:smallCaps/>
      <w:color w:val="0F4761" w:themeColor="accent1" w:themeShade="BF"/>
      <w:spacing w:val="5"/>
    </w:rPr>
  </w:style>
  <w:style w:type="character" w:styleId="Strong">
    <w:name w:val="Strong"/>
    <w:basedOn w:val="DefaultParagraphFont"/>
    <w:uiPriority w:val="22"/>
    <w:qFormat/>
    <w:rsid w:val="00DF0855"/>
    <w:rPr>
      <w:b/>
      <w:bCs/>
    </w:rPr>
  </w:style>
  <w:style w:type="paragraph" w:styleId="NormalWeb">
    <w:name w:val="Normal (Web)"/>
    <w:basedOn w:val="Normal"/>
    <w:uiPriority w:val="99"/>
    <w:semiHidden/>
    <w:unhideWhenUsed/>
    <w:rsid w:val="00DF085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DF0855"/>
  </w:style>
  <w:style w:type="character" w:styleId="Emphasis">
    <w:name w:val="Emphasis"/>
    <w:basedOn w:val="DefaultParagraphFont"/>
    <w:uiPriority w:val="20"/>
    <w:qFormat/>
    <w:rsid w:val="00DF0855"/>
    <w:rPr>
      <w:i/>
      <w:iCs/>
    </w:rPr>
  </w:style>
  <w:style w:type="character" w:styleId="HTMLCode">
    <w:name w:val="HTML Code"/>
    <w:basedOn w:val="DefaultParagraphFont"/>
    <w:uiPriority w:val="99"/>
    <w:semiHidden/>
    <w:unhideWhenUsed/>
    <w:rsid w:val="00DF08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3951</Words>
  <Characters>22523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Moon, Yujin</dc:creator>
  <cp:keywords/>
  <dc:description/>
  <cp:lastModifiedBy>Moon, Yujin</cp:lastModifiedBy>
  <cp:revision>1</cp:revision>
  <dcterms:created xsi:type="dcterms:W3CDTF">2025-12-12T04:24:00Z</dcterms:created>
  <dcterms:modified xsi:type="dcterms:W3CDTF">2025-12-12T05:08:00Z</dcterms:modified>
</cp:coreProperties>
</file>